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51625" w:rsidRDefault="00151625">
      <w:r>
        <w:t xml:space="preserve">                                                                                                                                                                                                                                                                                                                                                                 </w:t>
      </w:r>
    </w:p>
    <w:sdt>
      <w:sdtPr>
        <w:id w:val="93641885"/>
        <w:docPartObj>
          <w:docPartGallery w:val="Cover Pages"/>
          <w:docPartUnique/>
        </w:docPartObj>
      </w:sdtPr>
      <w:sdtEndPr/>
      <w:sdtContent>
        <w:p w:rsidR="00174DC2" w:rsidRDefault="00174DC2"/>
        <w:p w:rsidR="00174DC2" w:rsidRDefault="00174DC2"/>
        <w:p w:rsidR="00174DC2" w:rsidRDefault="00174DC2"/>
        <w:p w:rsidR="00174DC2" w:rsidRDefault="00174DC2"/>
        <w:p w:rsidR="00174DC2" w:rsidRDefault="00174DC2">
          <w:pPr>
            <w:rPr>
              <w:lang w:val="pt-BR"/>
            </w:rPr>
          </w:pPr>
        </w:p>
        <w:p w:rsidR="00624F3E" w:rsidRPr="00174DC2" w:rsidRDefault="00624F3E">
          <w:pPr>
            <w:rPr>
              <w:lang w:val="pt-BR"/>
            </w:rPr>
          </w:pPr>
        </w:p>
        <w:p w:rsidR="00CC5F5B" w:rsidRPr="00174DC2" w:rsidRDefault="009A56D9">
          <w:pPr>
            <w:rPr>
              <w:lang w:val="pt-BR"/>
            </w:rPr>
          </w:pPr>
          <w:r>
            <w:rPr>
              <w:noProof/>
            </w:rPr>
            <w:pict>
              <v:rect id="_x0000_s1042" style="position:absolute;margin-left:-9.75pt;margin-top:198pt;width:528.75pt;height:87pt;z-index:251665408;mso-position-horizontal-relative:page;mso-position-vertical-relative:page;v-text-anchor:middle" o:allowincell="f" fillcolor="#ffb92d" strokecolor="white [3212]" strokeweight="1pt">
                <v:fill color2="#365f91 [2404]"/>
                <v:shadow color="#d8d8d8 [2732]" offset="3pt,3pt" offset2="2pt,2pt"/>
                <v:textbox style="mso-next-textbox:#_x0000_s1042" inset="14.4pt,,14.4pt">
                  <w:txbxContent>
                    <w:p w:rsidR="005630DE" w:rsidRPr="004C4457" w:rsidRDefault="005630DE" w:rsidP="00E867B1">
                      <w:pPr>
                        <w:pStyle w:val="NoSpacing"/>
                        <w:ind w:left="1170"/>
                        <w:jc w:val="center"/>
                        <w:rPr>
                          <w:rFonts w:asciiTheme="majorHAnsi" w:eastAsiaTheme="majorEastAsia" w:hAnsiTheme="majorHAnsi" w:cstheme="majorBidi"/>
                          <w:b/>
                          <w:color w:val="FFFFFF" w:themeColor="background1"/>
                          <w:sz w:val="48"/>
                          <w:szCs w:val="72"/>
                          <w:lang w:val="pt-BR"/>
                        </w:rPr>
                      </w:pPr>
                      <w:r w:rsidRPr="004C4457">
                        <w:rPr>
                          <w:rFonts w:asciiTheme="majorHAnsi" w:eastAsiaTheme="majorEastAsia" w:hAnsiTheme="majorHAnsi" w:cstheme="majorBidi"/>
                          <w:b/>
                          <w:color w:val="FFFFFF" w:themeColor="background1"/>
                          <w:sz w:val="48"/>
                          <w:szCs w:val="72"/>
                          <w:lang w:val="pt-BR"/>
                        </w:rPr>
                        <w:t>1º. Semestre</w:t>
                      </w:r>
                    </w:p>
                    <w:p w:rsidR="005630DE" w:rsidRPr="004C4457" w:rsidRDefault="005630DE" w:rsidP="004C4457">
                      <w:pPr>
                        <w:pStyle w:val="NoSpacing"/>
                        <w:ind w:left="1170"/>
                        <w:jc w:val="center"/>
                        <w:rPr>
                          <w:rFonts w:asciiTheme="majorHAnsi" w:eastAsiaTheme="majorEastAsia" w:hAnsiTheme="majorHAnsi" w:cstheme="majorBidi"/>
                          <w:b/>
                          <w:color w:val="FFFFFF" w:themeColor="background1"/>
                          <w:sz w:val="52"/>
                          <w:szCs w:val="72"/>
                          <w:lang w:val="pt-BR"/>
                        </w:rPr>
                      </w:pPr>
                      <w:r w:rsidRPr="004C4457">
                        <w:rPr>
                          <w:rFonts w:asciiTheme="majorHAnsi" w:eastAsiaTheme="majorEastAsia" w:hAnsiTheme="majorHAnsi" w:cstheme="majorBidi"/>
                          <w:b/>
                          <w:color w:val="FFFFFF" w:themeColor="background1"/>
                          <w:sz w:val="52"/>
                          <w:szCs w:val="72"/>
                          <w:lang w:val="pt-BR"/>
                        </w:rPr>
                        <w:t xml:space="preserve">Disciplina de </w:t>
                      </w:r>
                      <w:r>
                        <w:rPr>
                          <w:rFonts w:asciiTheme="majorHAnsi" w:eastAsiaTheme="majorEastAsia" w:hAnsiTheme="majorHAnsi" w:cstheme="majorBidi"/>
                          <w:b/>
                          <w:color w:val="FFFFFF" w:themeColor="background1"/>
                          <w:sz w:val="52"/>
                          <w:szCs w:val="72"/>
                          <w:lang w:val="pt-BR"/>
                        </w:rPr>
                        <w:t>Ciências Médicas</w:t>
                      </w:r>
                    </w:p>
                  </w:txbxContent>
                </v:textbox>
                <w10:wrap anchorx="page" anchory="page"/>
              </v:rect>
            </w:pict>
          </w:r>
          <w:r>
            <w:rPr>
              <w:noProof/>
            </w:rPr>
            <w:pict>
              <v:group id="_x0000_s1035" style="position:absolute;margin-left:4585.55pt;margin-top:0;width:244.8pt;height:11in;z-index:251660288;mso-width-percent:400;mso-height-percent:1000;mso-position-horizontal:right;mso-position-horizontal-relative:page;mso-position-vertical:top;mso-position-vertical-relative:page;mso-width-percent:400;mso-height-percent:1000" coordorigin="7329" coordsize="4911,15840" o:allowincell="f">
                <v:group id="_x0000_s1036" style="position:absolute;left:7344;width:4896;height:15840;mso-width-percent:400;mso-height-percent:1000;mso-position-horizontal:right;mso-position-horizontal-relative:page;mso-position-vertical:top;mso-position-vertical-relative:page;mso-width-percent:400;mso-height-percent:1000" coordorigin="7560" coordsize="4700,15840" o:allowincell="f">
                  <v:rect id="_x0000_s1037" style="position:absolute;left:7755;width:4505;height:15840;mso-height-percent:1000;mso-position-vertical:top;mso-position-vertical-relative:page;mso-height-percent:1000" fillcolor="#4f81bd [3204]" strokecolor="#f2f2f2 [3041]" strokeweight="3pt">
                    <v:fill rotate="t"/>
                    <v:shadow on="t" type="perspective" color="#243f60 [1604]" opacity=".5" offset="1pt" offset2="-1pt"/>
                  </v:rect>
                  <v:rect id="_x0000_s1038" style="position:absolute;left:7560;top:8;width:195;height:15825;mso-height-percent:1000;mso-position-vertical-relative:page;mso-height-percent:1000;mso-width-relative:margin;v-text-anchor:middle" fillcolor="#9bbb59 [3206]" stroked="f" strokecolor="white [3212]" strokeweight="1pt">
                    <v:fill r:id="rId10" o:title="Light vertical" opacity="52429f" o:opacity2="52429f" type="pattern"/>
                    <v:shadow color="#d8d8d8 [2732]" offset="3pt,3pt" offset2="2pt,2pt"/>
                  </v:rect>
                </v:group>
                <v:rect id="_x0000_s1039" style="position:absolute;left:7344;width:4896;height:3958;mso-width-percent:400;mso-height-percent:250;mso-position-horizontal:right;mso-position-horizontal-relative:page;mso-position-vertical:top;mso-position-vertical-relative:page;mso-width-percent:400;mso-height-percent:250;v-text-anchor:bottom" o:allowincell="f" filled="f" fillcolor="white [3212]" stroked="f" strokecolor="white [3212]" strokeweight="1pt">
                  <v:fill opacity="52429f"/>
                  <v:shadow color="#d8d8d8 [2732]" offset="3pt,3pt" offset2="2pt,2pt"/>
                  <v:textbox style="mso-next-textbox:#_x0000_s1039" inset="28.8pt,14.4pt,14.4pt,14.4pt">
                    <w:txbxContent>
                      <w:p w:rsidR="005630DE" w:rsidRPr="00174DC2" w:rsidRDefault="005630DE" w:rsidP="00B37027">
                        <w:pPr>
                          <w:ind w:right="400"/>
                          <w:jc w:val="center"/>
                          <w:rPr>
                            <w:rFonts w:asciiTheme="majorHAnsi" w:eastAsiaTheme="majorEastAsia" w:hAnsiTheme="majorHAnsi" w:cstheme="majorBidi"/>
                            <w:b/>
                            <w:bCs/>
                            <w:color w:val="FFFFFF" w:themeColor="background1"/>
                            <w:sz w:val="48"/>
                            <w:szCs w:val="96"/>
                            <w:lang w:val="pt-BR"/>
                          </w:rPr>
                        </w:pPr>
                        <w:r w:rsidRPr="00174DC2">
                          <w:rPr>
                            <w:rFonts w:asciiTheme="majorHAnsi" w:eastAsiaTheme="majorEastAsia" w:hAnsiTheme="majorHAnsi" w:cstheme="majorBidi"/>
                            <w:b/>
                            <w:bCs/>
                            <w:color w:val="FFFFFF" w:themeColor="background1"/>
                            <w:sz w:val="48"/>
                            <w:szCs w:val="96"/>
                            <w:lang w:val="pt-BR"/>
                          </w:rPr>
                          <w:t xml:space="preserve">Currículo </w:t>
                        </w:r>
                        <w:r>
                          <w:rPr>
                            <w:rFonts w:asciiTheme="majorHAnsi" w:eastAsiaTheme="majorEastAsia" w:hAnsiTheme="majorHAnsi" w:cstheme="majorBidi"/>
                            <w:b/>
                            <w:bCs/>
                            <w:color w:val="FFFFFF" w:themeColor="background1"/>
                            <w:sz w:val="48"/>
                            <w:szCs w:val="96"/>
                            <w:lang w:val="pt-BR"/>
                          </w:rPr>
                          <w:t xml:space="preserve">do Curso de </w:t>
                        </w:r>
                        <w:r w:rsidRPr="00174DC2">
                          <w:rPr>
                            <w:rFonts w:asciiTheme="majorHAnsi" w:eastAsiaTheme="majorEastAsia" w:hAnsiTheme="majorHAnsi" w:cstheme="majorBidi"/>
                            <w:b/>
                            <w:bCs/>
                            <w:color w:val="FFFFFF" w:themeColor="background1"/>
                            <w:sz w:val="48"/>
                            <w:szCs w:val="96"/>
                            <w:lang w:val="pt-BR"/>
                          </w:rPr>
                          <w:t>Técnicos de Medicina Geral</w:t>
                        </w:r>
                      </w:p>
                      <w:p w:rsidR="005630DE" w:rsidRPr="00CC5F5B" w:rsidRDefault="005630DE" w:rsidP="00CC5F5B">
                        <w:pPr>
                          <w:rPr>
                            <w:sz w:val="10"/>
                            <w:szCs w:val="96"/>
                            <w:lang w:val="pt-BR"/>
                          </w:rPr>
                        </w:pPr>
                      </w:p>
                    </w:txbxContent>
                  </v:textbox>
                </v:rect>
                <v:rect id="_x0000_s1040" style="position:absolute;left:7329;top:10658;width:4889;height:4462;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mso-next-textbox:#_x0000_s1040" inset="28.8pt,14.4pt,14.4pt,14.4pt">
                    <w:txbxContent>
                      <w:p w:rsidR="005630DE" w:rsidRDefault="005630DE" w:rsidP="00E76713">
                        <w:pPr>
                          <w:pStyle w:val="NoSpacing"/>
                          <w:spacing w:line="360" w:lineRule="auto"/>
                          <w:ind w:right="310"/>
                          <w:jc w:val="center"/>
                          <w:rPr>
                            <w:b/>
                            <w:color w:val="FFFFFF" w:themeColor="background1"/>
                            <w:sz w:val="48"/>
                          </w:rPr>
                        </w:pPr>
                      </w:p>
                      <w:p w:rsidR="005630DE" w:rsidRDefault="005630DE" w:rsidP="00624F3E">
                        <w:pPr>
                          <w:jc w:val="center"/>
                          <w:rPr>
                            <w:rFonts w:eastAsiaTheme="minorEastAsia"/>
                            <w:b/>
                            <w:color w:val="FFFFFF" w:themeColor="background1"/>
                            <w:sz w:val="28"/>
                            <w:lang w:val="pt-BR"/>
                          </w:rPr>
                        </w:pPr>
                      </w:p>
                      <w:p w:rsidR="005630DE" w:rsidRDefault="005630DE" w:rsidP="00624F3E">
                        <w:pPr>
                          <w:jc w:val="center"/>
                          <w:rPr>
                            <w:rFonts w:eastAsiaTheme="minorEastAsia"/>
                            <w:b/>
                            <w:color w:val="FFFFFF" w:themeColor="background1"/>
                            <w:sz w:val="28"/>
                            <w:lang w:val="pt-BR"/>
                          </w:rPr>
                        </w:pPr>
                      </w:p>
                      <w:p w:rsidR="005630DE" w:rsidRDefault="005630DE" w:rsidP="00624F3E">
                        <w:pPr>
                          <w:jc w:val="center"/>
                          <w:rPr>
                            <w:rFonts w:eastAsiaTheme="minorEastAsia"/>
                            <w:b/>
                            <w:color w:val="FFFFFF" w:themeColor="background1"/>
                            <w:sz w:val="28"/>
                            <w:lang w:val="pt-BR"/>
                          </w:rPr>
                        </w:pPr>
                      </w:p>
                      <w:p w:rsidR="005630DE" w:rsidRPr="00624F3E" w:rsidRDefault="005630DE" w:rsidP="00624F3E">
                        <w:pPr>
                          <w:jc w:val="center"/>
                          <w:rPr>
                            <w:rFonts w:eastAsiaTheme="minorEastAsia"/>
                            <w:b/>
                            <w:color w:val="FFFFFF" w:themeColor="background1"/>
                            <w:sz w:val="28"/>
                            <w:lang w:val="pt-BR"/>
                          </w:rPr>
                        </w:pPr>
                        <w:r w:rsidRPr="00624F3E">
                          <w:rPr>
                            <w:rFonts w:eastAsiaTheme="minorEastAsia"/>
                            <w:b/>
                            <w:color w:val="FFFFFF" w:themeColor="background1"/>
                            <w:sz w:val="28"/>
                            <w:lang w:val="pt-BR"/>
                          </w:rPr>
                          <w:t>Ministério da Saúde de Moçambique</w:t>
                        </w:r>
                      </w:p>
                      <w:p w:rsidR="005630DE" w:rsidRPr="00624F3E" w:rsidRDefault="005630DE" w:rsidP="00E76713">
                        <w:pPr>
                          <w:pStyle w:val="NoSpacing"/>
                          <w:spacing w:line="360" w:lineRule="auto"/>
                          <w:ind w:right="310"/>
                          <w:jc w:val="center"/>
                          <w:rPr>
                            <w:b/>
                            <w:color w:val="FFFFFF" w:themeColor="background1"/>
                            <w:sz w:val="48"/>
                            <w:lang w:val="pt-BR"/>
                          </w:rPr>
                        </w:pPr>
                        <w:r w:rsidRPr="00624F3E">
                          <w:rPr>
                            <w:b/>
                            <w:color w:val="FFFFFF" w:themeColor="background1"/>
                            <w:sz w:val="48"/>
                            <w:lang w:val="pt-BR"/>
                          </w:rPr>
                          <w:t>2012</w:t>
                        </w:r>
                      </w:p>
                      <w:p w:rsidR="005630DE" w:rsidRPr="00624F3E" w:rsidRDefault="005630DE">
                        <w:pPr>
                          <w:pStyle w:val="NoSpacing"/>
                          <w:spacing w:line="360" w:lineRule="auto"/>
                          <w:rPr>
                            <w:color w:val="FFFFFF" w:themeColor="background1"/>
                            <w:lang w:val="pt-BR"/>
                          </w:rPr>
                        </w:pPr>
                      </w:p>
                    </w:txbxContent>
                  </v:textbox>
                </v:rect>
                <w10:wrap anchorx="page" anchory="page"/>
              </v:group>
            </w:pict>
          </w:r>
        </w:p>
        <w:p w:rsidR="00CC5F5B" w:rsidRDefault="00B37027">
          <w:r w:rsidRPr="00B37027">
            <w:rPr>
              <w:noProof/>
              <w:lang w:val="en-ZW" w:eastAsia="en-ZW"/>
            </w:rPr>
            <w:drawing>
              <wp:anchor distT="0" distB="0" distL="114300" distR="114300" simplePos="0" relativeHeight="251681792" behindDoc="0" locked="0" layoutInCell="1" allowOverlap="1" wp14:anchorId="7FC255F5" wp14:editId="5D689F9F">
                <wp:simplePos x="0" y="0"/>
                <wp:positionH relativeFrom="column">
                  <wp:posOffset>1534160</wp:posOffset>
                </wp:positionH>
                <wp:positionV relativeFrom="paragraph">
                  <wp:posOffset>882650</wp:posOffset>
                </wp:positionV>
                <wp:extent cx="5429250" cy="3613150"/>
                <wp:effectExtent l="38100" t="57150" r="120650" b="88900"/>
                <wp:wrapNone/>
                <wp:docPr id="1" name="Picture 2" descr="Y:\Public\Pictures\Tom pics\IMG_8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Public\Pictures\Tom pics\IMG_8234.JPG"/>
                        <pic:cNvPicPr>
                          <a:picLocks noChangeAspect="1" noChangeArrowheads="1"/>
                        </pic:cNvPicPr>
                      </pic:nvPicPr>
                      <pic:blipFill>
                        <a:blip r:embed="rId11" cstate="print"/>
                        <a:srcRect/>
                        <a:stretch>
                          <a:fillRect/>
                        </a:stretch>
                      </pic:blipFill>
                      <pic:spPr bwMode="auto">
                        <a:xfrm>
                          <a:off x="0" y="0"/>
                          <a:ext cx="5422900" cy="36068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9A56D9">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3" type="#_x0000_t75" style="position:absolute;margin-left:383.9pt;margin-top:373.1pt;width:98.55pt;height:95.15pt;z-index:251666432;mso-position-horizontal-relative:text;mso-position-vertical-relative:text" fillcolor="window">
                <v:imagedata r:id="rId12" o:title=""/>
              </v:shape>
              <o:OLEObject Type="Embed" ProgID="Word.Picture.8" ShapeID="_x0000_s1043" DrawAspect="Content" ObjectID="_1500777494" r:id="rId13"/>
            </w:pict>
          </w:r>
          <w:r w:rsidR="00CC5F5B" w:rsidRPr="00174DC2">
            <w:rPr>
              <w:lang w:val="pt-BR"/>
            </w:rPr>
            <w:br w:type="page"/>
          </w:r>
        </w:p>
      </w:sdtContent>
    </w:sdt>
    <w:p w:rsidR="00CC5F5B" w:rsidRDefault="00CC5F5B" w:rsidP="00AD29AF">
      <w:pPr>
        <w:jc w:val="center"/>
        <w:rPr>
          <w:rFonts w:cs="Arial"/>
          <w:sz w:val="48"/>
          <w:lang w:val="pt-BR"/>
        </w:rPr>
      </w:pPr>
    </w:p>
    <w:p w:rsidR="00AD29AF" w:rsidRDefault="00624F3E">
      <w:pPr>
        <w:rPr>
          <w:lang w:val="pt-BR"/>
        </w:rPr>
      </w:pPr>
      <w:r>
        <w:rPr>
          <w:lang w:val="pt-BR"/>
        </w:rPr>
        <w:t>‘</w:t>
      </w:r>
      <w:r w:rsidR="00AD29AF">
        <w:rPr>
          <w:lang w:val="pt-BR"/>
        </w:rPr>
        <w:br w:type="page"/>
      </w:r>
    </w:p>
    <w:p w:rsidR="00F47FAF" w:rsidRPr="00927EAF" w:rsidRDefault="00F47FAF" w:rsidP="00717944">
      <w:pPr>
        <w:jc w:val="both"/>
        <w:rPr>
          <w:b/>
          <w:lang w:val="pt-PT"/>
        </w:rPr>
      </w:pPr>
      <w:r w:rsidRPr="00927EAF">
        <w:rPr>
          <w:b/>
          <w:lang w:val="pt-PT"/>
        </w:rPr>
        <w:lastRenderedPageBreak/>
        <w:t>Introdução</w:t>
      </w:r>
    </w:p>
    <w:p w:rsidR="00F47FAF" w:rsidRPr="0073304F" w:rsidRDefault="00F47FAF" w:rsidP="00717944">
      <w:pPr>
        <w:tabs>
          <w:tab w:val="left" w:pos="-720"/>
        </w:tabs>
        <w:suppressAutoHyphens/>
        <w:spacing w:before="120" w:after="0"/>
        <w:jc w:val="both"/>
        <w:rPr>
          <w:rFonts w:cs="Arial"/>
          <w:lang w:val="pt-PT"/>
        </w:rPr>
      </w:pPr>
      <w:r w:rsidRPr="0073304F">
        <w:rPr>
          <w:rFonts w:cs="Arial"/>
          <w:lang w:val="pt-PT"/>
        </w:rPr>
        <w:t xml:space="preserve">Com o presente currículo pretende-se formar técnicos de nível médio, da carreira profissional de medicina, designados por Técnicos de Medicina Geral (TMG). </w:t>
      </w:r>
    </w:p>
    <w:p w:rsidR="00F47FAF" w:rsidRPr="0073304F" w:rsidRDefault="00F47FAF" w:rsidP="00717944">
      <w:pPr>
        <w:tabs>
          <w:tab w:val="left" w:pos="-720"/>
        </w:tabs>
        <w:suppressAutoHyphens/>
        <w:spacing w:before="120" w:after="0"/>
        <w:jc w:val="both"/>
        <w:rPr>
          <w:rFonts w:cs="Arial"/>
          <w:lang w:val="pt-PT"/>
        </w:rPr>
      </w:pPr>
      <w:r w:rsidRPr="0073304F">
        <w:rPr>
          <w:rFonts w:cs="Arial"/>
          <w:lang w:val="pt-PT"/>
        </w:rPr>
        <w:t>O TMG é um profissional de saúde com formação relevante na área clínica com afectação a nível primário e secundário.</w:t>
      </w:r>
    </w:p>
    <w:p w:rsidR="00F47FAF" w:rsidRPr="0073304F" w:rsidRDefault="00F47FAF" w:rsidP="00717944">
      <w:pPr>
        <w:tabs>
          <w:tab w:val="left" w:pos="-720"/>
        </w:tabs>
        <w:suppressAutoHyphens/>
        <w:spacing w:before="120" w:after="0"/>
        <w:jc w:val="both"/>
        <w:rPr>
          <w:rFonts w:cs="Arial"/>
          <w:lang w:val="pt-PT"/>
        </w:rPr>
      </w:pPr>
      <w:r w:rsidRPr="0073304F">
        <w:rPr>
          <w:rFonts w:cs="Arial"/>
          <w:lang w:val="pt-PT"/>
        </w:rPr>
        <w:t xml:space="preserve">As actividades principais do TMG consistem na prestação de cuidados de saúde a pacientes em ambulatório e em regime de internamento. Essas actividades são desempenhadas de forma integrada, em unidades sanitárias onde operam outros profissionais de nível básico, médio e superior em particular Enfermeiras de Saúde Materno Infantil (ESMI), Enfermeiros gerais, Agentes de Medicina Geral, Agentes e Técnicos de Laboratório e de Farmácia, Agentes e Técnicos de Medicina Preventiva e de Saneamento do Meio e Médicos. </w:t>
      </w:r>
    </w:p>
    <w:p w:rsidR="00F47FAF" w:rsidRPr="0073304F" w:rsidRDefault="00F47FAF" w:rsidP="00717944">
      <w:pPr>
        <w:tabs>
          <w:tab w:val="left" w:pos="-720"/>
        </w:tabs>
        <w:suppressAutoHyphens/>
        <w:spacing w:before="120" w:after="0"/>
        <w:jc w:val="both"/>
        <w:rPr>
          <w:rFonts w:cs="Arial"/>
          <w:lang w:val="pt-PT"/>
        </w:rPr>
      </w:pPr>
      <w:r w:rsidRPr="0073304F">
        <w:rPr>
          <w:rFonts w:cs="Arial"/>
          <w:lang w:val="pt-PT"/>
        </w:rPr>
        <w:t>O TMG, segundo as necessidades e disponibilidade em recursos humanos, assume o mais elevado cargo de gestão e administração da unidade sanitária, sendo por isso indispensável que ele possua não apenas competências sólidas na área clínica e preventiva, mas também competências de gestão e administração de uma unidade sanitária no seu todo. Existem unidades sanitárias onde o TMG é o clínico mais diferenciado e é ao mesmo tempo o gestor da unidade sanitária.</w:t>
      </w:r>
    </w:p>
    <w:p w:rsidR="00F47FAF" w:rsidRPr="0073304F" w:rsidRDefault="00F47FAF" w:rsidP="00717944">
      <w:pPr>
        <w:tabs>
          <w:tab w:val="left" w:pos="-720"/>
        </w:tabs>
        <w:suppressAutoHyphens/>
        <w:spacing w:before="120" w:after="0"/>
        <w:jc w:val="both"/>
        <w:rPr>
          <w:rFonts w:cs="Arial"/>
          <w:lang w:val="pt-PT"/>
        </w:rPr>
      </w:pPr>
      <w:r w:rsidRPr="0073304F">
        <w:rPr>
          <w:rFonts w:cs="Arial"/>
          <w:lang w:val="pt-PT"/>
        </w:rPr>
        <w:t xml:space="preserve">Onde existe pessoal mais diferenciado, como é o caso do médico, o TMG é tutorado e supervisionado na sua actividade clínica por este. </w:t>
      </w:r>
    </w:p>
    <w:p w:rsidR="00F47FAF" w:rsidRPr="0073304F" w:rsidRDefault="00F47FAF" w:rsidP="00717944">
      <w:pPr>
        <w:spacing w:before="120" w:after="0"/>
        <w:jc w:val="both"/>
        <w:rPr>
          <w:rFonts w:cs="Arial"/>
          <w:lang w:val="pt-PT"/>
        </w:rPr>
      </w:pPr>
      <w:r w:rsidRPr="0073304F">
        <w:rPr>
          <w:rFonts w:cs="Arial"/>
          <w:lang w:val="pt-PT"/>
        </w:rPr>
        <w:t xml:space="preserve">O presente pacote de ensino destina-se a fornecer o conteúdo necessário para que o futuro TMG possa adquirir as competências básicas para prestar cuidados de saúde primários e secundários de qualidade ao paciente. </w:t>
      </w:r>
    </w:p>
    <w:p w:rsidR="00F47FAF" w:rsidRPr="00927EAF" w:rsidRDefault="00F47FAF" w:rsidP="00F02A23">
      <w:pPr>
        <w:spacing w:after="0"/>
        <w:jc w:val="both"/>
        <w:rPr>
          <w:b/>
          <w:lang w:val="pt-PT"/>
        </w:rPr>
      </w:pPr>
      <w:r w:rsidRPr="00927EAF">
        <w:rPr>
          <w:b/>
          <w:lang w:val="pt-PT"/>
        </w:rPr>
        <w:t xml:space="preserve">Breve Descrição do Projecto </w:t>
      </w:r>
    </w:p>
    <w:p w:rsidR="00F47FAF" w:rsidRPr="0073304F" w:rsidRDefault="00F47FAF" w:rsidP="00F02A23">
      <w:pPr>
        <w:spacing w:before="120" w:after="0"/>
        <w:jc w:val="both"/>
        <w:rPr>
          <w:rFonts w:cs="Arial"/>
          <w:lang w:val="pt-PT"/>
        </w:rPr>
      </w:pPr>
      <w:r w:rsidRPr="0073304F">
        <w:rPr>
          <w:rFonts w:cs="Arial"/>
          <w:lang w:val="pt-PT"/>
        </w:rPr>
        <w:t xml:space="preserve">O Programa de Formação inicial de TMG é fruto da colaboração do I-TECH (International Training and Education Center for Health) que é </w:t>
      </w:r>
      <w:r w:rsidRPr="0073304F">
        <w:rPr>
          <w:rStyle w:val="apple-style-span"/>
          <w:rFonts w:cs="Arial"/>
          <w:bCs/>
          <w:color w:val="000000"/>
          <w:shd w:val="clear" w:color="auto" w:fill="FFFFFF"/>
          <w:lang w:val="pt-PT"/>
        </w:rPr>
        <w:t>parte do Departamento de Saúde Global da Universidade de Washington, filiada com a Universidade da Califórnia em São Francisco,</w:t>
      </w:r>
      <w:r w:rsidRPr="0073304F">
        <w:rPr>
          <w:rFonts w:cs="Arial"/>
          <w:lang w:val="pt-PT"/>
        </w:rPr>
        <w:t xml:space="preserve"> com o MISAU (Ministério de Saúde de Moçambique), para melhorar as capacidades clínicas dos TMG no diagnóstico e tratamento das principais doenças, incluindo as relacionadas ao HIV/SIDA, contribuindo desta forma para a melhoria da saúde da população moçambicana. </w:t>
      </w:r>
    </w:p>
    <w:p w:rsidR="00F47FAF" w:rsidRPr="0073304F" w:rsidRDefault="00F47FAF" w:rsidP="00717944">
      <w:pPr>
        <w:spacing w:before="120" w:after="0"/>
        <w:jc w:val="both"/>
        <w:rPr>
          <w:rFonts w:cs="Arial"/>
          <w:lang w:val="pt-PT"/>
        </w:rPr>
      </w:pPr>
      <w:r w:rsidRPr="0073304F">
        <w:rPr>
          <w:rFonts w:cs="Arial"/>
          <w:lang w:val="pt-PT"/>
        </w:rPr>
        <w:t>A</w:t>
      </w:r>
      <w:r w:rsidRPr="0073304F">
        <w:rPr>
          <w:rFonts w:cs="Arial"/>
          <w:b/>
          <w:lang w:val="pt-PT"/>
        </w:rPr>
        <w:t xml:space="preserve"> </w:t>
      </w:r>
      <w:r w:rsidRPr="0073304F">
        <w:rPr>
          <w:rFonts w:cs="Arial"/>
          <w:lang w:val="pt-PT"/>
        </w:rPr>
        <w:t>formação inicial dos TMG com recurso ao currículo revisto, baseado em competências, consiste em 5 semestres de formação clínica, compostos por 36 disciplinas, leccionadas de forma linear e modular, com actividades na sala de aulas, laboratório humanístico e multidisciplinar e estágio clínico. Para garantir a implementação do currículo revisto de forma eficaz, são realizadas capacitações dos docentes para a introdução de cada semestre do currículo (em metodologias de ensino e de avaliação dos alunos, bem como explicação exaustiva sobre a composição do material) e capacitação de docentes, tutores e supervisores do curso, na organização e seguimento dos alunos nos estágios. Estas capacitações são complementadas com visitas de monitoria e apoio técnico e pedagógico aos docentes e gestores das instituições de formação implementadoras.</w:t>
      </w:r>
    </w:p>
    <w:p w:rsidR="00F47FAF" w:rsidRPr="00927EAF" w:rsidRDefault="00F47FAF" w:rsidP="00F02A23">
      <w:pPr>
        <w:spacing w:after="0"/>
        <w:jc w:val="both"/>
        <w:rPr>
          <w:b/>
          <w:lang w:val="pt-PT"/>
        </w:rPr>
      </w:pPr>
      <w:bookmarkStart w:id="0" w:name="_Toc237761756"/>
      <w:bookmarkStart w:id="1" w:name="_Toc237761989"/>
      <w:bookmarkStart w:id="2" w:name="_Toc237774325"/>
      <w:r w:rsidRPr="00927EAF">
        <w:rPr>
          <w:b/>
          <w:lang w:val="pt-PT"/>
        </w:rPr>
        <w:t>Sobre o I-TECH Mozambique</w:t>
      </w:r>
    </w:p>
    <w:p w:rsidR="00F47FAF" w:rsidRPr="0073304F" w:rsidRDefault="00F47FAF" w:rsidP="00F02A23">
      <w:pPr>
        <w:spacing w:before="120" w:after="0"/>
        <w:jc w:val="both"/>
        <w:rPr>
          <w:rFonts w:cs="Arial"/>
          <w:lang w:val="pt-PT"/>
        </w:rPr>
      </w:pPr>
      <w:r w:rsidRPr="0073304F">
        <w:rPr>
          <w:rFonts w:cs="Arial"/>
          <w:lang w:val="pt-PT"/>
        </w:rPr>
        <w:t xml:space="preserve">O I-TECH iniciou as suas actividades em Moçambique em Dezembro de </w:t>
      </w:r>
      <w:smartTag w:uri="urn:schemas-microsoft-com:office:smarttags" w:element="metricconverter">
        <w:smartTagPr>
          <w:attr w:name="ProductID" w:val="2005, a"/>
        </w:smartTagPr>
        <w:r w:rsidRPr="0073304F">
          <w:rPr>
            <w:rFonts w:cs="Arial"/>
            <w:lang w:val="pt-PT"/>
          </w:rPr>
          <w:t>2005, a</w:t>
        </w:r>
      </w:smartTag>
      <w:r w:rsidRPr="0073304F">
        <w:rPr>
          <w:rFonts w:cs="Arial"/>
          <w:lang w:val="pt-PT"/>
        </w:rPr>
        <w:t xml:space="preserve"> convite do Programa Global de Combate à SIDA dos Centros de Controlo e Prevenção de Doenças (CDC-GAP). Após uma avaliação preliminar e uma série de visitas de assistência técnica, o I-TECH abriu um escritório em Fevereiro de 2007, que começou como uma pequena organização mas que tem vindo a expandir-se ao longo do tempo. O objectivo do I-TECH Moçambique é prestar assistência ao Ministério da Saúde (MISAU) na capacitação dos profissionais de saúde a fim de enfrentar a escassez de profissionais capazes de fazer o diagnóstico e tratamento adequado às pessoas infectadas pelo HIV. Este esforço visa promover a formação e a tutoria dos profissionais de saúde, especialmente os TMG para que possam fornecer cuidados e tratamento de HIV/SIDA de qualidade.</w:t>
      </w:r>
    </w:p>
    <w:bookmarkEnd w:id="0"/>
    <w:bookmarkEnd w:id="1"/>
    <w:bookmarkEnd w:id="2"/>
    <w:p w:rsidR="00F47FAF" w:rsidRPr="0073304F" w:rsidRDefault="00F47FAF" w:rsidP="00717944">
      <w:pPr>
        <w:spacing w:before="120" w:after="0"/>
        <w:jc w:val="both"/>
        <w:rPr>
          <w:rFonts w:eastAsiaTheme="majorEastAsia" w:cs="Arial"/>
          <w:b/>
          <w:bCs/>
          <w:color w:val="365F91" w:themeColor="accent1" w:themeShade="BF"/>
          <w:lang w:val="pt-PT"/>
        </w:rPr>
      </w:pPr>
      <w:r w:rsidRPr="0073304F">
        <w:rPr>
          <w:rFonts w:cs="Arial"/>
          <w:lang w:val="pt-PT"/>
        </w:rPr>
        <w:lastRenderedPageBreak/>
        <w:br w:type="page"/>
      </w:r>
    </w:p>
    <w:p w:rsidR="00F47FAF" w:rsidRPr="00927EAF" w:rsidRDefault="00F47FAF" w:rsidP="00717944">
      <w:pPr>
        <w:jc w:val="both"/>
        <w:rPr>
          <w:b/>
          <w:lang w:val="pt-BR"/>
        </w:rPr>
      </w:pPr>
      <w:r w:rsidRPr="00927EAF">
        <w:rPr>
          <w:b/>
          <w:lang w:val="pt-BR"/>
        </w:rPr>
        <w:lastRenderedPageBreak/>
        <w:t>Agradecimentos</w:t>
      </w:r>
    </w:p>
    <w:p w:rsidR="00F47FAF" w:rsidRPr="0073304F" w:rsidRDefault="00F47FAF" w:rsidP="00717944">
      <w:pPr>
        <w:pStyle w:val="NoSpacing"/>
        <w:spacing w:before="120" w:line="276" w:lineRule="auto"/>
        <w:jc w:val="both"/>
        <w:rPr>
          <w:rStyle w:val="apple-style-span"/>
          <w:rFonts w:ascii="Arial" w:hAnsi="Arial" w:cs="Arial"/>
          <w:bCs/>
          <w:color w:val="000000"/>
          <w:shd w:val="clear" w:color="auto" w:fill="FFFFFF"/>
          <w:lang w:val="pt-PT"/>
        </w:rPr>
      </w:pPr>
      <w:r w:rsidRPr="0073304F">
        <w:rPr>
          <w:rFonts w:ascii="Arial" w:hAnsi="Arial" w:cs="Arial"/>
          <w:lang w:val="pt-PT"/>
        </w:rPr>
        <w:t xml:space="preserve">Este currículo enquadra-se no plano do Ministério da Saúde, de </w:t>
      </w:r>
      <w:r w:rsidRPr="0073304F">
        <w:rPr>
          <w:rStyle w:val="apple-style-span"/>
          <w:rFonts w:ascii="Arial" w:hAnsi="Arial" w:cs="Arial"/>
          <w:bCs/>
          <w:color w:val="000000"/>
          <w:shd w:val="clear" w:color="auto" w:fill="FFFFFF"/>
          <w:lang w:val="pt-PT"/>
        </w:rPr>
        <w:t>revisão do currículo de formação inicial de 30 meses destinado aos Técnicos de Medicina Geral (TMG), para o currículo baseado em competências, com o intuito de transmitir a estes profissionais, conhecimentos, competências e prática necessárias para fornecer cuidados de saúde de qualidade em conformidade com o perfil profissional para o TMG estabelecido pelo MISAU.</w:t>
      </w:r>
    </w:p>
    <w:p w:rsidR="00F47FAF" w:rsidRPr="0073304F" w:rsidRDefault="00F47FAF" w:rsidP="00717944">
      <w:pPr>
        <w:pStyle w:val="NoSpacing"/>
        <w:spacing w:before="120" w:line="276" w:lineRule="auto"/>
        <w:jc w:val="both"/>
        <w:rPr>
          <w:rFonts w:ascii="Arial" w:hAnsi="Arial" w:cs="Arial"/>
          <w:lang w:val="pt-PT"/>
        </w:rPr>
      </w:pPr>
      <w:r w:rsidRPr="0073304F">
        <w:rPr>
          <w:rFonts w:ascii="Arial" w:hAnsi="Arial" w:cs="Arial"/>
          <w:lang w:val="pt-PT"/>
        </w:rPr>
        <w:t>Este material é produto de uma extensa colaboração entre diversas instituições que operam na área de saúde em Moçambique e por isso gostaríamos de manifestar o nosso mais profundo agradecimento às instituições que de uma ou de outra forma desempenharam um papel na elaboração e edição do mesmo, destacando a Direcção Nacional de Assistência Médica do Ministério da Saúde, aos directores, docentes, supervisores e tutores de estágio das IdFs.</w:t>
      </w:r>
    </w:p>
    <w:p w:rsidR="00F47FAF" w:rsidRPr="0073304F" w:rsidRDefault="00F47FAF" w:rsidP="00717944">
      <w:pPr>
        <w:spacing w:before="120" w:after="0"/>
        <w:jc w:val="both"/>
        <w:rPr>
          <w:rFonts w:cs="Arial"/>
          <w:lang w:val="pt-BR"/>
        </w:rPr>
      </w:pPr>
      <w:r w:rsidRPr="0073304F">
        <w:rPr>
          <w:rFonts w:cs="Arial"/>
          <w:lang w:val="pt-BR"/>
        </w:rPr>
        <w:t xml:space="preserve">Este material de ensino  foi desenvolvido, com  o financiamento do Acordo de Cooperação U91H06801 do Departamento de Saúde e Serviços Sociais dos EUA, a Administração dos Recursos e Serviços de Saúde (HRSA), no âmbito do Plano de Emergência do Presidente dos EUA para o Alívio da SIDA (PEPFAR). Foi desenvolvido em colaboração com o Ministério da Saúde de Moçambique e com o Centro de Prevenção e Controlo de Doenças dos EUA (CDC). </w:t>
      </w:r>
    </w:p>
    <w:p w:rsidR="00F47FAF" w:rsidRPr="0073304F" w:rsidRDefault="00F47FAF" w:rsidP="00717944">
      <w:pPr>
        <w:spacing w:before="120" w:after="0"/>
        <w:jc w:val="both"/>
        <w:rPr>
          <w:rFonts w:cs="Arial"/>
          <w:lang w:val="pt-BR"/>
        </w:rPr>
      </w:pPr>
      <w:r w:rsidRPr="0073304F">
        <w:rPr>
          <w:rFonts w:cs="Arial"/>
          <w:lang w:val="pt-BR"/>
        </w:rPr>
        <w:t>O Ministério da Saúde agradece o apoio técnico e financeiro oferecido pelas entidades supracitadas</w:t>
      </w:r>
    </w:p>
    <w:p w:rsidR="00F47FAF" w:rsidRPr="0073304F" w:rsidRDefault="00F47FAF" w:rsidP="00717944">
      <w:pPr>
        <w:tabs>
          <w:tab w:val="left" w:pos="1440"/>
        </w:tabs>
        <w:spacing w:before="120" w:after="0"/>
        <w:jc w:val="both"/>
        <w:rPr>
          <w:rFonts w:cs="Arial"/>
          <w:b/>
          <w:lang w:val="pt-BR"/>
        </w:rPr>
      </w:pPr>
    </w:p>
    <w:p w:rsidR="00F47FAF" w:rsidRPr="00842557" w:rsidRDefault="00F47FAF" w:rsidP="00717944">
      <w:pPr>
        <w:jc w:val="both"/>
        <w:rPr>
          <w:rFonts w:asciiTheme="minorHAnsi" w:hAnsiTheme="minorHAnsi"/>
          <w:lang w:val="pt-PT"/>
        </w:rPr>
      </w:pPr>
    </w:p>
    <w:p w:rsidR="00F47FAF" w:rsidRPr="0073304F" w:rsidRDefault="00F47FAF" w:rsidP="00F47FAF">
      <w:pPr>
        <w:pStyle w:val="Default"/>
        <w:rPr>
          <w:rFonts w:asciiTheme="minorHAnsi" w:hAnsiTheme="minorHAnsi"/>
          <w:i/>
          <w:lang w:val="pt-BR"/>
        </w:rPr>
      </w:pPr>
    </w:p>
    <w:p w:rsidR="00F47FAF" w:rsidRPr="0073304F" w:rsidRDefault="00F47FAF" w:rsidP="00F47FAF">
      <w:pPr>
        <w:pStyle w:val="Default"/>
        <w:rPr>
          <w:rFonts w:asciiTheme="minorHAnsi" w:hAnsiTheme="minorHAnsi"/>
          <w:i/>
          <w:lang w:val="pt-BR"/>
        </w:rPr>
      </w:pPr>
    </w:p>
    <w:p w:rsidR="00F47FAF" w:rsidRPr="0073304F" w:rsidRDefault="00F47FAF" w:rsidP="00F47FAF">
      <w:pPr>
        <w:pStyle w:val="Default"/>
        <w:rPr>
          <w:rFonts w:asciiTheme="minorHAnsi" w:hAnsiTheme="minorHAnsi"/>
          <w:i/>
          <w:lang w:val="pt-BR"/>
        </w:rPr>
      </w:pPr>
    </w:p>
    <w:p w:rsidR="00F47FAF" w:rsidRPr="0073304F" w:rsidRDefault="00F47FAF" w:rsidP="00F47FAF">
      <w:pPr>
        <w:pStyle w:val="Default"/>
        <w:rPr>
          <w:rFonts w:asciiTheme="minorHAnsi" w:hAnsiTheme="minorHAnsi"/>
          <w:i/>
          <w:lang w:val="pt-BR"/>
        </w:rPr>
      </w:pPr>
    </w:p>
    <w:p w:rsidR="00F47FAF" w:rsidRPr="0073304F" w:rsidRDefault="00F47FAF" w:rsidP="00F47FAF">
      <w:pPr>
        <w:pStyle w:val="Default"/>
        <w:rPr>
          <w:rFonts w:asciiTheme="minorHAnsi" w:hAnsiTheme="minorHAnsi"/>
          <w:i/>
          <w:lang w:val="pt-BR"/>
        </w:rPr>
      </w:pPr>
    </w:p>
    <w:p w:rsidR="00F47FAF" w:rsidRPr="0073304F" w:rsidRDefault="00F47FAF" w:rsidP="00F47FAF">
      <w:pPr>
        <w:pStyle w:val="Default"/>
        <w:rPr>
          <w:rFonts w:asciiTheme="minorHAnsi" w:hAnsiTheme="minorHAnsi"/>
          <w:i/>
          <w:lang w:val="pt-BR"/>
        </w:rPr>
      </w:pPr>
    </w:p>
    <w:p w:rsidR="00F47FAF" w:rsidRPr="001327F6" w:rsidRDefault="00F47FAF" w:rsidP="00F47FAF">
      <w:pPr>
        <w:pStyle w:val="Default"/>
        <w:rPr>
          <w:rFonts w:asciiTheme="minorHAnsi" w:hAnsiTheme="minorHAnsi"/>
          <w:i/>
          <w:lang w:val="pt-BR"/>
        </w:rPr>
      </w:pPr>
      <w:r>
        <w:rPr>
          <w:rFonts w:asciiTheme="minorHAnsi" w:hAnsiTheme="minorHAnsi"/>
          <w:i/>
          <w:noProof/>
          <w:lang w:val="en-ZW" w:eastAsia="en-ZW"/>
        </w:rPr>
        <w:drawing>
          <wp:anchor distT="0" distB="0" distL="114300" distR="114300" simplePos="0" relativeHeight="251679744" behindDoc="1" locked="0" layoutInCell="1" allowOverlap="1" wp14:anchorId="11C08E20" wp14:editId="231922AA">
            <wp:simplePos x="0" y="0"/>
            <wp:positionH relativeFrom="column">
              <wp:posOffset>3838575</wp:posOffset>
            </wp:positionH>
            <wp:positionV relativeFrom="paragraph">
              <wp:posOffset>266700</wp:posOffset>
            </wp:positionV>
            <wp:extent cx="1352550" cy="1047750"/>
            <wp:effectExtent l="19050" t="0" r="0" b="0"/>
            <wp:wrapTight wrapText="bothSides">
              <wp:wrapPolygon edited="0">
                <wp:start x="-304" y="0"/>
                <wp:lineTo x="-304" y="21207"/>
                <wp:lineTo x="21600" y="21207"/>
                <wp:lineTo x="21600" y="0"/>
                <wp:lineTo x="-304" y="0"/>
              </wp:wrapPolygon>
            </wp:wrapTight>
            <wp:docPr id="2" name="Picture 3" descr="Mozam PEPFAR Lg Tag JPG (Portu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zam PEPFAR Lg Tag JPG (Portug)"/>
                    <pic:cNvPicPr>
                      <a:picLocks noChangeAspect="1" noChangeArrowheads="1"/>
                    </pic:cNvPicPr>
                  </pic:nvPicPr>
                  <pic:blipFill>
                    <a:blip r:embed="rId14" cstate="print"/>
                    <a:srcRect/>
                    <a:stretch>
                      <a:fillRect/>
                    </a:stretch>
                  </pic:blipFill>
                  <pic:spPr bwMode="auto">
                    <a:xfrm>
                      <a:off x="0" y="0"/>
                      <a:ext cx="1352550" cy="1047750"/>
                    </a:xfrm>
                    <a:prstGeom prst="rect">
                      <a:avLst/>
                    </a:prstGeom>
                    <a:noFill/>
                    <a:ln w="9525">
                      <a:noFill/>
                      <a:miter lim="800000"/>
                      <a:headEnd/>
                      <a:tailEnd/>
                    </a:ln>
                  </pic:spPr>
                </pic:pic>
              </a:graphicData>
            </a:graphic>
          </wp:anchor>
        </w:drawing>
      </w:r>
      <w:r w:rsidRPr="001327F6">
        <w:rPr>
          <w:b/>
          <w:noProof/>
          <w:lang w:val="pt-BR" w:eastAsia="pt-PT"/>
        </w:rPr>
        <w:t xml:space="preserve"> </w:t>
      </w:r>
    </w:p>
    <w:p w:rsidR="00F47FAF" w:rsidRPr="00842557" w:rsidRDefault="00F47FAF" w:rsidP="00F47FAF">
      <w:pPr>
        <w:rPr>
          <w:i/>
          <w:lang w:val="pt-PT"/>
        </w:rPr>
      </w:pPr>
    </w:p>
    <w:p w:rsidR="00F47FAF" w:rsidRPr="00842557" w:rsidRDefault="00F47FAF" w:rsidP="00F47FAF">
      <w:pPr>
        <w:jc w:val="center"/>
        <w:rPr>
          <w:rFonts w:cs="Arial"/>
          <w:b/>
          <w:lang w:val="pt-PT"/>
        </w:rPr>
      </w:pPr>
      <w:r>
        <w:rPr>
          <w:noProof/>
          <w:lang w:val="en-ZW" w:eastAsia="en-ZW"/>
        </w:rPr>
        <w:drawing>
          <wp:inline distT="0" distB="0" distL="0" distR="0" wp14:anchorId="1653A0B6" wp14:editId="21492E80">
            <wp:extent cx="1390650" cy="584200"/>
            <wp:effectExtent l="19050" t="0" r="0" b="0"/>
            <wp:docPr id="3" name="Picture 17" descr="C:\Users\nanda\Desktop\ITECH-health-logo-transparen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nanda\Desktop\ITECH-health-logo-transparent.gif"/>
                    <pic:cNvPicPr>
                      <a:picLocks noChangeAspect="1" noChangeArrowheads="1"/>
                    </pic:cNvPicPr>
                  </pic:nvPicPr>
                  <pic:blipFill>
                    <a:blip r:embed="rId15" cstate="print"/>
                    <a:srcRect/>
                    <a:stretch>
                      <a:fillRect/>
                    </a:stretch>
                  </pic:blipFill>
                  <pic:spPr bwMode="auto">
                    <a:xfrm>
                      <a:off x="0" y="0"/>
                      <a:ext cx="1390650" cy="584200"/>
                    </a:xfrm>
                    <a:prstGeom prst="rect">
                      <a:avLst/>
                    </a:prstGeom>
                    <a:noFill/>
                    <a:ln w="9525">
                      <a:noFill/>
                      <a:miter lim="800000"/>
                      <a:headEnd/>
                      <a:tailEnd/>
                    </a:ln>
                  </pic:spPr>
                </pic:pic>
              </a:graphicData>
            </a:graphic>
          </wp:inline>
        </w:drawing>
      </w:r>
      <w:r w:rsidRPr="00842557">
        <w:rPr>
          <w:rFonts w:cs="Arial"/>
          <w:color w:val="365F91"/>
          <w:lang w:val="pt-PT"/>
        </w:rPr>
        <w:t xml:space="preserve"> </w:t>
      </w:r>
      <w:r w:rsidRPr="00842557">
        <w:rPr>
          <w:rFonts w:cs="Arial"/>
          <w:lang w:val="pt-PT"/>
        </w:rPr>
        <w:t xml:space="preserve">                                      </w:t>
      </w:r>
    </w:p>
    <w:p w:rsidR="00F47FAF" w:rsidRDefault="00F47FAF" w:rsidP="00F47FAF">
      <w:pPr>
        <w:rPr>
          <w:lang w:val="pt-BR"/>
        </w:rPr>
      </w:pPr>
    </w:p>
    <w:p w:rsidR="00F47FAF" w:rsidRDefault="00F47FAF">
      <w:pPr>
        <w:rPr>
          <w:lang w:val="pt-BR"/>
        </w:rPr>
      </w:pPr>
      <w:r>
        <w:rPr>
          <w:lang w:val="pt-BR"/>
        </w:rPr>
        <w:br w:type="page"/>
      </w:r>
    </w:p>
    <w:p w:rsidR="00F47FAF" w:rsidRDefault="00F47FAF" w:rsidP="00F47FAF">
      <w:pPr>
        <w:rPr>
          <w:lang w:val="pt-BR"/>
        </w:rPr>
      </w:pPr>
    </w:p>
    <w:p w:rsidR="00AD29AF" w:rsidRPr="00FE1E5D" w:rsidRDefault="00AD29AF">
      <w:r w:rsidRPr="00FE1E5D">
        <w:br w:type="page"/>
      </w:r>
    </w:p>
    <w:sdt>
      <w:sdtPr>
        <w:rPr>
          <w:rFonts w:ascii="Arial" w:eastAsiaTheme="minorHAnsi" w:hAnsi="Arial" w:cstheme="minorBidi"/>
          <w:b w:val="0"/>
          <w:bCs w:val="0"/>
          <w:szCs w:val="22"/>
        </w:rPr>
        <w:id w:val="93641865"/>
        <w:docPartObj>
          <w:docPartGallery w:val="Table of Contents"/>
          <w:docPartUnique/>
        </w:docPartObj>
      </w:sdtPr>
      <w:sdtEndPr/>
      <w:sdtContent>
        <w:p w:rsidR="00AD29AF" w:rsidRPr="00F6058B" w:rsidRDefault="00A56A63" w:rsidP="00A56A63">
          <w:pPr>
            <w:pStyle w:val="TOCHeading"/>
            <w:jc w:val="center"/>
          </w:pPr>
          <w:r w:rsidRPr="00F6058B">
            <w:rPr>
              <w:sz w:val="28"/>
            </w:rPr>
            <w:t>Índice</w:t>
          </w:r>
        </w:p>
        <w:p w:rsidR="00DE1C2C" w:rsidRDefault="00D73438">
          <w:pPr>
            <w:pStyle w:val="TOC1"/>
            <w:rPr>
              <w:rFonts w:asciiTheme="minorHAnsi" w:eastAsiaTheme="minorEastAsia" w:hAnsiTheme="minorHAnsi"/>
              <w:lang w:eastAsia="pt-PT"/>
            </w:rPr>
          </w:pPr>
          <w:r>
            <w:fldChar w:fldCharType="begin"/>
          </w:r>
          <w:r w:rsidR="00273245">
            <w:instrText xml:space="preserve"> TOC \o "1-3" \h \z \u </w:instrText>
          </w:r>
          <w:r>
            <w:fldChar w:fldCharType="separate"/>
          </w:r>
          <w:hyperlink w:anchor="_Toc329099748" w:history="1">
            <w:r w:rsidR="00DE1C2C" w:rsidRPr="00022ABC">
              <w:rPr>
                <w:rStyle w:val="Hyperlink"/>
              </w:rPr>
              <w:t>Plano Analítico</w:t>
            </w:r>
            <w:r w:rsidR="00DE1C2C">
              <w:rPr>
                <w:webHidden/>
              </w:rPr>
              <w:tab/>
            </w:r>
            <w:r w:rsidR="00DE1C2C">
              <w:rPr>
                <w:webHidden/>
              </w:rPr>
              <w:fldChar w:fldCharType="begin"/>
            </w:r>
            <w:r w:rsidR="00DE1C2C">
              <w:rPr>
                <w:webHidden/>
              </w:rPr>
              <w:instrText xml:space="preserve"> PAGEREF _Toc329099748 \h </w:instrText>
            </w:r>
            <w:r w:rsidR="00DE1C2C">
              <w:rPr>
                <w:webHidden/>
              </w:rPr>
            </w:r>
            <w:r w:rsidR="00DE1C2C">
              <w:rPr>
                <w:webHidden/>
              </w:rPr>
              <w:fldChar w:fldCharType="separate"/>
            </w:r>
            <w:r w:rsidR="00DE1C2C">
              <w:rPr>
                <w:webHidden/>
              </w:rPr>
              <w:t>9</w:t>
            </w:r>
            <w:r w:rsidR="00DE1C2C">
              <w:rPr>
                <w:webHidden/>
              </w:rPr>
              <w:fldChar w:fldCharType="end"/>
            </w:r>
          </w:hyperlink>
        </w:p>
        <w:p w:rsidR="00DE1C2C" w:rsidRDefault="009A56D9">
          <w:pPr>
            <w:pStyle w:val="TOC1"/>
            <w:rPr>
              <w:rFonts w:asciiTheme="minorHAnsi" w:eastAsiaTheme="minorEastAsia" w:hAnsiTheme="minorHAnsi"/>
              <w:lang w:eastAsia="pt-PT"/>
            </w:rPr>
          </w:pPr>
          <w:hyperlink w:anchor="_Toc329099749" w:history="1">
            <w:r w:rsidR="00DE1C2C" w:rsidRPr="00022ABC">
              <w:rPr>
                <w:rStyle w:val="Hyperlink"/>
                <w:lang w:val="pt-BR"/>
              </w:rPr>
              <w:t>A Célula e a Genética</w:t>
            </w:r>
            <w:r w:rsidR="00DE1C2C">
              <w:rPr>
                <w:webHidden/>
              </w:rPr>
              <w:tab/>
            </w:r>
            <w:r w:rsidR="00DE1C2C">
              <w:rPr>
                <w:webHidden/>
              </w:rPr>
              <w:fldChar w:fldCharType="begin"/>
            </w:r>
            <w:r w:rsidR="00DE1C2C">
              <w:rPr>
                <w:webHidden/>
              </w:rPr>
              <w:instrText xml:space="preserve"> PAGEREF _Toc329099749 \h </w:instrText>
            </w:r>
            <w:r w:rsidR="00DE1C2C">
              <w:rPr>
                <w:webHidden/>
              </w:rPr>
            </w:r>
            <w:r w:rsidR="00DE1C2C">
              <w:rPr>
                <w:webHidden/>
              </w:rPr>
              <w:fldChar w:fldCharType="separate"/>
            </w:r>
            <w:r w:rsidR="00DE1C2C">
              <w:rPr>
                <w:webHidden/>
              </w:rPr>
              <w:t>14</w:t>
            </w:r>
            <w:r w:rsidR="00DE1C2C">
              <w:rPr>
                <w:webHidden/>
              </w:rPr>
              <w:fldChar w:fldCharType="end"/>
            </w:r>
          </w:hyperlink>
        </w:p>
        <w:p w:rsidR="00DE1C2C" w:rsidRDefault="009A56D9">
          <w:pPr>
            <w:pStyle w:val="TOC1"/>
            <w:rPr>
              <w:rFonts w:asciiTheme="minorHAnsi" w:eastAsiaTheme="minorEastAsia" w:hAnsiTheme="minorHAnsi"/>
              <w:lang w:eastAsia="pt-PT"/>
            </w:rPr>
          </w:pPr>
          <w:hyperlink w:anchor="_Toc329099750" w:history="1">
            <w:r w:rsidR="00DE1C2C" w:rsidRPr="00022ABC">
              <w:rPr>
                <w:rStyle w:val="Hyperlink"/>
              </w:rPr>
              <w:t>Biomoléculas</w:t>
            </w:r>
            <w:r w:rsidR="00DE1C2C">
              <w:rPr>
                <w:webHidden/>
              </w:rPr>
              <w:tab/>
            </w:r>
            <w:r w:rsidR="00DE1C2C">
              <w:rPr>
                <w:webHidden/>
              </w:rPr>
              <w:fldChar w:fldCharType="begin"/>
            </w:r>
            <w:r w:rsidR="00DE1C2C">
              <w:rPr>
                <w:webHidden/>
              </w:rPr>
              <w:instrText xml:space="preserve"> PAGEREF _Toc329099750 \h </w:instrText>
            </w:r>
            <w:r w:rsidR="00DE1C2C">
              <w:rPr>
                <w:webHidden/>
              </w:rPr>
            </w:r>
            <w:r w:rsidR="00DE1C2C">
              <w:rPr>
                <w:webHidden/>
              </w:rPr>
              <w:fldChar w:fldCharType="separate"/>
            </w:r>
            <w:r w:rsidR="00DE1C2C">
              <w:rPr>
                <w:webHidden/>
              </w:rPr>
              <w:t>25</w:t>
            </w:r>
            <w:r w:rsidR="00DE1C2C">
              <w:rPr>
                <w:webHidden/>
              </w:rPr>
              <w:fldChar w:fldCharType="end"/>
            </w:r>
          </w:hyperlink>
        </w:p>
        <w:p w:rsidR="00DE1C2C" w:rsidRDefault="009A56D9">
          <w:pPr>
            <w:pStyle w:val="TOC1"/>
            <w:rPr>
              <w:rFonts w:asciiTheme="minorHAnsi" w:eastAsiaTheme="minorEastAsia" w:hAnsiTheme="minorHAnsi"/>
              <w:lang w:eastAsia="pt-PT"/>
            </w:rPr>
          </w:pPr>
          <w:hyperlink w:anchor="_Toc329099751" w:history="1">
            <w:r w:rsidR="00DE1C2C" w:rsidRPr="00022ABC">
              <w:rPr>
                <w:rStyle w:val="Hyperlink"/>
              </w:rPr>
              <w:t>Biomoléculas e Micronutrientes</w:t>
            </w:r>
            <w:r w:rsidR="00DE1C2C">
              <w:rPr>
                <w:webHidden/>
              </w:rPr>
              <w:tab/>
            </w:r>
            <w:r w:rsidR="00DE1C2C">
              <w:rPr>
                <w:webHidden/>
              </w:rPr>
              <w:fldChar w:fldCharType="begin"/>
            </w:r>
            <w:r w:rsidR="00DE1C2C">
              <w:rPr>
                <w:webHidden/>
              </w:rPr>
              <w:instrText xml:space="preserve"> PAGEREF _Toc329099751 \h </w:instrText>
            </w:r>
            <w:r w:rsidR="00DE1C2C">
              <w:rPr>
                <w:webHidden/>
              </w:rPr>
            </w:r>
            <w:r w:rsidR="00DE1C2C">
              <w:rPr>
                <w:webHidden/>
              </w:rPr>
              <w:fldChar w:fldCharType="separate"/>
            </w:r>
            <w:r w:rsidR="00DE1C2C">
              <w:rPr>
                <w:webHidden/>
              </w:rPr>
              <w:t>35</w:t>
            </w:r>
            <w:r w:rsidR="00DE1C2C">
              <w:rPr>
                <w:webHidden/>
              </w:rPr>
              <w:fldChar w:fldCharType="end"/>
            </w:r>
          </w:hyperlink>
        </w:p>
        <w:p w:rsidR="00DE1C2C" w:rsidRDefault="009A56D9">
          <w:pPr>
            <w:pStyle w:val="TOC1"/>
            <w:rPr>
              <w:rFonts w:asciiTheme="minorHAnsi" w:eastAsiaTheme="minorEastAsia" w:hAnsiTheme="minorHAnsi"/>
              <w:lang w:eastAsia="pt-PT"/>
            </w:rPr>
          </w:pPr>
          <w:hyperlink w:anchor="_Toc329099752" w:history="1">
            <w:r w:rsidR="00DE1C2C" w:rsidRPr="00022ABC">
              <w:rPr>
                <w:rStyle w:val="Hyperlink"/>
                <w:lang w:val="pt-BR"/>
              </w:rPr>
              <w:t>Resposta Imune</w:t>
            </w:r>
            <w:r w:rsidR="00DE1C2C">
              <w:rPr>
                <w:webHidden/>
              </w:rPr>
              <w:tab/>
            </w:r>
            <w:r w:rsidR="00DE1C2C">
              <w:rPr>
                <w:webHidden/>
              </w:rPr>
              <w:fldChar w:fldCharType="begin"/>
            </w:r>
            <w:r w:rsidR="00DE1C2C">
              <w:rPr>
                <w:webHidden/>
              </w:rPr>
              <w:instrText xml:space="preserve"> PAGEREF _Toc329099752 \h </w:instrText>
            </w:r>
            <w:r w:rsidR="00DE1C2C">
              <w:rPr>
                <w:webHidden/>
              </w:rPr>
            </w:r>
            <w:r w:rsidR="00DE1C2C">
              <w:rPr>
                <w:webHidden/>
              </w:rPr>
              <w:fldChar w:fldCharType="separate"/>
            </w:r>
            <w:r w:rsidR="00DE1C2C">
              <w:rPr>
                <w:webHidden/>
              </w:rPr>
              <w:t>45</w:t>
            </w:r>
            <w:r w:rsidR="00DE1C2C">
              <w:rPr>
                <w:webHidden/>
              </w:rPr>
              <w:fldChar w:fldCharType="end"/>
            </w:r>
          </w:hyperlink>
        </w:p>
        <w:p w:rsidR="00DE1C2C" w:rsidRDefault="009A56D9">
          <w:pPr>
            <w:pStyle w:val="TOC1"/>
            <w:rPr>
              <w:rFonts w:asciiTheme="minorHAnsi" w:eastAsiaTheme="minorEastAsia" w:hAnsiTheme="minorHAnsi"/>
              <w:lang w:eastAsia="pt-PT"/>
            </w:rPr>
          </w:pPr>
          <w:hyperlink w:anchor="_Toc329099753" w:history="1">
            <w:r w:rsidR="00DE1C2C" w:rsidRPr="00022ABC">
              <w:rPr>
                <w:rStyle w:val="Hyperlink"/>
                <w:lang w:val="pt-BR"/>
              </w:rPr>
              <w:t>Imunologia Clínica</w:t>
            </w:r>
            <w:r w:rsidR="00DE1C2C">
              <w:rPr>
                <w:webHidden/>
              </w:rPr>
              <w:tab/>
            </w:r>
            <w:r w:rsidR="00DE1C2C">
              <w:rPr>
                <w:webHidden/>
              </w:rPr>
              <w:fldChar w:fldCharType="begin"/>
            </w:r>
            <w:r w:rsidR="00DE1C2C">
              <w:rPr>
                <w:webHidden/>
              </w:rPr>
              <w:instrText xml:space="preserve"> PAGEREF _Toc329099753 \h </w:instrText>
            </w:r>
            <w:r w:rsidR="00DE1C2C">
              <w:rPr>
                <w:webHidden/>
              </w:rPr>
            </w:r>
            <w:r w:rsidR="00DE1C2C">
              <w:rPr>
                <w:webHidden/>
              </w:rPr>
              <w:fldChar w:fldCharType="separate"/>
            </w:r>
            <w:r w:rsidR="00DE1C2C">
              <w:rPr>
                <w:webHidden/>
              </w:rPr>
              <w:t>54</w:t>
            </w:r>
            <w:r w:rsidR="00DE1C2C">
              <w:rPr>
                <w:webHidden/>
              </w:rPr>
              <w:fldChar w:fldCharType="end"/>
            </w:r>
          </w:hyperlink>
        </w:p>
        <w:p w:rsidR="00DE1C2C" w:rsidRDefault="009A56D9">
          <w:pPr>
            <w:pStyle w:val="TOC1"/>
            <w:rPr>
              <w:rFonts w:asciiTheme="minorHAnsi" w:eastAsiaTheme="minorEastAsia" w:hAnsiTheme="minorHAnsi"/>
              <w:lang w:eastAsia="pt-PT"/>
            </w:rPr>
          </w:pPr>
          <w:hyperlink w:anchor="_Toc329099754" w:history="1">
            <w:r w:rsidR="00DE1C2C" w:rsidRPr="00022ABC">
              <w:rPr>
                <w:rStyle w:val="Hyperlink"/>
                <w:lang w:val="pt-BR"/>
              </w:rPr>
              <w:t>Imunologia Clínica</w:t>
            </w:r>
            <w:r w:rsidR="00DE1C2C">
              <w:rPr>
                <w:webHidden/>
              </w:rPr>
              <w:tab/>
            </w:r>
            <w:r w:rsidR="00DE1C2C">
              <w:rPr>
                <w:webHidden/>
              </w:rPr>
              <w:fldChar w:fldCharType="begin"/>
            </w:r>
            <w:r w:rsidR="00DE1C2C">
              <w:rPr>
                <w:webHidden/>
              </w:rPr>
              <w:instrText xml:space="preserve"> PAGEREF _Toc329099754 \h </w:instrText>
            </w:r>
            <w:r w:rsidR="00DE1C2C">
              <w:rPr>
                <w:webHidden/>
              </w:rPr>
            </w:r>
            <w:r w:rsidR="00DE1C2C">
              <w:rPr>
                <w:webHidden/>
              </w:rPr>
              <w:fldChar w:fldCharType="separate"/>
            </w:r>
            <w:r w:rsidR="00DE1C2C">
              <w:rPr>
                <w:webHidden/>
              </w:rPr>
              <w:t>63</w:t>
            </w:r>
            <w:r w:rsidR="00DE1C2C">
              <w:rPr>
                <w:webHidden/>
              </w:rPr>
              <w:fldChar w:fldCharType="end"/>
            </w:r>
          </w:hyperlink>
        </w:p>
        <w:p w:rsidR="00DE1C2C" w:rsidRDefault="009A56D9">
          <w:pPr>
            <w:pStyle w:val="TOC1"/>
            <w:rPr>
              <w:rFonts w:asciiTheme="minorHAnsi" w:eastAsiaTheme="minorEastAsia" w:hAnsiTheme="minorHAnsi"/>
              <w:lang w:eastAsia="pt-PT"/>
            </w:rPr>
          </w:pPr>
          <w:hyperlink w:anchor="_Toc329099755" w:history="1">
            <w:r w:rsidR="00DE1C2C" w:rsidRPr="00022ABC">
              <w:rPr>
                <w:rStyle w:val="Hyperlink"/>
              </w:rPr>
              <w:t>Microbiologia (1)</w:t>
            </w:r>
            <w:r w:rsidR="00DE1C2C">
              <w:rPr>
                <w:webHidden/>
              </w:rPr>
              <w:tab/>
            </w:r>
            <w:r w:rsidR="00DE1C2C">
              <w:rPr>
                <w:webHidden/>
              </w:rPr>
              <w:fldChar w:fldCharType="begin"/>
            </w:r>
            <w:r w:rsidR="00DE1C2C">
              <w:rPr>
                <w:webHidden/>
              </w:rPr>
              <w:instrText xml:space="preserve"> PAGEREF _Toc329099755 \h </w:instrText>
            </w:r>
            <w:r w:rsidR="00DE1C2C">
              <w:rPr>
                <w:webHidden/>
              </w:rPr>
            </w:r>
            <w:r w:rsidR="00DE1C2C">
              <w:rPr>
                <w:webHidden/>
              </w:rPr>
              <w:fldChar w:fldCharType="separate"/>
            </w:r>
            <w:r w:rsidR="00DE1C2C">
              <w:rPr>
                <w:webHidden/>
              </w:rPr>
              <w:t>72</w:t>
            </w:r>
            <w:r w:rsidR="00DE1C2C">
              <w:rPr>
                <w:webHidden/>
              </w:rPr>
              <w:fldChar w:fldCharType="end"/>
            </w:r>
          </w:hyperlink>
        </w:p>
        <w:p w:rsidR="00DE1C2C" w:rsidRDefault="009A56D9">
          <w:pPr>
            <w:pStyle w:val="TOC1"/>
            <w:rPr>
              <w:rFonts w:asciiTheme="minorHAnsi" w:eastAsiaTheme="minorEastAsia" w:hAnsiTheme="minorHAnsi"/>
              <w:lang w:eastAsia="pt-PT"/>
            </w:rPr>
          </w:pPr>
          <w:hyperlink w:anchor="_Toc329099756" w:history="1">
            <w:r w:rsidR="00DE1C2C" w:rsidRPr="00022ABC">
              <w:rPr>
                <w:rStyle w:val="Hyperlink"/>
                <w:lang w:val="pt-BR"/>
              </w:rPr>
              <w:t>Bactérias Patogénicas</w:t>
            </w:r>
            <w:r w:rsidR="00DE1C2C">
              <w:rPr>
                <w:webHidden/>
              </w:rPr>
              <w:tab/>
            </w:r>
            <w:r w:rsidR="00DE1C2C">
              <w:rPr>
                <w:webHidden/>
              </w:rPr>
              <w:fldChar w:fldCharType="begin"/>
            </w:r>
            <w:r w:rsidR="00DE1C2C">
              <w:rPr>
                <w:webHidden/>
              </w:rPr>
              <w:instrText xml:space="preserve"> PAGEREF _Toc329099756 \h </w:instrText>
            </w:r>
            <w:r w:rsidR="00DE1C2C">
              <w:rPr>
                <w:webHidden/>
              </w:rPr>
            </w:r>
            <w:r w:rsidR="00DE1C2C">
              <w:rPr>
                <w:webHidden/>
              </w:rPr>
              <w:fldChar w:fldCharType="separate"/>
            </w:r>
            <w:r w:rsidR="00DE1C2C">
              <w:rPr>
                <w:webHidden/>
              </w:rPr>
              <w:t>78</w:t>
            </w:r>
            <w:r w:rsidR="00DE1C2C">
              <w:rPr>
                <w:webHidden/>
              </w:rPr>
              <w:fldChar w:fldCharType="end"/>
            </w:r>
          </w:hyperlink>
        </w:p>
        <w:p w:rsidR="00DE1C2C" w:rsidRDefault="009A56D9">
          <w:pPr>
            <w:pStyle w:val="TOC1"/>
            <w:rPr>
              <w:rFonts w:asciiTheme="minorHAnsi" w:eastAsiaTheme="minorEastAsia" w:hAnsiTheme="minorHAnsi"/>
              <w:lang w:eastAsia="pt-PT"/>
            </w:rPr>
          </w:pPr>
          <w:hyperlink w:anchor="_Toc329099757" w:history="1">
            <w:r w:rsidR="00DE1C2C" w:rsidRPr="00022ABC">
              <w:rPr>
                <w:rStyle w:val="Hyperlink"/>
              </w:rPr>
              <w:t>Bact</w:t>
            </w:r>
            <w:r w:rsidR="00DE1C2C" w:rsidRPr="00022ABC">
              <w:rPr>
                <w:rStyle w:val="Hyperlink"/>
                <w:lang w:val="pt-BR"/>
              </w:rPr>
              <w:t>érias Patogénicas</w:t>
            </w:r>
            <w:r w:rsidR="00DE1C2C">
              <w:rPr>
                <w:webHidden/>
              </w:rPr>
              <w:tab/>
            </w:r>
            <w:r w:rsidR="00DE1C2C">
              <w:rPr>
                <w:webHidden/>
              </w:rPr>
              <w:fldChar w:fldCharType="begin"/>
            </w:r>
            <w:r w:rsidR="00DE1C2C">
              <w:rPr>
                <w:webHidden/>
              </w:rPr>
              <w:instrText xml:space="preserve"> PAGEREF _Toc329099757 \h </w:instrText>
            </w:r>
            <w:r w:rsidR="00DE1C2C">
              <w:rPr>
                <w:webHidden/>
              </w:rPr>
            </w:r>
            <w:r w:rsidR="00DE1C2C">
              <w:rPr>
                <w:webHidden/>
              </w:rPr>
              <w:fldChar w:fldCharType="separate"/>
            </w:r>
            <w:r w:rsidR="00DE1C2C">
              <w:rPr>
                <w:webHidden/>
              </w:rPr>
              <w:t>84</w:t>
            </w:r>
            <w:r w:rsidR="00DE1C2C">
              <w:rPr>
                <w:webHidden/>
              </w:rPr>
              <w:fldChar w:fldCharType="end"/>
            </w:r>
          </w:hyperlink>
        </w:p>
        <w:p w:rsidR="00DE1C2C" w:rsidRDefault="009A56D9">
          <w:pPr>
            <w:pStyle w:val="TOC1"/>
            <w:rPr>
              <w:rFonts w:asciiTheme="minorHAnsi" w:eastAsiaTheme="minorEastAsia" w:hAnsiTheme="minorHAnsi"/>
              <w:lang w:eastAsia="pt-PT"/>
            </w:rPr>
          </w:pPr>
          <w:hyperlink w:anchor="_Toc329099758" w:history="1">
            <w:r w:rsidR="00DE1C2C" w:rsidRPr="00022ABC">
              <w:rPr>
                <w:rStyle w:val="Hyperlink"/>
              </w:rPr>
              <w:t>Vírus Patogénicos</w:t>
            </w:r>
            <w:r w:rsidR="00DE1C2C">
              <w:rPr>
                <w:webHidden/>
              </w:rPr>
              <w:tab/>
            </w:r>
            <w:r w:rsidR="00DE1C2C">
              <w:rPr>
                <w:webHidden/>
              </w:rPr>
              <w:fldChar w:fldCharType="begin"/>
            </w:r>
            <w:r w:rsidR="00DE1C2C">
              <w:rPr>
                <w:webHidden/>
              </w:rPr>
              <w:instrText xml:space="preserve"> PAGEREF _Toc329099758 \h </w:instrText>
            </w:r>
            <w:r w:rsidR="00DE1C2C">
              <w:rPr>
                <w:webHidden/>
              </w:rPr>
            </w:r>
            <w:r w:rsidR="00DE1C2C">
              <w:rPr>
                <w:webHidden/>
              </w:rPr>
              <w:fldChar w:fldCharType="separate"/>
            </w:r>
            <w:r w:rsidR="00DE1C2C">
              <w:rPr>
                <w:webHidden/>
              </w:rPr>
              <w:t>89</w:t>
            </w:r>
            <w:r w:rsidR="00DE1C2C">
              <w:rPr>
                <w:webHidden/>
              </w:rPr>
              <w:fldChar w:fldCharType="end"/>
            </w:r>
          </w:hyperlink>
        </w:p>
        <w:p w:rsidR="00DE1C2C" w:rsidRDefault="009A56D9">
          <w:pPr>
            <w:pStyle w:val="TOC1"/>
            <w:rPr>
              <w:rFonts w:asciiTheme="minorHAnsi" w:eastAsiaTheme="minorEastAsia" w:hAnsiTheme="minorHAnsi"/>
              <w:lang w:eastAsia="pt-PT"/>
            </w:rPr>
          </w:pPr>
          <w:hyperlink w:anchor="_Toc329099759" w:history="1">
            <w:r w:rsidR="00DE1C2C" w:rsidRPr="00022ABC">
              <w:rPr>
                <w:rStyle w:val="Hyperlink"/>
                <w:lang w:val="pt-BR"/>
              </w:rPr>
              <w:t>Fungos</w:t>
            </w:r>
            <w:r w:rsidR="00DE1C2C">
              <w:rPr>
                <w:webHidden/>
              </w:rPr>
              <w:tab/>
            </w:r>
            <w:r w:rsidR="00DE1C2C">
              <w:rPr>
                <w:webHidden/>
              </w:rPr>
              <w:fldChar w:fldCharType="begin"/>
            </w:r>
            <w:r w:rsidR="00DE1C2C">
              <w:rPr>
                <w:webHidden/>
              </w:rPr>
              <w:instrText xml:space="preserve"> PAGEREF _Toc329099759 \h </w:instrText>
            </w:r>
            <w:r w:rsidR="00DE1C2C">
              <w:rPr>
                <w:webHidden/>
              </w:rPr>
            </w:r>
            <w:r w:rsidR="00DE1C2C">
              <w:rPr>
                <w:webHidden/>
              </w:rPr>
              <w:fldChar w:fldCharType="separate"/>
            </w:r>
            <w:r w:rsidR="00DE1C2C">
              <w:rPr>
                <w:webHidden/>
              </w:rPr>
              <w:t>101</w:t>
            </w:r>
            <w:r w:rsidR="00DE1C2C">
              <w:rPr>
                <w:webHidden/>
              </w:rPr>
              <w:fldChar w:fldCharType="end"/>
            </w:r>
          </w:hyperlink>
        </w:p>
        <w:p w:rsidR="00DE1C2C" w:rsidRDefault="009A56D9">
          <w:pPr>
            <w:pStyle w:val="TOC1"/>
            <w:rPr>
              <w:rFonts w:asciiTheme="minorHAnsi" w:eastAsiaTheme="minorEastAsia" w:hAnsiTheme="minorHAnsi"/>
              <w:lang w:eastAsia="pt-PT"/>
            </w:rPr>
          </w:pPr>
          <w:hyperlink w:anchor="_Toc329099760" w:history="1">
            <w:r w:rsidR="00DE1C2C" w:rsidRPr="00022ABC">
              <w:rPr>
                <w:rStyle w:val="Hyperlink"/>
                <w:lang w:val="pt-BR"/>
              </w:rPr>
              <w:t>Conceitos Básicos de Parasitologia</w:t>
            </w:r>
            <w:r w:rsidR="00DE1C2C">
              <w:rPr>
                <w:webHidden/>
              </w:rPr>
              <w:tab/>
            </w:r>
            <w:r w:rsidR="00DE1C2C">
              <w:rPr>
                <w:webHidden/>
              </w:rPr>
              <w:fldChar w:fldCharType="begin"/>
            </w:r>
            <w:r w:rsidR="00DE1C2C">
              <w:rPr>
                <w:webHidden/>
              </w:rPr>
              <w:instrText xml:space="preserve"> PAGEREF _Toc329099760 \h </w:instrText>
            </w:r>
            <w:r w:rsidR="00DE1C2C">
              <w:rPr>
                <w:webHidden/>
              </w:rPr>
            </w:r>
            <w:r w:rsidR="00DE1C2C">
              <w:rPr>
                <w:webHidden/>
              </w:rPr>
              <w:fldChar w:fldCharType="separate"/>
            </w:r>
            <w:r w:rsidR="00DE1C2C">
              <w:rPr>
                <w:webHidden/>
              </w:rPr>
              <w:t>112</w:t>
            </w:r>
            <w:r w:rsidR="00DE1C2C">
              <w:rPr>
                <w:webHidden/>
              </w:rPr>
              <w:fldChar w:fldCharType="end"/>
            </w:r>
          </w:hyperlink>
        </w:p>
        <w:p w:rsidR="00DE1C2C" w:rsidRDefault="009A56D9">
          <w:pPr>
            <w:pStyle w:val="TOC1"/>
            <w:rPr>
              <w:rFonts w:asciiTheme="minorHAnsi" w:eastAsiaTheme="minorEastAsia" w:hAnsiTheme="minorHAnsi"/>
              <w:lang w:eastAsia="pt-PT"/>
            </w:rPr>
          </w:pPr>
          <w:hyperlink w:anchor="_Toc329099761" w:history="1">
            <w:r w:rsidR="00DE1C2C" w:rsidRPr="00022ABC">
              <w:rPr>
                <w:rStyle w:val="Hyperlink"/>
                <w:rFonts w:eastAsia="Calibri"/>
                <w:lang w:val="pt-BR"/>
              </w:rPr>
              <w:t>Helmintos</w:t>
            </w:r>
            <w:r w:rsidR="00DE1C2C">
              <w:rPr>
                <w:webHidden/>
              </w:rPr>
              <w:tab/>
            </w:r>
            <w:r w:rsidR="00DE1C2C">
              <w:rPr>
                <w:webHidden/>
              </w:rPr>
              <w:fldChar w:fldCharType="begin"/>
            </w:r>
            <w:r w:rsidR="00DE1C2C">
              <w:rPr>
                <w:webHidden/>
              </w:rPr>
              <w:instrText xml:space="preserve"> PAGEREF _Toc329099761 \h </w:instrText>
            </w:r>
            <w:r w:rsidR="00DE1C2C">
              <w:rPr>
                <w:webHidden/>
              </w:rPr>
            </w:r>
            <w:r w:rsidR="00DE1C2C">
              <w:rPr>
                <w:webHidden/>
              </w:rPr>
              <w:fldChar w:fldCharType="separate"/>
            </w:r>
            <w:r w:rsidR="00DE1C2C">
              <w:rPr>
                <w:webHidden/>
              </w:rPr>
              <w:t>125</w:t>
            </w:r>
            <w:r w:rsidR="00DE1C2C">
              <w:rPr>
                <w:webHidden/>
              </w:rPr>
              <w:fldChar w:fldCharType="end"/>
            </w:r>
          </w:hyperlink>
        </w:p>
        <w:p w:rsidR="00DE1C2C" w:rsidRDefault="009A56D9">
          <w:pPr>
            <w:pStyle w:val="TOC1"/>
            <w:rPr>
              <w:rFonts w:asciiTheme="minorHAnsi" w:eastAsiaTheme="minorEastAsia" w:hAnsiTheme="minorHAnsi"/>
              <w:lang w:eastAsia="pt-PT"/>
            </w:rPr>
          </w:pPr>
          <w:hyperlink w:anchor="_Toc329099762" w:history="1">
            <w:r w:rsidR="00DE1C2C" w:rsidRPr="00022ABC">
              <w:rPr>
                <w:rStyle w:val="Hyperlink"/>
                <w:rFonts w:eastAsia="Calibri"/>
                <w:lang w:val="pt-BR"/>
              </w:rPr>
              <w:t>Artrópodes - Ectoparasitas</w:t>
            </w:r>
            <w:r w:rsidR="00DE1C2C">
              <w:rPr>
                <w:webHidden/>
              </w:rPr>
              <w:tab/>
            </w:r>
            <w:r w:rsidR="00DE1C2C">
              <w:rPr>
                <w:webHidden/>
              </w:rPr>
              <w:fldChar w:fldCharType="begin"/>
            </w:r>
            <w:r w:rsidR="00DE1C2C">
              <w:rPr>
                <w:webHidden/>
              </w:rPr>
              <w:instrText xml:space="preserve"> PAGEREF _Toc329099762 \h </w:instrText>
            </w:r>
            <w:r w:rsidR="00DE1C2C">
              <w:rPr>
                <w:webHidden/>
              </w:rPr>
            </w:r>
            <w:r w:rsidR="00DE1C2C">
              <w:rPr>
                <w:webHidden/>
              </w:rPr>
              <w:fldChar w:fldCharType="separate"/>
            </w:r>
            <w:r w:rsidR="00DE1C2C">
              <w:rPr>
                <w:webHidden/>
              </w:rPr>
              <w:t>137</w:t>
            </w:r>
            <w:r w:rsidR="00DE1C2C">
              <w:rPr>
                <w:webHidden/>
              </w:rPr>
              <w:fldChar w:fldCharType="end"/>
            </w:r>
          </w:hyperlink>
        </w:p>
        <w:p w:rsidR="00DE1C2C" w:rsidRDefault="009A56D9">
          <w:pPr>
            <w:pStyle w:val="TOC1"/>
            <w:rPr>
              <w:rFonts w:asciiTheme="minorHAnsi" w:eastAsiaTheme="minorEastAsia" w:hAnsiTheme="minorHAnsi"/>
              <w:lang w:eastAsia="pt-PT"/>
            </w:rPr>
          </w:pPr>
          <w:hyperlink w:anchor="_Toc329099763" w:history="1">
            <w:r w:rsidR="00DE1C2C" w:rsidRPr="00022ABC">
              <w:rPr>
                <w:rStyle w:val="Hyperlink"/>
              </w:rPr>
              <w:t>Microbiologia e Parasitologia</w:t>
            </w:r>
            <w:r w:rsidR="00DE1C2C">
              <w:rPr>
                <w:webHidden/>
              </w:rPr>
              <w:tab/>
            </w:r>
            <w:r w:rsidR="00DE1C2C">
              <w:rPr>
                <w:webHidden/>
              </w:rPr>
              <w:fldChar w:fldCharType="begin"/>
            </w:r>
            <w:r w:rsidR="00DE1C2C">
              <w:rPr>
                <w:webHidden/>
              </w:rPr>
              <w:instrText xml:space="preserve"> PAGEREF _Toc329099763 \h </w:instrText>
            </w:r>
            <w:r w:rsidR="00DE1C2C">
              <w:rPr>
                <w:webHidden/>
              </w:rPr>
            </w:r>
            <w:r w:rsidR="00DE1C2C">
              <w:rPr>
                <w:webHidden/>
              </w:rPr>
              <w:fldChar w:fldCharType="separate"/>
            </w:r>
            <w:r w:rsidR="00DE1C2C">
              <w:rPr>
                <w:webHidden/>
              </w:rPr>
              <w:t>144</w:t>
            </w:r>
            <w:r w:rsidR="00DE1C2C">
              <w:rPr>
                <w:webHidden/>
              </w:rPr>
              <w:fldChar w:fldCharType="end"/>
            </w:r>
          </w:hyperlink>
        </w:p>
        <w:p w:rsidR="00DE1C2C" w:rsidRDefault="009A56D9">
          <w:pPr>
            <w:pStyle w:val="TOC1"/>
            <w:rPr>
              <w:rFonts w:asciiTheme="minorHAnsi" w:eastAsiaTheme="minorEastAsia" w:hAnsiTheme="minorHAnsi"/>
              <w:lang w:eastAsia="pt-PT"/>
            </w:rPr>
          </w:pPr>
          <w:hyperlink w:anchor="_Toc329099764" w:history="1">
            <w:r w:rsidR="00DE1C2C" w:rsidRPr="00022ABC">
              <w:rPr>
                <w:rStyle w:val="Hyperlink"/>
                <w:rFonts w:eastAsia="Calibri"/>
              </w:rPr>
              <w:t>Farmacocinética</w:t>
            </w:r>
            <w:r w:rsidR="00DE1C2C">
              <w:rPr>
                <w:webHidden/>
              </w:rPr>
              <w:tab/>
            </w:r>
            <w:r w:rsidR="00DE1C2C">
              <w:rPr>
                <w:webHidden/>
              </w:rPr>
              <w:fldChar w:fldCharType="begin"/>
            </w:r>
            <w:r w:rsidR="00DE1C2C">
              <w:rPr>
                <w:webHidden/>
              </w:rPr>
              <w:instrText xml:space="preserve"> PAGEREF _Toc329099764 \h </w:instrText>
            </w:r>
            <w:r w:rsidR="00DE1C2C">
              <w:rPr>
                <w:webHidden/>
              </w:rPr>
            </w:r>
            <w:r w:rsidR="00DE1C2C">
              <w:rPr>
                <w:webHidden/>
              </w:rPr>
              <w:fldChar w:fldCharType="separate"/>
            </w:r>
            <w:r w:rsidR="00DE1C2C">
              <w:rPr>
                <w:webHidden/>
              </w:rPr>
              <w:t>153</w:t>
            </w:r>
            <w:r w:rsidR="00DE1C2C">
              <w:rPr>
                <w:webHidden/>
              </w:rPr>
              <w:fldChar w:fldCharType="end"/>
            </w:r>
          </w:hyperlink>
        </w:p>
        <w:p w:rsidR="00DE1C2C" w:rsidRDefault="009A56D9">
          <w:pPr>
            <w:pStyle w:val="TOC1"/>
            <w:rPr>
              <w:rFonts w:asciiTheme="minorHAnsi" w:eastAsiaTheme="minorEastAsia" w:hAnsiTheme="minorHAnsi"/>
              <w:lang w:eastAsia="pt-PT"/>
            </w:rPr>
          </w:pPr>
          <w:hyperlink w:anchor="_Toc329099765" w:history="1">
            <w:r w:rsidR="00DE1C2C" w:rsidRPr="00022ABC">
              <w:rPr>
                <w:rStyle w:val="Hyperlink"/>
                <w:rFonts w:eastAsia="Calibri"/>
              </w:rPr>
              <w:t>Farmacodinâmica</w:t>
            </w:r>
            <w:r w:rsidR="00DE1C2C">
              <w:rPr>
                <w:webHidden/>
              </w:rPr>
              <w:tab/>
            </w:r>
            <w:r w:rsidR="00DE1C2C">
              <w:rPr>
                <w:webHidden/>
              </w:rPr>
              <w:fldChar w:fldCharType="begin"/>
            </w:r>
            <w:r w:rsidR="00DE1C2C">
              <w:rPr>
                <w:webHidden/>
              </w:rPr>
              <w:instrText xml:space="preserve"> PAGEREF _Toc329099765 \h </w:instrText>
            </w:r>
            <w:r w:rsidR="00DE1C2C">
              <w:rPr>
                <w:webHidden/>
              </w:rPr>
            </w:r>
            <w:r w:rsidR="00DE1C2C">
              <w:rPr>
                <w:webHidden/>
              </w:rPr>
              <w:fldChar w:fldCharType="separate"/>
            </w:r>
            <w:r w:rsidR="00DE1C2C">
              <w:rPr>
                <w:webHidden/>
              </w:rPr>
              <w:t>159</w:t>
            </w:r>
            <w:r w:rsidR="00DE1C2C">
              <w:rPr>
                <w:webHidden/>
              </w:rPr>
              <w:fldChar w:fldCharType="end"/>
            </w:r>
          </w:hyperlink>
        </w:p>
        <w:p w:rsidR="00DE1C2C" w:rsidRDefault="009A56D9">
          <w:pPr>
            <w:pStyle w:val="TOC1"/>
            <w:rPr>
              <w:rFonts w:asciiTheme="minorHAnsi" w:eastAsiaTheme="minorEastAsia" w:hAnsiTheme="minorHAnsi"/>
              <w:lang w:eastAsia="pt-PT"/>
            </w:rPr>
          </w:pPr>
          <w:hyperlink w:anchor="_Toc329099766" w:history="1">
            <w:r w:rsidR="00DE1C2C" w:rsidRPr="00022ABC">
              <w:rPr>
                <w:rStyle w:val="Hyperlink"/>
                <w:lang w:val="pt-BR"/>
              </w:rPr>
              <w:t>Farmacologia Especial de Sistemas</w:t>
            </w:r>
            <w:r w:rsidR="00DE1C2C">
              <w:rPr>
                <w:webHidden/>
              </w:rPr>
              <w:tab/>
            </w:r>
            <w:r w:rsidR="00DE1C2C">
              <w:rPr>
                <w:webHidden/>
              </w:rPr>
              <w:fldChar w:fldCharType="begin"/>
            </w:r>
            <w:r w:rsidR="00DE1C2C">
              <w:rPr>
                <w:webHidden/>
              </w:rPr>
              <w:instrText xml:space="preserve"> PAGEREF _Toc329099766 \h </w:instrText>
            </w:r>
            <w:r w:rsidR="00DE1C2C">
              <w:rPr>
                <w:webHidden/>
              </w:rPr>
            </w:r>
            <w:r w:rsidR="00DE1C2C">
              <w:rPr>
                <w:webHidden/>
              </w:rPr>
              <w:fldChar w:fldCharType="separate"/>
            </w:r>
            <w:r w:rsidR="00DE1C2C">
              <w:rPr>
                <w:webHidden/>
              </w:rPr>
              <w:t>165</w:t>
            </w:r>
            <w:r w:rsidR="00DE1C2C">
              <w:rPr>
                <w:webHidden/>
              </w:rPr>
              <w:fldChar w:fldCharType="end"/>
            </w:r>
          </w:hyperlink>
        </w:p>
        <w:p w:rsidR="00DE1C2C" w:rsidRDefault="009A56D9">
          <w:pPr>
            <w:pStyle w:val="TOC1"/>
            <w:rPr>
              <w:rFonts w:asciiTheme="minorHAnsi" w:eastAsiaTheme="minorEastAsia" w:hAnsiTheme="minorHAnsi"/>
              <w:lang w:eastAsia="pt-PT"/>
            </w:rPr>
          </w:pPr>
          <w:hyperlink w:anchor="_Toc329099767" w:history="1">
            <w:r w:rsidR="00DE1C2C" w:rsidRPr="00022ABC">
              <w:rPr>
                <w:rStyle w:val="Hyperlink"/>
                <w:lang w:val="pt-BR"/>
              </w:rPr>
              <w:t>Farmacologia Especial de Sistemas</w:t>
            </w:r>
            <w:r w:rsidR="00DE1C2C">
              <w:rPr>
                <w:webHidden/>
              </w:rPr>
              <w:tab/>
            </w:r>
            <w:r w:rsidR="00DE1C2C">
              <w:rPr>
                <w:webHidden/>
              </w:rPr>
              <w:fldChar w:fldCharType="begin"/>
            </w:r>
            <w:r w:rsidR="00DE1C2C">
              <w:rPr>
                <w:webHidden/>
              </w:rPr>
              <w:instrText xml:space="preserve"> PAGEREF _Toc329099767 \h </w:instrText>
            </w:r>
            <w:r w:rsidR="00DE1C2C">
              <w:rPr>
                <w:webHidden/>
              </w:rPr>
            </w:r>
            <w:r w:rsidR="00DE1C2C">
              <w:rPr>
                <w:webHidden/>
              </w:rPr>
              <w:fldChar w:fldCharType="separate"/>
            </w:r>
            <w:r w:rsidR="00DE1C2C">
              <w:rPr>
                <w:webHidden/>
              </w:rPr>
              <w:t>173</w:t>
            </w:r>
            <w:r w:rsidR="00DE1C2C">
              <w:rPr>
                <w:webHidden/>
              </w:rPr>
              <w:fldChar w:fldCharType="end"/>
            </w:r>
          </w:hyperlink>
        </w:p>
        <w:p w:rsidR="00DE1C2C" w:rsidRDefault="009A56D9">
          <w:pPr>
            <w:pStyle w:val="TOC1"/>
            <w:rPr>
              <w:rFonts w:asciiTheme="minorHAnsi" w:eastAsiaTheme="minorEastAsia" w:hAnsiTheme="minorHAnsi"/>
              <w:lang w:eastAsia="pt-PT"/>
            </w:rPr>
          </w:pPr>
          <w:hyperlink w:anchor="_Toc329099768" w:history="1">
            <w:r w:rsidR="00DE1C2C" w:rsidRPr="00022ABC">
              <w:rPr>
                <w:rStyle w:val="Hyperlink"/>
                <w:lang w:val="pt-BR"/>
              </w:rPr>
              <w:t>Farmacologia Especial de Sistemas</w:t>
            </w:r>
            <w:r w:rsidR="00DE1C2C">
              <w:rPr>
                <w:webHidden/>
              </w:rPr>
              <w:tab/>
            </w:r>
            <w:r w:rsidR="00DE1C2C">
              <w:rPr>
                <w:webHidden/>
              </w:rPr>
              <w:fldChar w:fldCharType="begin"/>
            </w:r>
            <w:r w:rsidR="00DE1C2C">
              <w:rPr>
                <w:webHidden/>
              </w:rPr>
              <w:instrText xml:space="preserve"> PAGEREF _Toc329099768 \h </w:instrText>
            </w:r>
            <w:r w:rsidR="00DE1C2C">
              <w:rPr>
                <w:webHidden/>
              </w:rPr>
            </w:r>
            <w:r w:rsidR="00DE1C2C">
              <w:rPr>
                <w:webHidden/>
              </w:rPr>
              <w:fldChar w:fldCharType="separate"/>
            </w:r>
            <w:r w:rsidR="00DE1C2C">
              <w:rPr>
                <w:webHidden/>
              </w:rPr>
              <w:t>184</w:t>
            </w:r>
            <w:r w:rsidR="00DE1C2C">
              <w:rPr>
                <w:webHidden/>
              </w:rPr>
              <w:fldChar w:fldCharType="end"/>
            </w:r>
          </w:hyperlink>
        </w:p>
        <w:p w:rsidR="00DE1C2C" w:rsidRDefault="009A56D9">
          <w:pPr>
            <w:pStyle w:val="TOC1"/>
            <w:rPr>
              <w:rFonts w:asciiTheme="minorHAnsi" w:eastAsiaTheme="minorEastAsia" w:hAnsiTheme="minorHAnsi"/>
              <w:lang w:eastAsia="pt-PT"/>
            </w:rPr>
          </w:pPr>
          <w:hyperlink w:anchor="_Toc329099769" w:history="1">
            <w:r w:rsidR="00DE1C2C" w:rsidRPr="00022ABC">
              <w:rPr>
                <w:rStyle w:val="Hyperlink"/>
                <w:lang w:val="pt-BR"/>
              </w:rPr>
              <w:t>Farmacologia Especial de Sistemas</w:t>
            </w:r>
            <w:r w:rsidR="00DE1C2C">
              <w:rPr>
                <w:webHidden/>
              </w:rPr>
              <w:tab/>
            </w:r>
            <w:r w:rsidR="00DE1C2C">
              <w:rPr>
                <w:webHidden/>
              </w:rPr>
              <w:fldChar w:fldCharType="begin"/>
            </w:r>
            <w:r w:rsidR="00DE1C2C">
              <w:rPr>
                <w:webHidden/>
              </w:rPr>
              <w:instrText xml:space="preserve"> PAGEREF _Toc329099769 \h </w:instrText>
            </w:r>
            <w:r w:rsidR="00DE1C2C">
              <w:rPr>
                <w:webHidden/>
              </w:rPr>
            </w:r>
            <w:r w:rsidR="00DE1C2C">
              <w:rPr>
                <w:webHidden/>
              </w:rPr>
              <w:fldChar w:fldCharType="separate"/>
            </w:r>
            <w:r w:rsidR="00DE1C2C">
              <w:rPr>
                <w:webHidden/>
              </w:rPr>
              <w:t>195</w:t>
            </w:r>
            <w:r w:rsidR="00DE1C2C">
              <w:rPr>
                <w:webHidden/>
              </w:rPr>
              <w:fldChar w:fldCharType="end"/>
            </w:r>
          </w:hyperlink>
        </w:p>
        <w:p w:rsidR="00DE1C2C" w:rsidRDefault="009A56D9">
          <w:pPr>
            <w:pStyle w:val="TOC1"/>
            <w:rPr>
              <w:rFonts w:asciiTheme="minorHAnsi" w:eastAsiaTheme="minorEastAsia" w:hAnsiTheme="minorHAnsi"/>
              <w:lang w:eastAsia="pt-PT"/>
            </w:rPr>
          </w:pPr>
          <w:hyperlink w:anchor="_Toc329099770" w:history="1">
            <w:r w:rsidR="00DE1C2C" w:rsidRPr="00022ABC">
              <w:rPr>
                <w:rStyle w:val="Hyperlink"/>
                <w:lang w:val="pt-BR"/>
              </w:rPr>
              <w:t>Farmacologia Especial de Sistemas</w:t>
            </w:r>
            <w:r w:rsidR="00DE1C2C">
              <w:rPr>
                <w:webHidden/>
              </w:rPr>
              <w:tab/>
            </w:r>
            <w:r w:rsidR="00DE1C2C">
              <w:rPr>
                <w:webHidden/>
              </w:rPr>
              <w:fldChar w:fldCharType="begin"/>
            </w:r>
            <w:r w:rsidR="00DE1C2C">
              <w:rPr>
                <w:webHidden/>
              </w:rPr>
              <w:instrText xml:space="preserve"> PAGEREF _Toc329099770 \h </w:instrText>
            </w:r>
            <w:r w:rsidR="00DE1C2C">
              <w:rPr>
                <w:webHidden/>
              </w:rPr>
            </w:r>
            <w:r w:rsidR="00DE1C2C">
              <w:rPr>
                <w:webHidden/>
              </w:rPr>
              <w:fldChar w:fldCharType="separate"/>
            </w:r>
            <w:r w:rsidR="00DE1C2C">
              <w:rPr>
                <w:webHidden/>
              </w:rPr>
              <w:t>204</w:t>
            </w:r>
            <w:r w:rsidR="00DE1C2C">
              <w:rPr>
                <w:webHidden/>
              </w:rPr>
              <w:fldChar w:fldCharType="end"/>
            </w:r>
          </w:hyperlink>
        </w:p>
        <w:p w:rsidR="00DE1C2C" w:rsidRDefault="009A56D9">
          <w:pPr>
            <w:pStyle w:val="TOC1"/>
            <w:rPr>
              <w:rFonts w:asciiTheme="minorHAnsi" w:eastAsiaTheme="minorEastAsia" w:hAnsiTheme="minorHAnsi"/>
              <w:lang w:eastAsia="pt-PT"/>
            </w:rPr>
          </w:pPr>
          <w:hyperlink w:anchor="_Toc329099771" w:history="1">
            <w:r w:rsidR="00DE1C2C" w:rsidRPr="00022ABC">
              <w:rPr>
                <w:rStyle w:val="Hyperlink"/>
                <w:lang w:val="pt-BR"/>
              </w:rPr>
              <w:t>Farmacologia Especial de Sistemas</w:t>
            </w:r>
            <w:r w:rsidR="00DE1C2C">
              <w:rPr>
                <w:webHidden/>
              </w:rPr>
              <w:tab/>
            </w:r>
            <w:r w:rsidR="00DE1C2C">
              <w:rPr>
                <w:webHidden/>
              </w:rPr>
              <w:fldChar w:fldCharType="begin"/>
            </w:r>
            <w:r w:rsidR="00DE1C2C">
              <w:rPr>
                <w:webHidden/>
              </w:rPr>
              <w:instrText xml:space="preserve"> PAGEREF _Toc329099771 \h </w:instrText>
            </w:r>
            <w:r w:rsidR="00DE1C2C">
              <w:rPr>
                <w:webHidden/>
              </w:rPr>
            </w:r>
            <w:r w:rsidR="00DE1C2C">
              <w:rPr>
                <w:webHidden/>
              </w:rPr>
              <w:fldChar w:fldCharType="separate"/>
            </w:r>
            <w:r w:rsidR="00DE1C2C">
              <w:rPr>
                <w:webHidden/>
              </w:rPr>
              <w:t>212</w:t>
            </w:r>
            <w:r w:rsidR="00DE1C2C">
              <w:rPr>
                <w:webHidden/>
              </w:rPr>
              <w:fldChar w:fldCharType="end"/>
            </w:r>
          </w:hyperlink>
        </w:p>
        <w:p w:rsidR="00DE1C2C" w:rsidRDefault="009A56D9">
          <w:pPr>
            <w:pStyle w:val="TOC1"/>
            <w:rPr>
              <w:rFonts w:asciiTheme="minorHAnsi" w:eastAsiaTheme="minorEastAsia" w:hAnsiTheme="minorHAnsi"/>
              <w:lang w:eastAsia="pt-PT"/>
            </w:rPr>
          </w:pPr>
          <w:hyperlink w:anchor="_Toc329099772" w:history="1">
            <w:r w:rsidR="00DE1C2C" w:rsidRPr="00022ABC">
              <w:rPr>
                <w:rStyle w:val="Hyperlink"/>
                <w:rFonts w:eastAsia="Calibri"/>
              </w:rPr>
              <w:t>Toxicologia</w:t>
            </w:r>
            <w:r w:rsidR="00DE1C2C">
              <w:rPr>
                <w:webHidden/>
              </w:rPr>
              <w:tab/>
            </w:r>
            <w:r w:rsidR="00DE1C2C">
              <w:rPr>
                <w:webHidden/>
              </w:rPr>
              <w:fldChar w:fldCharType="begin"/>
            </w:r>
            <w:r w:rsidR="00DE1C2C">
              <w:rPr>
                <w:webHidden/>
              </w:rPr>
              <w:instrText xml:space="preserve"> PAGEREF _Toc329099772 \h </w:instrText>
            </w:r>
            <w:r w:rsidR="00DE1C2C">
              <w:rPr>
                <w:webHidden/>
              </w:rPr>
            </w:r>
            <w:r w:rsidR="00DE1C2C">
              <w:rPr>
                <w:webHidden/>
              </w:rPr>
              <w:fldChar w:fldCharType="separate"/>
            </w:r>
            <w:r w:rsidR="00DE1C2C">
              <w:rPr>
                <w:webHidden/>
              </w:rPr>
              <w:t>226</w:t>
            </w:r>
            <w:r w:rsidR="00DE1C2C">
              <w:rPr>
                <w:webHidden/>
              </w:rPr>
              <w:fldChar w:fldCharType="end"/>
            </w:r>
          </w:hyperlink>
        </w:p>
        <w:p w:rsidR="00DE1C2C" w:rsidRDefault="009A56D9">
          <w:pPr>
            <w:pStyle w:val="TOC1"/>
            <w:rPr>
              <w:rFonts w:asciiTheme="minorHAnsi" w:eastAsiaTheme="minorEastAsia" w:hAnsiTheme="minorHAnsi"/>
              <w:lang w:eastAsia="pt-PT"/>
            </w:rPr>
          </w:pPr>
          <w:hyperlink w:anchor="_Toc329099773" w:history="1">
            <w:r w:rsidR="00DE1C2C" w:rsidRPr="00022ABC">
              <w:rPr>
                <w:rStyle w:val="Hyperlink"/>
                <w:lang w:val="pt-BR"/>
              </w:rPr>
              <w:t>Farmacologia:</w:t>
            </w:r>
            <w:r w:rsidR="00DE1C2C">
              <w:rPr>
                <w:webHidden/>
              </w:rPr>
              <w:tab/>
            </w:r>
            <w:r w:rsidR="00DE1C2C">
              <w:rPr>
                <w:webHidden/>
              </w:rPr>
              <w:fldChar w:fldCharType="begin"/>
            </w:r>
            <w:r w:rsidR="00DE1C2C">
              <w:rPr>
                <w:webHidden/>
              </w:rPr>
              <w:instrText xml:space="preserve"> PAGEREF _Toc329099773 \h </w:instrText>
            </w:r>
            <w:r w:rsidR="00DE1C2C">
              <w:rPr>
                <w:webHidden/>
              </w:rPr>
            </w:r>
            <w:r w:rsidR="00DE1C2C">
              <w:rPr>
                <w:webHidden/>
              </w:rPr>
              <w:fldChar w:fldCharType="separate"/>
            </w:r>
            <w:r w:rsidR="00DE1C2C">
              <w:rPr>
                <w:webHidden/>
              </w:rPr>
              <w:t>236</w:t>
            </w:r>
            <w:r w:rsidR="00DE1C2C">
              <w:rPr>
                <w:webHidden/>
              </w:rPr>
              <w:fldChar w:fldCharType="end"/>
            </w:r>
          </w:hyperlink>
        </w:p>
        <w:p w:rsidR="00AD29AF" w:rsidRDefault="00D73438">
          <w:r>
            <w:fldChar w:fldCharType="end"/>
          </w:r>
        </w:p>
      </w:sdtContent>
    </w:sdt>
    <w:p w:rsidR="00120046" w:rsidRDefault="00120046">
      <w:r>
        <w:br w:type="page"/>
      </w:r>
    </w:p>
    <w:p w:rsidR="00AD29AF" w:rsidRDefault="00AD29AF"/>
    <w:p w:rsidR="00AD29AF" w:rsidRDefault="00AD29AF" w:rsidP="00AD29AF">
      <w:pPr>
        <w:jc w:val="center"/>
        <w:sectPr w:rsidR="00AD29AF" w:rsidSect="00CC5F5B">
          <w:footerReference w:type="default" r:id="rId16"/>
          <w:pgSz w:w="11907" w:h="16839" w:code="9"/>
          <w:pgMar w:top="864" w:right="864" w:bottom="864" w:left="864" w:header="720" w:footer="720" w:gutter="0"/>
          <w:pgBorders w:display="firstPage" w:offsetFrom="page">
            <w:top w:val="outset" w:sz="6" w:space="24" w:color="auto"/>
            <w:left w:val="outset" w:sz="6" w:space="24" w:color="auto"/>
            <w:bottom w:val="inset" w:sz="6" w:space="24" w:color="auto"/>
            <w:right w:val="inset" w:sz="6" w:space="24" w:color="auto"/>
          </w:pgBorders>
          <w:cols w:space="720"/>
          <w:titlePg/>
          <w:docGrid w:linePitch="360"/>
        </w:sectPr>
      </w:pPr>
    </w:p>
    <w:p w:rsidR="00014F48" w:rsidRPr="00B977A5" w:rsidRDefault="00014F48" w:rsidP="00014F48">
      <w:pPr>
        <w:pStyle w:val="Heading1"/>
        <w:rPr>
          <w:lang w:val="pt-PT"/>
        </w:rPr>
      </w:pPr>
      <w:bookmarkStart w:id="3" w:name="_Toc260040102"/>
      <w:bookmarkStart w:id="4" w:name="_Toc329099748"/>
      <w:r>
        <w:rPr>
          <w:lang w:val="pt-PT"/>
        </w:rPr>
        <w:lastRenderedPageBreak/>
        <w:t>Plano Analítico</w:t>
      </w:r>
      <w:bookmarkEnd w:id="3"/>
      <w:bookmarkEnd w:id="4"/>
    </w:p>
    <w:p w:rsidR="00014F48" w:rsidRDefault="00014F48" w:rsidP="00014F48">
      <w:pPr>
        <w:rPr>
          <w:rFonts w:cs="Arial"/>
          <w:highlight w:val="yellow"/>
          <w:lang w:val="pt-PT"/>
        </w:rPr>
      </w:pPr>
    </w:p>
    <w:p w:rsidR="00014F48" w:rsidRPr="005846D8" w:rsidRDefault="00014F48" w:rsidP="00014F48">
      <w:pPr>
        <w:spacing w:before="120"/>
        <w:rPr>
          <w:rFonts w:cs="Arial"/>
          <w:b/>
          <w:sz w:val="24"/>
          <w:lang w:val="pt-BR"/>
        </w:rPr>
      </w:pPr>
      <w:r w:rsidRPr="006F3A28">
        <w:rPr>
          <w:rFonts w:cs="Arial"/>
          <w:lang w:val="pt-PT"/>
        </w:rPr>
        <w:t>NOME DA DISCIPLINA:</w:t>
      </w:r>
      <w:r>
        <w:rPr>
          <w:rFonts w:cs="Arial"/>
          <w:lang w:val="pt-PT"/>
        </w:rPr>
        <w:t xml:space="preserve"> </w:t>
      </w:r>
      <w:r>
        <w:rPr>
          <w:b/>
          <w:sz w:val="24"/>
          <w:lang w:val="pt-BR"/>
        </w:rPr>
        <w:t>Introdução às Ciências Médicas</w:t>
      </w:r>
    </w:p>
    <w:p w:rsidR="00014F48" w:rsidRPr="000F3D4E" w:rsidRDefault="00014F48" w:rsidP="00014F48">
      <w:pPr>
        <w:spacing w:before="120"/>
        <w:rPr>
          <w:rFonts w:cs="Arial"/>
          <w:lang w:val="pt-PT"/>
        </w:rPr>
      </w:pPr>
      <w:r w:rsidRPr="000F3D4E">
        <w:rPr>
          <w:rFonts w:cs="Arial"/>
          <w:lang w:val="pt-PT"/>
        </w:rPr>
        <w:t xml:space="preserve">DURAÇÃO </w:t>
      </w:r>
      <w:r>
        <w:rPr>
          <w:rFonts w:cs="Arial"/>
          <w:lang w:val="pt-PT"/>
        </w:rPr>
        <w:t xml:space="preserve">DA DISCIPLINA: </w:t>
      </w:r>
      <w:r>
        <w:rPr>
          <w:rFonts w:cs="Arial"/>
          <w:b/>
          <w:lang w:val="pt-PT"/>
        </w:rPr>
        <w:t>12</w:t>
      </w:r>
      <w:r w:rsidRPr="00296649">
        <w:rPr>
          <w:rFonts w:cs="Arial"/>
          <w:b/>
          <w:lang w:val="pt-PT"/>
        </w:rPr>
        <w:t xml:space="preserve"> semanas</w:t>
      </w:r>
    </w:p>
    <w:p w:rsidR="00014F48" w:rsidRPr="00775948" w:rsidRDefault="00014F48" w:rsidP="00014F48">
      <w:pPr>
        <w:spacing w:before="120"/>
        <w:rPr>
          <w:rFonts w:cs="Arial"/>
          <w:lang w:val="pt-PT"/>
        </w:rPr>
      </w:pPr>
      <w:r w:rsidRPr="000F3D4E">
        <w:rPr>
          <w:rFonts w:cs="Arial"/>
          <w:lang w:val="pt-PT"/>
        </w:rPr>
        <w:t>NÚMERO DE HORAS POR SEMANA:</w:t>
      </w:r>
      <w:r>
        <w:rPr>
          <w:rFonts w:cs="Arial"/>
          <w:lang w:val="pt-PT"/>
        </w:rPr>
        <w:t xml:space="preserve"> </w:t>
      </w:r>
      <w:r>
        <w:rPr>
          <w:rFonts w:cs="Arial"/>
          <w:b/>
          <w:lang w:val="pt-PT"/>
        </w:rPr>
        <w:t>5</w:t>
      </w:r>
    </w:p>
    <w:p w:rsidR="00014F48" w:rsidRPr="00775948" w:rsidRDefault="00014F48" w:rsidP="00014F48">
      <w:pPr>
        <w:spacing w:before="120"/>
        <w:rPr>
          <w:rFonts w:cs="Arial"/>
          <w:lang w:val="pt-PT"/>
        </w:rPr>
      </w:pPr>
      <w:r w:rsidRPr="006F3A28">
        <w:rPr>
          <w:rFonts w:cs="Arial"/>
          <w:lang w:val="pt-PT"/>
        </w:rPr>
        <w:t>NÚMERO TOTAL DE HORAS</w:t>
      </w:r>
      <w:r>
        <w:rPr>
          <w:rFonts w:cs="Arial"/>
          <w:lang w:val="pt-PT"/>
        </w:rPr>
        <w:t xml:space="preserve">: </w:t>
      </w:r>
      <w:r>
        <w:rPr>
          <w:rFonts w:cs="Arial"/>
          <w:b/>
          <w:lang w:val="pt-PT"/>
        </w:rPr>
        <w:t xml:space="preserve">59 horas </w:t>
      </w:r>
    </w:p>
    <w:p w:rsidR="00014F48" w:rsidRDefault="00014F48" w:rsidP="00014F48">
      <w:pPr>
        <w:rPr>
          <w:rFonts w:cs="Arial"/>
          <w:highlight w:val="yellow"/>
          <w:lang w:val="pt-PT"/>
        </w:rPr>
      </w:pPr>
    </w:p>
    <w:p w:rsidR="00014F48" w:rsidRPr="003143F7" w:rsidRDefault="00014F48" w:rsidP="00014F48">
      <w:pPr>
        <w:rPr>
          <w:rFonts w:cs="Arial"/>
          <w:b/>
          <w:lang w:val="pt-PT"/>
        </w:rPr>
      </w:pPr>
      <w:r w:rsidRPr="006F3A28">
        <w:rPr>
          <w:rFonts w:cs="Arial"/>
          <w:b/>
          <w:lang w:val="pt-PT"/>
        </w:rPr>
        <w:t>N</w:t>
      </w:r>
      <w:r>
        <w:rPr>
          <w:rFonts w:cs="Arial"/>
          <w:b/>
          <w:lang w:val="pt-PT"/>
        </w:rPr>
        <w:t>OME E CONTACTO DO COORDENADOR DA DISCIPLINA</w:t>
      </w:r>
      <w:r w:rsidRPr="006F3A28">
        <w:rPr>
          <w:rFonts w:cs="Arial"/>
          <w:b/>
          <w:lang w:val="pt-PT"/>
        </w:rPr>
        <w:t xml:space="preserve">: </w:t>
      </w:r>
    </w:p>
    <w:p w:rsidR="00014F48" w:rsidRDefault="00014F48" w:rsidP="00014F48">
      <w:pPr>
        <w:rPr>
          <w:rFonts w:cs="Arial"/>
          <w:lang w:val="pt-PT"/>
        </w:rPr>
      </w:pPr>
      <w:r>
        <w:rPr>
          <w:rFonts w:cs="Arial"/>
          <w:lang w:val="pt-PT"/>
        </w:rPr>
        <w:t>_________________________________________________________________________</w:t>
      </w:r>
    </w:p>
    <w:p w:rsidR="00014F48" w:rsidRDefault="00014F48" w:rsidP="00014F48">
      <w:pPr>
        <w:rPr>
          <w:rFonts w:cs="Arial"/>
          <w:lang w:val="pt-PT"/>
        </w:rPr>
      </w:pPr>
    </w:p>
    <w:p w:rsidR="00014F48" w:rsidRPr="00426E85" w:rsidRDefault="00014F48" w:rsidP="00014F48">
      <w:pPr>
        <w:rPr>
          <w:rFonts w:cs="Arial"/>
          <w:b/>
          <w:lang w:val="pt-PT"/>
        </w:rPr>
      </w:pPr>
      <w:r w:rsidRPr="00426E85">
        <w:rPr>
          <w:rFonts w:cs="Arial"/>
          <w:b/>
          <w:lang w:val="pt-PT"/>
        </w:rPr>
        <w:t xml:space="preserve">NOMES E CONTACTOS DOS DOCENTES DA DISCIPLINA: </w:t>
      </w:r>
    </w:p>
    <w:p w:rsidR="00014F48" w:rsidRDefault="00014F48" w:rsidP="00014F48">
      <w:pPr>
        <w:spacing w:line="360" w:lineRule="auto"/>
        <w:rPr>
          <w:rFonts w:cs="Arial"/>
          <w:lang w:val="pt-PT"/>
        </w:rPr>
      </w:pPr>
      <w:r>
        <w:rPr>
          <w:rFonts w:cs="Arial"/>
          <w:lang w:val="pt-PT"/>
        </w:rPr>
        <w:t>_________________________________________________________________________</w:t>
      </w:r>
    </w:p>
    <w:p w:rsidR="00014F48" w:rsidRDefault="00014F48" w:rsidP="00014F48">
      <w:pPr>
        <w:spacing w:line="360" w:lineRule="auto"/>
        <w:rPr>
          <w:rFonts w:cs="Arial"/>
          <w:lang w:val="pt-PT"/>
        </w:rPr>
      </w:pPr>
      <w:r>
        <w:rPr>
          <w:rFonts w:cs="Arial"/>
          <w:lang w:val="pt-PT"/>
        </w:rPr>
        <w:t>_________________________________________________________________________</w:t>
      </w:r>
    </w:p>
    <w:p w:rsidR="00014F48" w:rsidRDefault="00014F48" w:rsidP="00014F48">
      <w:pPr>
        <w:spacing w:line="360" w:lineRule="auto"/>
        <w:rPr>
          <w:rFonts w:cs="Arial"/>
          <w:lang w:val="pt-PT"/>
        </w:rPr>
      </w:pPr>
      <w:r>
        <w:rPr>
          <w:rFonts w:cs="Arial"/>
          <w:lang w:val="pt-PT"/>
        </w:rPr>
        <w:t>_________________________________________________________________________</w:t>
      </w:r>
    </w:p>
    <w:p w:rsidR="00014F48" w:rsidRDefault="00014F48" w:rsidP="00014F48">
      <w:pPr>
        <w:pStyle w:val="ListParagraph"/>
        <w:ind w:left="0"/>
        <w:rPr>
          <w:b/>
          <w:lang w:val="pt-PT"/>
        </w:rPr>
      </w:pPr>
      <w:r>
        <w:rPr>
          <w:b/>
          <w:lang w:val="pt-PT"/>
        </w:rPr>
        <w:t>COMPETÊNCIAS A SEREM ADQUIRIDAS ATÉ O FINAL DA DISCIPLINA</w:t>
      </w:r>
    </w:p>
    <w:p w:rsidR="00014F48" w:rsidRDefault="00014F48" w:rsidP="00014F48">
      <w:pPr>
        <w:pStyle w:val="ListParagraph"/>
        <w:ind w:left="0"/>
        <w:rPr>
          <w:b/>
          <w:lang w:val="pt-PT"/>
        </w:rPr>
      </w:pPr>
    </w:p>
    <w:p w:rsidR="00014F48" w:rsidRPr="00EB5025" w:rsidRDefault="00014F48" w:rsidP="00014F48">
      <w:pPr>
        <w:pStyle w:val="ListParagraph"/>
        <w:ind w:left="0"/>
        <w:rPr>
          <w:b/>
          <w:lang w:val="pt-PT"/>
        </w:rPr>
      </w:pPr>
      <w:r w:rsidRPr="00EB5025">
        <w:rPr>
          <w:b/>
          <w:lang w:val="pt-PT"/>
        </w:rPr>
        <w:t xml:space="preserve">O </w:t>
      </w:r>
      <w:r w:rsidRPr="006F25D2">
        <w:rPr>
          <w:b/>
          <w:lang w:val="pt-PT"/>
        </w:rPr>
        <w:t>Técnico de Medicina</w:t>
      </w:r>
      <w:r w:rsidRPr="00EB5025">
        <w:rPr>
          <w:b/>
          <w:lang w:val="pt-PT"/>
        </w:rPr>
        <w:t xml:space="preserve"> ser</w:t>
      </w:r>
      <w:r>
        <w:rPr>
          <w:b/>
          <w:lang w:val="pt-PT"/>
        </w:rPr>
        <w:t>á</w:t>
      </w:r>
      <w:r w:rsidRPr="00EB5025">
        <w:rPr>
          <w:b/>
          <w:lang w:val="pt-PT"/>
        </w:rPr>
        <w:t xml:space="preserve"> capaz de realizar as seguintes tarefas:</w:t>
      </w:r>
    </w:p>
    <w:p w:rsidR="00014F48" w:rsidRPr="009B283D" w:rsidRDefault="00014F48" w:rsidP="00A05CAA">
      <w:pPr>
        <w:numPr>
          <w:ilvl w:val="0"/>
          <w:numId w:val="9"/>
        </w:numPr>
        <w:spacing w:after="0"/>
        <w:ind w:left="714" w:hanging="357"/>
        <w:jc w:val="both"/>
        <w:rPr>
          <w:lang w:val="pt-PT"/>
        </w:rPr>
      </w:pPr>
      <w:r>
        <w:rPr>
          <w:lang w:val="pt-PT"/>
        </w:rPr>
        <w:t xml:space="preserve">Conhecer </w:t>
      </w:r>
      <w:r w:rsidRPr="009B283D">
        <w:rPr>
          <w:lang w:val="pt-PT"/>
        </w:rPr>
        <w:t xml:space="preserve">o controlo do balanço de fluidos e da análise de urina </w:t>
      </w:r>
      <w:r>
        <w:rPr>
          <w:lang w:val="pt-PT"/>
        </w:rPr>
        <w:t>e sua aplicação no manejo de p</w:t>
      </w:r>
      <w:r w:rsidRPr="009B283D">
        <w:rPr>
          <w:lang w:val="pt-PT"/>
        </w:rPr>
        <w:t>acientes desidratados;</w:t>
      </w:r>
    </w:p>
    <w:p w:rsidR="00014F48" w:rsidRPr="009B283D" w:rsidRDefault="00014F48" w:rsidP="00A05CAA">
      <w:pPr>
        <w:numPr>
          <w:ilvl w:val="0"/>
          <w:numId w:val="9"/>
        </w:numPr>
        <w:spacing w:after="0"/>
        <w:ind w:left="714" w:hanging="357"/>
        <w:jc w:val="both"/>
        <w:rPr>
          <w:lang w:val="pt-PT"/>
        </w:rPr>
      </w:pPr>
      <w:r>
        <w:rPr>
          <w:lang w:val="pt-PT"/>
        </w:rPr>
        <w:t xml:space="preserve">Conhecer os princípios de funcionamento dos vários tipos de vacinas; </w:t>
      </w:r>
    </w:p>
    <w:p w:rsidR="00014F48" w:rsidRDefault="00014F48" w:rsidP="00A05CAA">
      <w:pPr>
        <w:numPr>
          <w:ilvl w:val="0"/>
          <w:numId w:val="9"/>
        </w:numPr>
        <w:spacing w:after="0"/>
        <w:ind w:left="714" w:hanging="357"/>
        <w:jc w:val="both"/>
        <w:rPr>
          <w:lang w:val="pt-PT"/>
        </w:rPr>
      </w:pPr>
      <w:r>
        <w:rPr>
          <w:lang w:val="pt-PT"/>
        </w:rPr>
        <w:t>Conhecer as características microbiológicas dos principais agentes infecciosos em Moçambique;</w:t>
      </w:r>
    </w:p>
    <w:p w:rsidR="00014F48" w:rsidRPr="009B283D" w:rsidRDefault="00014F48" w:rsidP="00A05CAA">
      <w:pPr>
        <w:numPr>
          <w:ilvl w:val="0"/>
          <w:numId w:val="9"/>
        </w:numPr>
        <w:spacing w:after="0"/>
        <w:ind w:left="714" w:hanging="357"/>
        <w:jc w:val="both"/>
        <w:rPr>
          <w:lang w:val="pt-PT"/>
        </w:rPr>
      </w:pPr>
      <w:r>
        <w:rPr>
          <w:lang w:val="pt-PT"/>
        </w:rPr>
        <w:t xml:space="preserve">Descrever os tipos de </w:t>
      </w:r>
      <w:r w:rsidRPr="009B283D">
        <w:rPr>
          <w:lang w:val="pt-PT"/>
        </w:rPr>
        <w:t>bactérias, vírus e fungos, frequentes em Moçambique</w:t>
      </w:r>
      <w:r>
        <w:rPr>
          <w:lang w:val="pt-PT"/>
        </w:rPr>
        <w:t>, e identificar as patologias associadas</w:t>
      </w:r>
      <w:r w:rsidRPr="009B283D">
        <w:rPr>
          <w:lang w:val="pt-PT"/>
        </w:rPr>
        <w:t>:</w:t>
      </w:r>
    </w:p>
    <w:p w:rsidR="00014F48" w:rsidRDefault="00014F48" w:rsidP="00A05CAA">
      <w:pPr>
        <w:numPr>
          <w:ilvl w:val="1"/>
          <w:numId w:val="10"/>
        </w:numPr>
        <w:tabs>
          <w:tab w:val="clear" w:pos="1440"/>
          <w:tab w:val="num" w:pos="1080"/>
        </w:tabs>
        <w:spacing w:after="0"/>
        <w:ind w:left="1080"/>
        <w:jc w:val="both"/>
        <w:rPr>
          <w:i/>
        </w:rPr>
      </w:pPr>
      <w:r w:rsidRPr="00016D94">
        <w:rPr>
          <w:i/>
        </w:rPr>
        <w:t>Mycobacterium tuberculosis</w:t>
      </w:r>
      <w:r>
        <w:rPr>
          <w:i/>
        </w:rPr>
        <w:t>;</w:t>
      </w:r>
    </w:p>
    <w:p w:rsidR="00014F48" w:rsidRPr="008676F5" w:rsidRDefault="00014F48" w:rsidP="00A05CAA">
      <w:pPr>
        <w:numPr>
          <w:ilvl w:val="1"/>
          <w:numId w:val="10"/>
        </w:numPr>
        <w:tabs>
          <w:tab w:val="clear" w:pos="1440"/>
          <w:tab w:val="num" w:pos="1080"/>
        </w:tabs>
        <w:spacing w:after="0"/>
        <w:ind w:left="1080"/>
        <w:jc w:val="both"/>
        <w:rPr>
          <w:i/>
        </w:rPr>
      </w:pPr>
      <w:r>
        <w:rPr>
          <w:i/>
        </w:rPr>
        <w:t xml:space="preserve">Mycobacterium leprae; </w:t>
      </w:r>
    </w:p>
    <w:p w:rsidR="00014F48" w:rsidRDefault="00014F48" w:rsidP="00A05CAA">
      <w:pPr>
        <w:numPr>
          <w:ilvl w:val="1"/>
          <w:numId w:val="10"/>
        </w:numPr>
        <w:tabs>
          <w:tab w:val="clear" w:pos="1440"/>
          <w:tab w:val="num" w:pos="1080"/>
        </w:tabs>
        <w:spacing w:after="0"/>
        <w:ind w:left="1080"/>
        <w:jc w:val="both"/>
        <w:rPr>
          <w:i/>
        </w:rPr>
      </w:pPr>
      <w:r w:rsidRPr="00016D94">
        <w:rPr>
          <w:i/>
        </w:rPr>
        <w:t>Vibrio cholera</w:t>
      </w:r>
      <w:r>
        <w:rPr>
          <w:i/>
        </w:rPr>
        <w:t>;</w:t>
      </w:r>
    </w:p>
    <w:p w:rsidR="00014F48" w:rsidRPr="008676F5" w:rsidRDefault="00014F48" w:rsidP="00A05CAA">
      <w:pPr>
        <w:numPr>
          <w:ilvl w:val="1"/>
          <w:numId w:val="10"/>
        </w:numPr>
        <w:tabs>
          <w:tab w:val="clear" w:pos="1440"/>
          <w:tab w:val="num" w:pos="1080"/>
        </w:tabs>
        <w:spacing w:after="0"/>
        <w:ind w:left="1080"/>
        <w:jc w:val="both"/>
        <w:rPr>
          <w:i/>
        </w:rPr>
      </w:pPr>
      <w:r>
        <w:rPr>
          <w:i/>
        </w:rPr>
        <w:t xml:space="preserve">Shigella sp; </w:t>
      </w:r>
    </w:p>
    <w:p w:rsidR="00014F48" w:rsidRPr="008676F5" w:rsidRDefault="00014F48" w:rsidP="00A05CAA">
      <w:pPr>
        <w:numPr>
          <w:ilvl w:val="1"/>
          <w:numId w:val="10"/>
        </w:numPr>
        <w:tabs>
          <w:tab w:val="clear" w:pos="1440"/>
          <w:tab w:val="num" w:pos="1080"/>
        </w:tabs>
        <w:spacing w:after="0"/>
        <w:ind w:left="1080"/>
        <w:jc w:val="both"/>
      </w:pPr>
      <w:r w:rsidRPr="00016D94">
        <w:rPr>
          <w:i/>
        </w:rPr>
        <w:t>Treponema pallidum</w:t>
      </w:r>
      <w:r w:rsidRPr="00016D94">
        <w:t xml:space="preserve"> (sífilis)</w:t>
      </w:r>
      <w:r>
        <w:t>;</w:t>
      </w:r>
    </w:p>
    <w:p w:rsidR="00014F48" w:rsidRPr="008676F5" w:rsidRDefault="00014F48" w:rsidP="00A05CAA">
      <w:pPr>
        <w:numPr>
          <w:ilvl w:val="1"/>
          <w:numId w:val="10"/>
        </w:numPr>
        <w:tabs>
          <w:tab w:val="clear" w:pos="1440"/>
          <w:tab w:val="num" w:pos="1080"/>
        </w:tabs>
        <w:spacing w:after="0"/>
        <w:ind w:left="1080"/>
        <w:jc w:val="both"/>
        <w:rPr>
          <w:i/>
        </w:rPr>
      </w:pPr>
      <w:r w:rsidRPr="00016D94">
        <w:rPr>
          <w:i/>
        </w:rPr>
        <w:t>Neisseria gonorrheae</w:t>
      </w:r>
      <w:r>
        <w:rPr>
          <w:i/>
        </w:rPr>
        <w:t>;</w:t>
      </w:r>
    </w:p>
    <w:p w:rsidR="00014F48" w:rsidRPr="009B283D" w:rsidRDefault="00014F48" w:rsidP="00A05CAA">
      <w:pPr>
        <w:numPr>
          <w:ilvl w:val="1"/>
          <w:numId w:val="10"/>
        </w:numPr>
        <w:tabs>
          <w:tab w:val="clear" w:pos="1440"/>
          <w:tab w:val="num" w:pos="1080"/>
        </w:tabs>
        <w:spacing w:after="0"/>
        <w:ind w:left="1080"/>
        <w:jc w:val="both"/>
        <w:rPr>
          <w:lang w:val="pt-PT"/>
        </w:rPr>
      </w:pPr>
      <w:r w:rsidRPr="009B283D">
        <w:rPr>
          <w:i/>
          <w:lang w:val="pt-PT"/>
        </w:rPr>
        <w:t>Streptococcus sp.</w:t>
      </w:r>
      <w:r w:rsidRPr="009B283D">
        <w:rPr>
          <w:lang w:val="pt-PT"/>
        </w:rPr>
        <w:t xml:space="preserve"> (infecções dérmicas, intestinais, meníngeas e respiratórias);</w:t>
      </w:r>
    </w:p>
    <w:p w:rsidR="00014F48" w:rsidRPr="009B283D" w:rsidRDefault="00014F48" w:rsidP="00A05CAA">
      <w:pPr>
        <w:numPr>
          <w:ilvl w:val="1"/>
          <w:numId w:val="10"/>
        </w:numPr>
        <w:tabs>
          <w:tab w:val="clear" w:pos="1440"/>
          <w:tab w:val="num" w:pos="1080"/>
        </w:tabs>
        <w:spacing w:after="0"/>
        <w:ind w:left="1080"/>
        <w:jc w:val="both"/>
        <w:rPr>
          <w:lang w:val="pt-PT"/>
        </w:rPr>
      </w:pPr>
      <w:r w:rsidRPr="009B283D">
        <w:rPr>
          <w:i/>
          <w:lang w:val="pt-PT"/>
        </w:rPr>
        <w:t>Staphylococcus sp.</w:t>
      </w:r>
      <w:r w:rsidRPr="009B283D">
        <w:rPr>
          <w:lang w:val="pt-PT"/>
        </w:rPr>
        <w:t xml:space="preserve"> (infecções dérmicas, intestinais, meníngeas e respiratórias);</w:t>
      </w:r>
    </w:p>
    <w:p w:rsidR="00014F48" w:rsidRPr="00ED0591" w:rsidRDefault="00014F48" w:rsidP="00A05CAA">
      <w:pPr>
        <w:numPr>
          <w:ilvl w:val="1"/>
          <w:numId w:val="10"/>
        </w:numPr>
        <w:tabs>
          <w:tab w:val="clear" w:pos="1440"/>
          <w:tab w:val="num" w:pos="1080"/>
        </w:tabs>
        <w:spacing w:after="0"/>
        <w:ind w:left="1080"/>
        <w:jc w:val="both"/>
      </w:pPr>
      <w:r w:rsidRPr="00016D94">
        <w:rPr>
          <w:i/>
        </w:rPr>
        <w:t>Borrelia</w:t>
      </w:r>
      <w:r>
        <w:rPr>
          <w:i/>
        </w:rPr>
        <w:t>;</w:t>
      </w:r>
    </w:p>
    <w:p w:rsidR="00014F48" w:rsidRPr="00ED0591" w:rsidRDefault="00014F48" w:rsidP="00A05CAA">
      <w:pPr>
        <w:numPr>
          <w:ilvl w:val="1"/>
          <w:numId w:val="10"/>
        </w:numPr>
        <w:tabs>
          <w:tab w:val="clear" w:pos="1440"/>
          <w:tab w:val="num" w:pos="1080"/>
        </w:tabs>
        <w:spacing w:after="0"/>
        <w:ind w:left="1080"/>
        <w:jc w:val="both"/>
      </w:pPr>
      <w:r>
        <w:rPr>
          <w:i/>
        </w:rPr>
        <w:t>Brucella sp;</w:t>
      </w:r>
    </w:p>
    <w:p w:rsidR="00014F48" w:rsidRPr="00ED0591" w:rsidRDefault="00014F48" w:rsidP="00A05CAA">
      <w:pPr>
        <w:numPr>
          <w:ilvl w:val="1"/>
          <w:numId w:val="10"/>
        </w:numPr>
        <w:tabs>
          <w:tab w:val="clear" w:pos="1440"/>
          <w:tab w:val="num" w:pos="1080"/>
        </w:tabs>
        <w:spacing w:after="0"/>
        <w:ind w:left="1080"/>
        <w:jc w:val="both"/>
      </w:pPr>
      <w:r>
        <w:rPr>
          <w:i/>
        </w:rPr>
        <w:t>Yersínia pestis;</w:t>
      </w:r>
    </w:p>
    <w:p w:rsidR="00014F48" w:rsidRPr="008676F5" w:rsidRDefault="00014F48" w:rsidP="00A05CAA">
      <w:pPr>
        <w:numPr>
          <w:ilvl w:val="1"/>
          <w:numId w:val="10"/>
        </w:numPr>
        <w:tabs>
          <w:tab w:val="clear" w:pos="1440"/>
          <w:tab w:val="num" w:pos="1080"/>
        </w:tabs>
        <w:spacing w:after="0"/>
        <w:ind w:left="1080"/>
        <w:jc w:val="both"/>
        <w:rPr>
          <w:i/>
        </w:rPr>
      </w:pPr>
      <w:r w:rsidRPr="00016D94">
        <w:rPr>
          <w:i/>
        </w:rPr>
        <w:t>Salmonela</w:t>
      </w:r>
      <w:r>
        <w:rPr>
          <w:i/>
        </w:rPr>
        <w:t>;</w:t>
      </w:r>
    </w:p>
    <w:p w:rsidR="00014F48" w:rsidRPr="009B283D" w:rsidRDefault="00014F48" w:rsidP="00A05CAA">
      <w:pPr>
        <w:numPr>
          <w:ilvl w:val="1"/>
          <w:numId w:val="10"/>
        </w:numPr>
        <w:tabs>
          <w:tab w:val="clear" w:pos="1440"/>
          <w:tab w:val="num" w:pos="1080"/>
        </w:tabs>
        <w:spacing w:after="0"/>
        <w:ind w:left="1080"/>
        <w:jc w:val="both"/>
        <w:rPr>
          <w:lang w:val="pt-PT"/>
        </w:rPr>
      </w:pPr>
      <w:r w:rsidRPr="009B283D">
        <w:rPr>
          <w:lang w:val="pt-PT"/>
        </w:rPr>
        <w:t>Hepatites (A, B e C);</w:t>
      </w:r>
    </w:p>
    <w:p w:rsidR="00014F48" w:rsidRPr="008676F5" w:rsidRDefault="00014F48" w:rsidP="00A05CAA">
      <w:pPr>
        <w:numPr>
          <w:ilvl w:val="1"/>
          <w:numId w:val="10"/>
        </w:numPr>
        <w:tabs>
          <w:tab w:val="clear" w:pos="1440"/>
          <w:tab w:val="num" w:pos="1080"/>
        </w:tabs>
        <w:spacing w:after="0"/>
        <w:ind w:left="1080"/>
        <w:jc w:val="both"/>
      </w:pPr>
      <w:r w:rsidRPr="00016D94">
        <w:t>HIV</w:t>
      </w:r>
      <w:r>
        <w:t>;</w:t>
      </w:r>
    </w:p>
    <w:p w:rsidR="00014F48" w:rsidRPr="008676F5" w:rsidRDefault="00014F48" w:rsidP="00A05CAA">
      <w:pPr>
        <w:numPr>
          <w:ilvl w:val="1"/>
          <w:numId w:val="10"/>
        </w:numPr>
        <w:tabs>
          <w:tab w:val="clear" w:pos="1440"/>
          <w:tab w:val="num" w:pos="1080"/>
        </w:tabs>
        <w:spacing w:after="0"/>
        <w:ind w:left="1080"/>
        <w:jc w:val="both"/>
      </w:pPr>
      <w:r w:rsidRPr="00016D94">
        <w:t>Sarampo</w:t>
      </w:r>
      <w:r>
        <w:t>;</w:t>
      </w:r>
    </w:p>
    <w:p w:rsidR="00014F48" w:rsidRPr="009B283D" w:rsidRDefault="00014F48" w:rsidP="00A05CAA">
      <w:pPr>
        <w:numPr>
          <w:ilvl w:val="1"/>
          <w:numId w:val="10"/>
        </w:numPr>
        <w:tabs>
          <w:tab w:val="clear" w:pos="1440"/>
          <w:tab w:val="num" w:pos="1080"/>
        </w:tabs>
        <w:spacing w:after="0"/>
        <w:ind w:left="1080"/>
        <w:jc w:val="both"/>
        <w:rPr>
          <w:lang w:val="pt-PT"/>
        </w:rPr>
      </w:pPr>
      <w:r w:rsidRPr="009B283D">
        <w:rPr>
          <w:lang w:val="pt-PT"/>
        </w:rPr>
        <w:t>Herpes simplex e herpesvírus 3 (varicela zóster);</w:t>
      </w:r>
    </w:p>
    <w:p w:rsidR="00014F48" w:rsidRPr="008676F5" w:rsidRDefault="00014F48" w:rsidP="00A05CAA">
      <w:pPr>
        <w:numPr>
          <w:ilvl w:val="1"/>
          <w:numId w:val="10"/>
        </w:numPr>
        <w:tabs>
          <w:tab w:val="clear" w:pos="1440"/>
          <w:tab w:val="num" w:pos="1080"/>
        </w:tabs>
        <w:spacing w:after="0"/>
        <w:ind w:left="1080"/>
        <w:jc w:val="both"/>
      </w:pPr>
      <w:r w:rsidRPr="00016D94">
        <w:t>Herpesvírus 8 (sarcoma de Kaposi)</w:t>
      </w:r>
      <w:r>
        <w:t>;</w:t>
      </w:r>
    </w:p>
    <w:p w:rsidR="00014F48" w:rsidRPr="008676F5" w:rsidRDefault="00014F48" w:rsidP="00A05CAA">
      <w:pPr>
        <w:numPr>
          <w:ilvl w:val="1"/>
          <w:numId w:val="10"/>
        </w:numPr>
        <w:tabs>
          <w:tab w:val="clear" w:pos="1440"/>
          <w:tab w:val="num" w:pos="1080"/>
        </w:tabs>
        <w:spacing w:after="0"/>
        <w:ind w:left="1080"/>
        <w:jc w:val="both"/>
      </w:pPr>
      <w:r w:rsidRPr="00016D94">
        <w:lastRenderedPageBreak/>
        <w:t>Fungos dermatófitos (tinhas)</w:t>
      </w:r>
      <w:r>
        <w:t>;</w:t>
      </w:r>
    </w:p>
    <w:p w:rsidR="00014F48" w:rsidRPr="008676F5" w:rsidRDefault="00014F48" w:rsidP="00A05CAA">
      <w:pPr>
        <w:numPr>
          <w:ilvl w:val="1"/>
          <w:numId w:val="10"/>
        </w:numPr>
        <w:tabs>
          <w:tab w:val="clear" w:pos="1440"/>
          <w:tab w:val="num" w:pos="1080"/>
        </w:tabs>
        <w:spacing w:after="0"/>
        <w:ind w:left="1080"/>
        <w:jc w:val="both"/>
      </w:pPr>
      <w:r w:rsidRPr="00016D94">
        <w:rPr>
          <w:i/>
        </w:rPr>
        <w:t>Pneumocystis jiroveci</w:t>
      </w:r>
      <w:r w:rsidRPr="00016D94">
        <w:t xml:space="preserve"> (pneumonia)</w:t>
      </w:r>
      <w:r>
        <w:t>;</w:t>
      </w:r>
    </w:p>
    <w:p w:rsidR="00014F48" w:rsidRPr="00A23592" w:rsidRDefault="00014F48" w:rsidP="00A05CAA">
      <w:pPr>
        <w:numPr>
          <w:ilvl w:val="1"/>
          <w:numId w:val="10"/>
        </w:numPr>
        <w:tabs>
          <w:tab w:val="clear" w:pos="1440"/>
          <w:tab w:val="num" w:pos="1080"/>
        </w:tabs>
        <w:spacing w:after="0"/>
        <w:ind w:left="1080"/>
        <w:jc w:val="both"/>
        <w:rPr>
          <w:lang w:val="pt-PT"/>
        </w:rPr>
      </w:pPr>
      <w:r w:rsidRPr="00A23592">
        <w:rPr>
          <w:i/>
          <w:lang w:val="pt-PT"/>
        </w:rPr>
        <w:t>Candida sp.</w:t>
      </w:r>
      <w:r w:rsidRPr="00A23592">
        <w:rPr>
          <w:lang w:val="pt-PT"/>
        </w:rPr>
        <w:t xml:space="preserve"> (estomatite, esofagite, vulvovaginite);</w:t>
      </w:r>
    </w:p>
    <w:p w:rsidR="00014F48" w:rsidRPr="009B283D" w:rsidRDefault="00014F48" w:rsidP="00A05CAA">
      <w:pPr>
        <w:numPr>
          <w:ilvl w:val="0"/>
          <w:numId w:val="9"/>
        </w:numPr>
        <w:spacing w:after="0"/>
        <w:ind w:left="714" w:hanging="357"/>
        <w:jc w:val="both"/>
        <w:rPr>
          <w:lang w:val="pt-PT"/>
        </w:rPr>
      </w:pPr>
      <w:r>
        <w:rPr>
          <w:lang w:val="pt-PT"/>
        </w:rPr>
        <w:t xml:space="preserve">Descrever os tipos de </w:t>
      </w:r>
      <w:r w:rsidRPr="009B283D">
        <w:rPr>
          <w:lang w:val="pt-PT"/>
        </w:rPr>
        <w:t>protozoários, helmintos e ectoparasitas, frequentes em Moçambique</w:t>
      </w:r>
      <w:r>
        <w:rPr>
          <w:lang w:val="pt-PT"/>
        </w:rPr>
        <w:t>, e identificar as patologias associadas</w:t>
      </w:r>
      <w:r w:rsidRPr="009B283D">
        <w:rPr>
          <w:lang w:val="pt-PT"/>
        </w:rPr>
        <w:t>:</w:t>
      </w:r>
    </w:p>
    <w:p w:rsidR="00014F48" w:rsidRPr="008676F5" w:rsidRDefault="00014F48" w:rsidP="00A05CAA">
      <w:pPr>
        <w:numPr>
          <w:ilvl w:val="1"/>
          <w:numId w:val="11"/>
        </w:numPr>
        <w:tabs>
          <w:tab w:val="clear" w:pos="1440"/>
          <w:tab w:val="num" w:pos="1080"/>
        </w:tabs>
        <w:spacing w:after="0"/>
        <w:ind w:left="1080"/>
        <w:jc w:val="both"/>
      </w:pPr>
      <w:r w:rsidRPr="00016D94">
        <w:rPr>
          <w:i/>
        </w:rPr>
        <w:t>Plasmodium sp.</w:t>
      </w:r>
      <w:r w:rsidRPr="00016D94">
        <w:t xml:space="preserve"> (malária)</w:t>
      </w:r>
      <w:r>
        <w:t>;</w:t>
      </w:r>
    </w:p>
    <w:p w:rsidR="00014F48" w:rsidRPr="008676F5" w:rsidRDefault="00014F48" w:rsidP="00A05CAA">
      <w:pPr>
        <w:numPr>
          <w:ilvl w:val="1"/>
          <w:numId w:val="11"/>
        </w:numPr>
        <w:tabs>
          <w:tab w:val="clear" w:pos="1440"/>
          <w:tab w:val="num" w:pos="1080"/>
        </w:tabs>
        <w:spacing w:after="0"/>
        <w:ind w:left="1080"/>
        <w:jc w:val="both"/>
      </w:pPr>
      <w:r w:rsidRPr="00016D94">
        <w:rPr>
          <w:i/>
        </w:rPr>
        <w:t>Trichomonas vaginalis</w:t>
      </w:r>
      <w:r w:rsidRPr="00016D94">
        <w:t xml:space="preserve"> (leucorreia)</w:t>
      </w:r>
      <w:r>
        <w:t>;</w:t>
      </w:r>
    </w:p>
    <w:p w:rsidR="00014F48" w:rsidRDefault="00014F48" w:rsidP="00A05CAA">
      <w:pPr>
        <w:numPr>
          <w:ilvl w:val="1"/>
          <w:numId w:val="11"/>
        </w:numPr>
        <w:tabs>
          <w:tab w:val="clear" w:pos="1440"/>
          <w:tab w:val="num" w:pos="1080"/>
        </w:tabs>
        <w:spacing w:after="0"/>
        <w:ind w:left="1080"/>
        <w:jc w:val="both"/>
      </w:pPr>
      <w:r w:rsidRPr="00016D94">
        <w:rPr>
          <w:i/>
        </w:rPr>
        <w:t>Entamoeba histolitica</w:t>
      </w:r>
      <w:r w:rsidRPr="00016D94">
        <w:t xml:space="preserve"> (diarr</w:t>
      </w:r>
      <w:r>
        <w:t>e</w:t>
      </w:r>
      <w:r w:rsidRPr="00016D94">
        <w:t>ia)</w:t>
      </w:r>
      <w:r>
        <w:t>;</w:t>
      </w:r>
    </w:p>
    <w:p w:rsidR="00014F48" w:rsidRPr="008676F5" w:rsidRDefault="00014F48" w:rsidP="00A05CAA">
      <w:pPr>
        <w:numPr>
          <w:ilvl w:val="1"/>
          <w:numId w:val="11"/>
        </w:numPr>
        <w:tabs>
          <w:tab w:val="clear" w:pos="1440"/>
          <w:tab w:val="num" w:pos="1080"/>
        </w:tabs>
        <w:spacing w:after="0"/>
        <w:ind w:left="1080"/>
        <w:jc w:val="both"/>
      </w:pPr>
      <w:r>
        <w:rPr>
          <w:i/>
        </w:rPr>
        <w:t>Giardia lamblia;</w:t>
      </w:r>
    </w:p>
    <w:p w:rsidR="00014F48" w:rsidRPr="008676F5" w:rsidRDefault="00014F48" w:rsidP="00A05CAA">
      <w:pPr>
        <w:numPr>
          <w:ilvl w:val="1"/>
          <w:numId w:val="11"/>
        </w:numPr>
        <w:tabs>
          <w:tab w:val="clear" w:pos="1440"/>
          <w:tab w:val="num" w:pos="1080"/>
        </w:tabs>
        <w:spacing w:after="0"/>
        <w:ind w:left="1080"/>
        <w:jc w:val="both"/>
      </w:pPr>
      <w:r w:rsidRPr="00016D94">
        <w:rPr>
          <w:i/>
        </w:rPr>
        <w:t>Ascaris lumbricoides</w:t>
      </w:r>
      <w:r w:rsidRPr="00016D94">
        <w:t xml:space="preserve"> (diarr</w:t>
      </w:r>
      <w:r>
        <w:t>e</w:t>
      </w:r>
      <w:r w:rsidRPr="00016D94">
        <w:t>ia, pneumonia)</w:t>
      </w:r>
      <w:r>
        <w:t>;</w:t>
      </w:r>
    </w:p>
    <w:p w:rsidR="00014F48" w:rsidRPr="008676F5" w:rsidRDefault="00014F48" w:rsidP="00A05CAA">
      <w:pPr>
        <w:numPr>
          <w:ilvl w:val="1"/>
          <w:numId w:val="11"/>
        </w:numPr>
        <w:tabs>
          <w:tab w:val="clear" w:pos="1440"/>
          <w:tab w:val="num" w:pos="1080"/>
        </w:tabs>
        <w:spacing w:after="0"/>
        <w:ind w:left="1080"/>
        <w:jc w:val="both"/>
        <w:rPr>
          <w:i/>
        </w:rPr>
      </w:pPr>
      <w:r w:rsidRPr="00016D94">
        <w:rPr>
          <w:i/>
        </w:rPr>
        <w:t>Schistosoma sp.</w:t>
      </w:r>
      <w:r>
        <w:rPr>
          <w:i/>
        </w:rPr>
        <w:t>;</w:t>
      </w:r>
    </w:p>
    <w:p w:rsidR="00014F48" w:rsidRPr="008676F5" w:rsidRDefault="00014F48" w:rsidP="00A05CAA">
      <w:pPr>
        <w:numPr>
          <w:ilvl w:val="1"/>
          <w:numId w:val="11"/>
        </w:numPr>
        <w:tabs>
          <w:tab w:val="clear" w:pos="1440"/>
          <w:tab w:val="num" w:pos="1080"/>
        </w:tabs>
        <w:spacing w:after="0"/>
        <w:ind w:left="1080"/>
        <w:jc w:val="both"/>
      </w:pPr>
      <w:r w:rsidRPr="00016D94">
        <w:rPr>
          <w:i/>
        </w:rPr>
        <w:t>Taenia sp</w:t>
      </w:r>
      <w:r w:rsidRPr="00016D94">
        <w:t xml:space="preserve"> (teniase, cisticercose)</w:t>
      </w:r>
      <w:r>
        <w:t>;</w:t>
      </w:r>
    </w:p>
    <w:p w:rsidR="00014F48" w:rsidRPr="008676F5" w:rsidRDefault="00014F48" w:rsidP="00A05CAA">
      <w:pPr>
        <w:numPr>
          <w:ilvl w:val="1"/>
          <w:numId w:val="11"/>
        </w:numPr>
        <w:tabs>
          <w:tab w:val="clear" w:pos="1440"/>
          <w:tab w:val="num" w:pos="1080"/>
        </w:tabs>
        <w:spacing w:after="0"/>
        <w:ind w:left="1080"/>
        <w:jc w:val="both"/>
      </w:pPr>
      <w:r w:rsidRPr="00016D94">
        <w:rPr>
          <w:i/>
        </w:rPr>
        <w:t>Sarcoptes scabiei</w:t>
      </w:r>
      <w:r w:rsidRPr="00016D94">
        <w:t xml:space="preserve"> (sarna)</w:t>
      </w:r>
      <w:r>
        <w:t>;</w:t>
      </w:r>
    </w:p>
    <w:p w:rsidR="00014F48" w:rsidRPr="008676F5" w:rsidRDefault="00014F48" w:rsidP="00A05CAA">
      <w:pPr>
        <w:numPr>
          <w:ilvl w:val="1"/>
          <w:numId w:val="11"/>
        </w:numPr>
        <w:tabs>
          <w:tab w:val="clear" w:pos="1440"/>
          <w:tab w:val="num" w:pos="1080"/>
        </w:tabs>
        <w:spacing w:after="0"/>
        <w:ind w:left="1080"/>
        <w:jc w:val="both"/>
      </w:pPr>
      <w:r w:rsidRPr="00016D94">
        <w:rPr>
          <w:i/>
        </w:rPr>
        <w:t>Pediculus humanus</w:t>
      </w:r>
      <w:r w:rsidRPr="00016D94">
        <w:t xml:space="preserve"> (pediculose)</w:t>
      </w:r>
      <w:r>
        <w:t>;</w:t>
      </w:r>
    </w:p>
    <w:p w:rsidR="00014F48" w:rsidRPr="008676F5" w:rsidRDefault="00014F48" w:rsidP="00A05CAA">
      <w:pPr>
        <w:numPr>
          <w:ilvl w:val="1"/>
          <w:numId w:val="11"/>
        </w:numPr>
        <w:tabs>
          <w:tab w:val="clear" w:pos="1440"/>
          <w:tab w:val="num" w:pos="1080"/>
        </w:tabs>
        <w:spacing w:after="0"/>
        <w:ind w:left="1080"/>
        <w:jc w:val="both"/>
      </w:pPr>
      <w:r w:rsidRPr="00016D94">
        <w:rPr>
          <w:i/>
        </w:rPr>
        <w:t>Tripanos</w:t>
      </w:r>
      <w:r>
        <w:rPr>
          <w:i/>
        </w:rPr>
        <w:t>s</w:t>
      </w:r>
      <w:r w:rsidRPr="00016D94">
        <w:rPr>
          <w:i/>
        </w:rPr>
        <w:t>oma</w:t>
      </w:r>
      <w:r>
        <w:rPr>
          <w:i/>
        </w:rPr>
        <w:t>;</w:t>
      </w:r>
    </w:p>
    <w:p w:rsidR="00014F48" w:rsidRPr="008676F5" w:rsidRDefault="00014F48" w:rsidP="00A05CAA">
      <w:pPr>
        <w:numPr>
          <w:ilvl w:val="1"/>
          <w:numId w:val="11"/>
        </w:numPr>
        <w:tabs>
          <w:tab w:val="clear" w:pos="1440"/>
          <w:tab w:val="num" w:pos="1080"/>
        </w:tabs>
        <w:spacing w:after="0"/>
        <w:ind w:left="1080"/>
        <w:jc w:val="both"/>
        <w:rPr>
          <w:i/>
        </w:rPr>
      </w:pPr>
      <w:r w:rsidRPr="00016D94">
        <w:rPr>
          <w:i/>
        </w:rPr>
        <w:t>Fil</w:t>
      </w:r>
      <w:r>
        <w:rPr>
          <w:i/>
        </w:rPr>
        <w:t>á</w:t>
      </w:r>
      <w:r w:rsidRPr="00016D94">
        <w:rPr>
          <w:i/>
        </w:rPr>
        <w:t>ria</w:t>
      </w:r>
      <w:r>
        <w:rPr>
          <w:i/>
        </w:rPr>
        <w:t>.</w:t>
      </w:r>
    </w:p>
    <w:p w:rsidR="00014F48" w:rsidRDefault="00014F48" w:rsidP="00A05CAA">
      <w:pPr>
        <w:numPr>
          <w:ilvl w:val="0"/>
          <w:numId w:val="9"/>
        </w:numPr>
        <w:spacing w:after="0"/>
        <w:ind w:left="714" w:hanging="357"/>
        <w:jc w:val="both"/>
        <w:rPr>
          <w:lang w:val="pt-PT"/>
        </w:rPr>
      </w:pPr>
      <w:r w:rsidRPr="009B283D">
        <w:rPr>
          <w:lang w:val="pt-PT"/>
        </w:rPr>
        <w:t>Identificar os medicamentos que são disponibilizados pelo Sistema Nacional de Saúde e indicações para o seu uso</w:t>
      </w:r>
      <w:r>
        <w:rPr>
          <w:lang w:val="pt-PT"/>
        </w:rPr>
        <w:t>, de acordo com o nível do TMG</w:t>
      </w:r>
      <w:r w:rsidRPr="009B283D">
        <w:rPr>
          <w:lang w:val="pt-PT"/>
        </w:rPr>
        <w:t>.</w:t>
      </w:r>
    </w:p>
    <w:p w:rsidR="00014F48" w:rsidRPr="009B283D" w:rsidRDefault="00014F48" w:rsidP="00A05CAA">
      <w:pPr>
        <w:numPr>
          <w:ilvl w:val="0"/>
          <w:numId w:val="9"/>
        </w:numPr>
        <w:spacing w:after="0"/>
        <w:ind w:left="714" w:hanging="357"/>
        <w:jc w:val="both"/>
        <w:rPr>
          <w:lang w:val="pt-PT"/>
        </w:rPr>
      </w:pPr>
      <w:r>
        <w:rPr>
          <w:lang w:val="pt-PT"/>
        </w:rPr>
        <w:t xml:space="preserve">Descrever, de uma forma geral, a farmacocinética e farmacodinâmica dos fármacos </w:t>
      </w:r>
    </w:p>
    <w:p w:rsidR="00014F48" w:rsidRDefault="00014F48" w:rsidP="00A05CAA">
      <w:pPr>
        <w:numPr>
          <w:ilvl w:val="0"/>
          <w:numId w:val="9"/>
        </w:numPr>
        <w:spacing w:after="0"/>
        <w:ind w:left="714" w:hanging="357"/>
        <w:jc w:val="both"/>
        <w:rPr>
          <w:lang w:val="pt-PT"/>
        </w:rPr>
      </w:pPr>
      <w:r>
        <w:rPr>
          <w:lang w:val="pt-PT"/>
        </w:rPr>
        <w:t>Descrever de forma geral e de acordo com os protótipos das várias classes farmacológicas, a farmacologia de sistemas corporais, baseando-se nos seguintes itens: mecanismo de acção, forma farmacêutica, vias de administração, indicações  gerais e dose e dosagem:</w:t>
      </w:r>
    </w:p>
    <w:p w:rsidR="00014F48" w:rsidRDefault="00014F48" w:rsidP="00A05CAA">
      <w:pPr>
        <w:numPr>
          <w:ilvl w:val="1"/>
          <w:numId w:val="9"/>
        </w:numPr>
        <w:spacing w:after="0"/>
        <w:jc w:val="both"/>
        <w:rPr>
          <w:lang w:val="pt-PT"/>
        </w:rPr>
      </w:pPr>
      <w:r>
        <w:rPr>
          <w:lang w:val="pt-PT"/>
        </w:rPr>
        <w:t>Aparelho cardiovascular</w:t>
      </w:r>
    </w:p>
    <w:p w:rsidR="00014F48" w:rsidRDefault="00014F48" w:rsidP="00A05CAA">
      <w:pPr>
        <w:numPr>
          <w:ilvl w:val="1"/>
          <w:numId w:val="9"/>
        </w:numPr>
        <w:spacing w:after="0"/>
        <w:jc w:val="both"/>
        <w:rPr>
          <w:lang w:val="pt-PT"/>
        </w:rPr>
      </w:pPr>
      <w:r>
        <w:rPr>
          <w:lang w:val="pt-PT"/>
        </w:rPr>
        <w:t>Aparelho gastrointestinal</w:t>
      </w:r>
    </w:p>
    <w:p w:rsidR="00014F48" w:rsidRDefault="00014F48" w:rsidP="00A05CAA">
      <w:pPr>
        <w:numPr>
          <w:ilvl w:val="1"/>
          <w:numId w:val="9"/>
        </w:numPr>
        <w:spacing w:after="0"/>
        <w:jc w:val="both"/>
        <w:rPr>
          <w:lang w:val="pt-PT"/>
        </w:rPr>
      </w:pPr>
      <w:r>
        <w:rPr>
          <w:lang w:val="pt-PT"/>
        </w:rPr>
        <w:t>Sistema nervoso</w:t>
      </w:r>
    </w:p>
    <w:p w:rsidR="00014F48" w:rsidRDefault="00014F48" w:rsidP="00A05CAA">
      <w:pPr>
        <w:numPr>
          <w:ilvl w:val="1"/>
          <w:numId w:val="9"/>
        </w:numPr>
        <w:spacing w:after="0"/>
        <w:jc w:val="both"/>
        <w:rPr>
          <w:lang w:val="pt-PT"/>
        </w:rPr>
      </w:pPr>
      <w:r>
        <w:rPr>
          <w:lang w:val="pt-PT"/>
        </w:rPr>
        <w:t>Aparelho respiratório</w:t>
      </w:r>
    </w:p>
    <w:p w:rsidR="00014F48" w:rsidRDefault="00014F48" w:rsidP="00A05CAA">
      <w:pPr>
        <w:numPr>
          <w:ilvl w:val="1"/>
          <w:numId w:val="9"/>
        </w:numPr>
        <w:spacing w:after="0"/>
        <w:jc w:val="both"/>
        <w:rPr>
          <w:lang w:val="pt-PT"/>
        </w:rPr>
      </w:pPr>
      <w:r>
        <w:rPr>
          <w:lang w:val="pt-PT"/>
        </w:rPr>
        <w:t>Aparelho genito-urinário</w:t>
      </w:r>
    </w:p>
    <w:p w:rsidR="00014F48" w:rsidRDefault="00014F48" w:rsidP="00A05CAA">
      <w:pPr>
        <w:numPr>
          <w:ilvl w:val="1"/>
          <w:numId w:val="9"/>
        </w:numPr>
        <w:spacing w:after="0"/>
        <w:jc w:val="both"/>
        <w:rPr>
          <w:lang w:val="pt-PT"/>
        </w:rPr>
      </w:pPr>
      <w:r>
        <w:rPr>
          <w:lang w:val="pt-PT"/>
        </w:rPr>
        <w:t>Equilíbrio hidro-electrolítico e ácido base</w:t>
      </w:r>
    </w:p>
    <w:p w:rsidR="00014F48" w:rsidRDefault="00014F48" w:rsidP="00A05CAA">
      <w:pPr>
        <w:numPr>
          <w:ilvl w:val="0"/>
          <w:numId w:val="9"/>
        </w:numPr>
        <w:spacing w:after="0"/>
        <w:ind w:left="714" w:hanging="357"/>
        <w:jc w:val="both"/>
        <w:rPr>
          <w:lang w:val="pt-PT"/>
        </w:rPr>
      </w:pPr>
      <w:r>
        <w:rPr>
          <w:lang w:val="pt-PT"/>
        </w:rPr>
        <w:t>Descrever de forma aprofundada as várias classes farmacológicas baseados nos seguintes itens: mecanismo de acção, forma farmacêutica, vias de administração, indicações, contra-indicações,</w:t>
      </w:r>
      <w:r w:rsidRPr="00EB4580">
        <w:rPr>
          <w:lang w:val="pt-PT"/>
        </w:rPr>
        <w:t xml:space="preserve"> </w:t>
      </w:r>
      <w:r>
        <w:rPr>
          <w:lang w:val="pt-PT"/>
        </w:rPr>
        <w:t>precauções, efeitos secundários, interacções e dose e dosagem:</w:t>
      </w:r>
    </w:p>
    <w:p w:rsidR="00014F48" w:rsidRDefault="00014F48" w:rsidP="00A05CAA">
      <w:pPr>
        <w:numPr>
          <w:ilvl w:val="1"/>
          <w:numId w:val="9"/>
        </w:numPr>
        <w:spacing w:after="0"/>
        <w:jc w:val="both"/>
        <w:rPr>
          <w:lang w:val="pt-PT"/>
        </w:rPr>
      </w:pPr>
      <w:r>
        <w:rPr>
          <w:lang w:val="pt-PT"/>
        </w:rPr>
        <w:t>Anti-bacterianos</w:t>
      </w:r>
    </w:p>
    <w:p w:rsidR="00014F48" w:rsidRDefault="00014F48" w:rsidP="00A05CAA">
      <w:pPr>
        <w:numPr>
          <w:ilvl w:val="1"/>
          <w:numId w:val="9"/>
        </w:numPr>
        <w:spacing w:after="0"/>
        <w:jc w:val="both"/>
        <w:rPr>
          <w:lang w:val="pt-PT"/>
        </w:rPr>
      </w:pPr>
      <w:r>
        <w:rPr>
          <w:lang w:val="pt-PT"/>
        </w:rPr>
        <w:t>Anti-tuberculosos e anti-lepróticos (mecanismo de acção, forma farmacêutica, vias de administração, indicações gerais e dose e dosagem)</w:t>
      </w:r>
    </w:p>
    <w:p w:rsidR="00014F48" w:rsidRDefault="00014F48" w:rsidP="00A05CAA">
      <w:pPr>
        <w:numPr>
          <w:ilvl w:val="1"/>
          <w:numId w:val="9"/>
        </w:numPr>
        <w:spacing w:after="0"/>
        <w:jc w:val="both"/>
        <w:rPr>
          <w:lang w:val="pt-PT"/>
        </w:rPr>
      </w:pPr>
      <w:r>
        <w:rPr>
          <w:lang w:val="pt-PT"/>
        </w:rPr>
        <w:t>Anti-fúngicos</w:t>
      </w:r>
    </w:p>
    <w:p w:rsidR="00014F48" w:rsidRDefault="00014F48" w:rsidP="00A05CAA">
      <w:pPr>
        <w:numPr>
          <w:ilvl w:val="1"/>
          <w:numId w:val="9"/>
        </w:numPr>
        <w:spacing w:after="0"/>
        <w:jc w:val="both"/>
        <w:rPr>
          <w:lang w:val="pt-PT"/>
        </w:rPr>
      </w:pPr>
      <w:r>
        <w:rPr>
          <w:lang w:val="pt-PT"/>
        </w:rPr>
        <w:t>Anti-parasitários</w:t>
      </w:r>
    </w:p>
    <w:p w:rsidR="00014F48" w:rsidRDefault="00014F48" w:rsidP="00A05CAA">
      <w:pPr>
        <w:numPr>
          <w:ilvl w:val="1"/>
          <w:numId w:val="9"/>
        </w:numPr>
        <w:spacing w:after="0"/>
        <w:jc w:val="both"/>
        <w:rPr>
          <w:lang w:val="pt-PT"/>
        </w:rPr>
      </w:pPr>
      <w:r>
        <w:rPr>
          <w:lang w:val="pt-PT"/>
        </w:rPr>
        <w:t>Anti-maláricos (mecanismo de acção, forma farmacêutica, vias de administração, indicações  gerais e dose e dosagem)</w:t>
      </w:r>
    </w:p>
    <w:p w:rsidR="00014F48" w:rsidRDefault="00014F48" w:rsidP="00A05CAA">
      <w:pPr>
        <w:numPr>
          <w:ilvl w:val="1"/>
          <w:numId w:val="9"/>
        </w:numPr>
        <w:spacing w:after="0"/>
        <w:jc w:val="both"/>
        <w:rPr>
          <w:lang w:val="pt-PT"/>
        </w:rPr>
      </w:pPr>
      <w:r>
        <w:rPr>
          <w:lang w:val="pt-PT"/>
        </w:rPr>
        <w:t>Anti-virais</w:t>
      </w:r>
      <w:r w:rsidRPr="005E4A4C">
        <w:rPr>
          <w:rFonts w:ascii="Times New Roman" w:hAnsi="Times New Roman"/>
          <w:lang w:val="pt-BR"/>
        </w:rPr>
        <w:t>- (aciclovir</w:t>
      </w:r>
      <w:r>
        <w:rPr>
          <w:rFonts w:ascii="Times New Roman" w:hAnsi="Times New Roman"/>
          <w:lang w:val="pt-BR"/>
        </w:rPr>
        <w:t xml:space="preserve"> aprofundar</w:t>
      </w:r>
      <w:r w:rsidRPr="005E4A4C">
        <w:rPr>
          <w:rFonts w:ascii="Times New Roman" w:hAnsi="Times New Roman"/>
          <w:lang w:val="pt-BR"/>
        </w:rPr>
        <w:t xml:space="preserve"> e ARV</w:t>
      </w:r>
      <w:r>
        <w:rPr>
          <w:rFonts w:ascii="Times New Roman" w:hAnsi="Times New Roman"/>
          <w:lang w:val="pt-BR"/>
        </w:rPr>
        <w:t xml:space="preserve"> introduzir</w:t>
      </w:r>
      <w:r w:rsidRPr="005E4A4C">
        <w:rPr>
          <w:rFonts w:ascii="Times New Roman" w:hAnsi="Times New Roman"/>
          <w:lang w:val="pt-BR"/>
        </w:rPr>
        <w:t>)</w:t>
      </w:r>
      <w:r>
        <w:rPr>
          <w:rFonts w:ascii="Times New Roman" w:hAnsi="Times New Roman"/>
          <w:lang w:val="pt-BR"/>
        </w:rPr>
        <w:t xml:space="preserve"> </w:t>
      </w:r>
    </w:p>
    <w:p w:rsidR="00014F48" w:rsidRDefault="00014F48" w:rsidP="00A05CAA">
      <w:pPr>
        <w:numPr>
          <w:ilvl w:val="1"/>
          <w:numId w:val="9"/>
        </w:numPr>
        <w:spacing w:after="0"/>
        <w:jc w:val="both"/>
        <w:rPr>
          <w:lang w:val="pt-PT"/>
        </w:rPr>
      </w:pPr>
      <w:r>
        <w:rPr>
          <w:lang w:val="pt-PT"/>
        </w:rPr>
        <w:t>Analgésicos/anti-piréticos e anti-inflamatórios</w:t>
      </w:r>
    </w:p>
    <w:p w:rsidR="00014F48" w:rsidRDefault="00014F48" w:rsidP="00A05CAA">
      <w:pPr>
        <w:numPr>
          <w:ilvl w:val="1"/>
          <w:numId w:val="9"/>
        </w:numPr>
        <w:spacing w:after="0"/>
        <w:jc w:val="both"/>
        <w:rPr>
          <w:lang w:val="pt-PT"/>
        </w:rPr>
      </w:pPr>
      <w:r>
        <w:rPr>
          <w:lang w:val="pt-PT"/>
        </w:rPr>
        <w:t>Anti-alérgicos</w:t>
      </w:r>
    </w:p>
    <w:p w:rsidR="00014F48" w:rsidRDefault="00014F48" w:rsidP="00A05CAA">
      <w:pPr>
        <w:numPr>
          <w:ilvl w:val="0"/>
          <w:numId w:val="9"/>
        </w:numPr>
        <w:spacing w:after="0"/>
        <w:ind w:left="714" w:hanging="357"/>
        <w:jc w:val="both"/>
        <w:rPr>
          <w:lang w:val="pt-PT"/>
        </w:rPr>
      </w:pPr>
      <w:r w:rsidRPr="009B283D">
        <w:rPr>
          <w:lang w:val="pt-PT"/>
        </w:rPr>
        <w:t xml:space="preserve">Com base nas informações contidas no Formulário Nacional de Medicamentos, calcular correctamente as doses adequadas de medicamentos para tratar </w:t>
      </w:r>
      <w:r>
        <w:rPr>
          <w:lang w:val="pt-PT"/>
        </w:rPr>
        <w:t xml:space="preserve">pacientes </w:t>
      </w:r>
      <w:r w:rsidRPr="009B283D">
        <w:rPr>
          <w:lang w:val="pt-PT"/>
        </w:rPr>
        <w:t xml:space="preserve">adultos </w:t>
      </w:r>
      <w:r>
        <w:rPr>
          <w:lang w:val="pt-PT"/>
        </w:rPr>
        <w:t xml:space="preserve">de acordo </w:t>
      </w:r>
      <w:r w:rsidRPr="009B283D">
        <w:rPr>
          <w:lang w:val="pt-PT"/>
        </w:rPr>
        <w:t xml:space="preserve">com </w:t>
      </w:r>
      <w:r>
        <w:rPr>
          <w:lang w:val="pt-PT"/>
        </w:rPr>
        <w:t xml:space="preserve">os </w:t>
      </w:r>
      <w:r w:rsidRPr="009B283D">
        <w:rPr>
          <w:lang w:val="pt-PT"/>
        </w:rPr>
        <w:t>pesos</w:t>
      </w:r>
      <w:r>
        <w:rPr>
          <w:lang w:val="pt-PT"/>
        </w:rPr>
        <w:t>.</w:t>
      </w:r>
    </w:p>
    <w:p w:rsidR="00014F48" w:rsidRDefault="00014F48" w:rsidP="00014F48">
      <w:pPr>
        <w:ind w:left="714"/>
        <w:jc w:val="both"/>
        <w:rPr>
          <w:lang w:val="pt-PT"/>
        </w:rPr>
      </w:pPr>
    </w:p>
    <w:p w:rsidR="00014F48" w:rsidRDefault="00014F48" w:rsidP="00014F48">
      <w:pPr>
        <w:ind w:left="714"/>
        <w:jc w:val="both"/>
        <w:rPr>
          <w:lang w:val="pt-PT"/>
        </w:rPr>
      </w:pPr>
      <w:r>
        <w:rPr>
          <w:lang w:val="pt-PT"/>
        </w:rPr>
        <w:t>NOTA: Os medicamentos como insulinas, anti-diabéticos orais, serão tratadas nas aulas de disciplinas correspondentes.</w:t>
      </w:r>
    </w:p>
    <w:p w:rsidR="00ED3A9C" w:rsidRDefault="00ED3A9C" w:rsidP="00014F48">
      <w:pPr>
        <w:rPr>
          <w:rFonts w:cs="Arial"/>
          <w:b/>
          <w:lang w:val="pt-PT"/>
        </w:rPr>
      </w:pPr>
    </w:p>
    <w:p w:rsidR="00014F48" w:rsidRPr="00B118F6" w:rsidRDefault="00014F48" w:rsidP="00014F48">
      <w:pPr>
        <w:rPr>
          <w:rFonts w:cs="Arial"/>
          <w:b/>
          <w:lang w:val="pt-PT"/>
        </w:rPr>
      </w:pPr>
      <w:r>
        <w:rPr>
          <w:rFonts w:cs="Arial"/>
          <w:b/>
          <w:lang w:val="pt-PT"/>
        </w:rPr>
        <w:lastRenderedPageBreak/>
        <w:t>DESCRIÇÃO DA</w:t>
      </w:r>
      <w:r w:rsidRPr="006F3A28">
        <w:rPr>
          <w:rFonts w:cs="Arial"/>
          <w:b/>
          <w:lang w:val="pt-PT"/>
        </w:rPr>
        <w:t xml:space="preserve"> DISCIPLINA:</w:t>
      </w:r>
    </w:p>
    <w:p w:rsidR="00014F48" w:rsidRDefault="00014F48" w:rsidP="00014F48">
      <w:pPr>
        <w:spacing w:before="120" w:line="360" w:lineRule="auto"/>
        <w:jc w:val="both"/>
        <w:rPr>
          <w:rFonts w:cs="Arial"/>
          <w:lang w:val="pt-PT"/>
        </w:rPr>
      </w:pPr>
      <w:r>
        <w:rPr>
          <w:rFonts w:cs="Arial"/>
          <w:lang w:val="pt-PT"/>
        </w:rPr>
        <w:t>O módulo de introdução às Ciências Médicas tem como propósitos familiarizar aos futuros Técnicos de Medicina com diversos conceitos básicos sobre ciências biológicas e médicas que lhes permitam compreender mais facilmente determinados aspectos das disciplinas puramente clínicas que fazem parte do curso.</w:t>
      </w:r>
    </w:p>
    <w:p w:rsidR="00014F48" w:rsidRDefault="00014F48" w:rsidP="00014F48">
      <w:pPr>
        <w:spacing w:before="120" w:line="360" w:lineRule="auto"/>
        <w:jc w:val="both"/>
        <w:rPr>
          <w:rFonts w:cs="Arial"/>
          <w:lang w:val="pt-PT"/>
        </w:rPr>
      </w:pPr>
      <w:r>
        <w:rPr>
          <w:rFonts w:cs="Arial"/>
          <w:lang w:val="pt-PT"/>
        </w:rPr>
        <w:t>De particular importância dentro desta disciplina são as aulas dedicadas a Microbiologia e Parasitologia, e a Farmacologia. Conhecimentos básicos sobre ambas matérias são fundamentais nos processos de diagnóstico e tratamento em praticamente todas as disciplinas clínicas que são incluídas na formação dos Técnicos de Medicina.</w:t>
      </w:r>
    </w:p>
    <w:p w:rsidR="00014F48" w:rsidRDefault="00014F48" w:rsidP="00014F48">
      <w:pPr>
        <w:spacing w:before="120" w:line="360" w:lineRule="auto"/>
        <w:jc w:val="both"/>
        <w:rPr>
          <w:rFonts w:cs="Arial"/>
          <w:lang w:val="pt-PT"/>
        </w:rPr>
      </w:pPr>
      <w:r>
        <w:rPr>
          <w:rFonts w:cs="Arial"/>
          <w:lang w:val="pt-PT"/>
        </w:rPr>
        <w:t>A disciplina está dividida em 4 partes:</w:t>
      </w:r>
    </w:p>
    <w:p w:rsidR="00014F48" w:rsidRDefault="00014F48" w:rsidP="00A05CAA">
      <w:pPr>
        <w:numPr>
          <w:ilvl w:val="0"/>
          <w:numId w:val="12"/>
        </w:numPr>
        <w:spacing w:before="120" w:after="0" w:line="360" w:lineRule="auto"/>
        <w:jc w:val="both"/>
        <w:rPr>
          <w:rFonts w:cs="Arial"/>
          <w:lang w:val="pt-PT"/>
        </w:rPr>
      </w:pPr>
      <w:r>
        <w:rPr>
          <w:rFonts w:cs="Arial"/>
          <w:lang w:val="pt-PT"/>
        </w:rPr>
        <w:t>1ª parte – Aspectos gerais das células e bioquímica</w:t>
      </w:r>
    </w:p>
    <w:p w:rsidR="00014F48" w:rsidRDefault="00014F48" w:rsidP="00A05CAA">
      <w:pPr>
        <w:numPr>
          <w:ilvl w:val="0"/>
          <w:numId w:val="12"/>
        </w:numPr>
        <w:spacing w:before="120" w:after="0" w:line="360" w:lineRule="auto"/>
        <w:jc w:val="both"/>
        <w:rPr>
          <w:rFonts w:cs="Arial"/>
          <w:lang w:val="pt-PT"/>
        </w:rPr>
      </w:pPr>
      <w:r>
        <w:rPr>
          <w:rFonts w:cs="Arial"/>
          <w:lang w:val="pt-PT"/>
        </w:rPr>
        <w:t>2ª parte – Imunologia</w:t>
      </w:r>
    </w:p>
    <w:p w:rsidR="00014F48" w:rsidRDefault="00014F48" w:rsidP="00A05CAA">
      <w:pPr>
        <w:numPr>
          <w:ilvl w:val="0"/>
          <w:numId w:val="12"/>
        </w:numPr>
        <w:spacing w:before="120" w:after="0" w:line="360" w:lineRule="auto"/>
        <w:jc w:val="both"/>
        <w:rPr>
          <w:rFonts w:cs="Arial"/>
          <w:lang w:val="pt-PT"/>
        </w:rPr>
      </w:pPr>
      <w:r>
        <w:rPr>
          <w:rFonts w:cs="Arial"/>
          <w:lang w:val="pt-PT"/>
        </w:rPr>
        <w:t>3ª parte – Microbiologia e parasitologia</w:t>
      </w:r>
    </w:p>
    <w:p w:rsidR="00014F48" w:rsidRDefault="00014F48" w:rsidP="00A05CAA">
      <w:pPr>
        <w:numPr>
          <w:ilvl w:val="0"/>
          <w:numId w:val="12"/>
        </w:numPr>
        <w:spacing w:before="120" w:after="0" w:line="360" w:lineRule="auto"/>
        <w:jc w:val="both"/>
        <w:rPr>
          <w:rFonts w:cs="Arial"/>
          <w:lang w:val="pt-PT"/>
        </w:rPr>
      </w:pPr>
      <w:r>
        <w:rPr>
          <w:rFonts w:cs="Arial"/>
          <w:lang w:val="pt-PT"/>
        </w:rPr>
        <w:t>4ª parte – Farmacologia geral orientada por sistemas corporais</w:t>
      </w:r>
    </w:p>
    <w:p w:rsidR="00014F48" w:rsidRDefault="00014F48" w:rsidP="00014F48">
      <w:pPr>
        <w:rPr>
          <w:rFonts w:cs="Arial"/>
          <w:lang w:val="pt-PT"/>
        </w:rPr>
      </w:pPr>
    </w:p>
    <w:tbl>
      <w:tblPr>
        <w:tblpPr w:leftFromText="180" w:rightFromText="180" w:vertAnchor="text" w:tblpY="1"/>
        <w:tblOverlap w:val="never"/>
        <w:tblW w:w="9912" w:type="dxa"/>
        <w:tblBorders>
          <w:top w:val="single" w:sz="18" w:space="0" w:color="auto"/>
          <w:bottom w:val="single" w:sz="18" w:space="0" w:color="auto"/>
        </w:tblBorders>
        <w:tblLook w:val="0020" w:firstRow="1" w:lastRow="0" w:firstColumn="0" w:lastColumn="0" w:noHBand="0" w:noVBand="0"/>
      </w:tblPr>
      <w:tblGrid>
        <w:gridCol w:w="1121"/>
        <w:gridCol w:w="1071"/>
        <w:gridCol w:w="4666"/>
        <w:gridCol w:w="1153"/>
        <w:gridCol w:w="1901"/>
      </w:tblGrid>
      <w:tr w:rsidR="00014F48" w:rsidRPr="00C83CB5" w:rsidTr="004D2CF5">
        <w:tc>
          <w:tcPr>
            <w:tcW w:w="1121" w:type="dxa"/>
            <w:tcBorders>
              <w:top w:val="single" w:sz="18" w:space="0" w:color="auto"/>
              <w:left w:val="nil"/>
              <w:bottom w:val="single" w:sz="18" w:space="0" w:color="auto"/>
              <w:right w:val="single" w:sz="4" w:space="0" w:color="auto"/>
            </w:tcBorders>
            <w:shd w:val="clear" w:color="auto" w:fill="4BACC6"/>
          </w:tcPr>
          <w:p w:rsidR="00014F48" w:rsidRPr="00C37173" w:rsidRDefault="00014F48" w:rsidP="00014F48">
            <w:pPr>
              <w:rPr>
                <w:rFonts w:cs="Arial"/>
                <w:b/>
                <w:bCs/>
                <w:color w:val="FFFFFF"/>
                <w:sz w:val="20"/>
                <w:lang w:val="pt-PT"/>
              </w:rPr>
            </w:pPr>
            <w:r>
              <w:rPr>
                <w:rFonts w:cs="Arial"/>
                <w:b/>
                <w:bCs/>
                <w:color w:val="FFFFFF"/>
                <w:sz w:val="20"/>
                <w:lang w:val="pt-PT"/>
              </w:rPr>
              <w:t>Data</w:t>
            </w:r>
            <w:r w:rsidRPr="00C37173">
              <w:rPr>
                <w:rFonts w:cs="Arial"/>
                <w:b/>
                <w:bCs/>
                <w:color w:val="FFFFFF"/>
                <w:sz w:val="20"/>
                <w:lang w:val="pt-PT"/>
              </w:rPr>
              <w:t>/</w:t>
            </w:r>
            <w:r>
              <w:rPr>
                <w:rFonts w:cs="Arial"/>
                <w:b/>
                <w:bCs/>
                <w:color w:val="FFFFFF"/>
                <w:sz w:val="20"/>
                <w:lang w:val="pt-PT"/>
              </w:rPr>
              <w:t xml:space="preserve"> </w:t>
            </w:r>
            <w:r w:rsidRPr="00C37173">
              <w:rPr>
                <w:rFonts w:cs="Arial"/>
                <w:b/>
                <w:bCs/>
                <w:color w:val="FFFFFF"/>
                <w:sz w:val="20"/>
                <w:lang w:val="pt-PT"/>
              </w:rPr>
              <w:t>Hora</w:t>
            </w:r>
            <w:r>
              <w:rPr>
                <w:rFonts w:cs="Arial"/>
                <w:b/>
                <w:bCs/>
                <w:color w:val="FFFFFF"/>
                <w:sz w:val="20"/>
                <w:lang w:val="pt-PT"/>
              </w:rPr>
              <w:t xml:space="preserve"> </w:t>
            </w:r>
          </w:p>
        </w:tc>
        <w:tc>
          <w:tcPr>
            <w:tcW w:w="1071" w:type="dxa"/>
            <w:tcBorders>
              <w:top w:val="single" w:sz="18" w:space="0" w:color="auto"/>
              <w:left w:val="single" w:sz="4" w:space="0" w:color="auto"/>
              <w:bottom w:val="single" w:sz="18" w:space="0" w:color="auto"/>
              <w:right w:val="single" w:sz="4" w:space="0" w:color="auto"/>
            </w:tcBorders>
            <w:shd w:val="clear" w:color="auto" w:fill="4BACC6"/>
          </w:tcPr>
          <w:p w:rsidR="00014F48" w:rsidRPr="0014459B" w:rsidRDefault="00014F48" w:rsidP="00014F48">
            <w:pPr>
              <w:jc w:val="center"/>
              <w:rPr>
                <w:rFonts w:cs="Arial"/>
                <w:b/>
                <w:bCs/>
                <w:color w:val="FFFFFF"/>
                <w:sz w:val="20"/>
                <w:lang w:val="pt-BR"/>
              </w:rPr>
            </w:pPr>
            <w:r>
              <w:rPr>
                <w:rFonts w:cs="Arial"/>
                <w:b/>
                <w:bCs/>
                <w:color w:val="FFFFFF"/>
                <w:sz w:val="20"/>
                <w:lang w:val="pt-PT"/>
              </w:rPr>
              <w:t>N</w:t>
            </w:r>
            <w:r>
              <w:rPr>
                <w:rFonts w:cs="Arial"/>
                <w:b/>
                <w:bCs/>
                <w:color w:val="FFFFFF"/>
                <w:sz w:val="20"/>
                <w:lang w:val="pt-BR"/>
              </w:rPr>
              <w:t>úmero da Aula</w:t>
            </w:r>
          </w:p>
        </w:tc>
        <w:tc>
          <w:tcPr>
            <w:tcW w:w="4666" w:type="dxa"/>
            <w:tcBorders>
              <w:top w:val="single" w:sz="18" w:space="0" w:color="auto"/>
              <w:left w:val="single" w:sz="4" w:space="0" w:color="auto"/>
              <w:bottom w:val="single" w:sz="18" w:space="0" w:color="auto"/>
              <w:right w:val="single" w:sz="4" w:space="0" w:color="auto"/>
            </w:tcBorders>
            <w:shd w:val="clear" w:color="auto" w:fill="4BACC6"/>
          </w:tcPr>
          <w:p w:rsidR="00014F48" w:rsidRPr="00C37173" w:rsidRDefault="00014F48" w:rsidP="00014F48">
            <w:pPr>
              <w:jc w:val="center"/>
              <w:rPr>
                <w:rFonts w:cs="Arial"/>
                <w:b/>
                <w:bCs/>
                <w:color w:val="FFFFFF"/>
                <w:sz w:val="20"/>
                <w:lang w:val="pt-PT"/>
              </w:rPr>
            </w:pPr>
            <w:r w:rsidRPr="00C37173">
              <w:rPr>
                <w:rFonts w:cs="Arial"/>
                <w:b/>
                <w:bCs/>
                <w:color w:val="FFFFFF"/>
                <w:sz w:val="20"/>
                <w:lang w:val="pt-PT"/>
              </w:rPr>
              <w:t>Tópicos e Conteúdo</w:t>
            </w:r>
          </w:p>
        </w:tc>
        <w:tc>
          <w:tcPr>
            <w:tcW w:w="1153" w:type="dxa"/>
            <w:tcBorders>
              <w:top w:val="single" w:sz="18" w:space="0" w:color="auto"/>
              <w:left w:val="single" w:sz="4" w:space="0" w:color="auto"/>
              <w:bottom w:val="single" w:sz="18" w:space="0" w:color="auto"/>
              <w:right w:val="single" w:sz="4" w:space="0" w:color="auto"/>
            </w:tcBorders>
            <w:shd w:val="clear" w:color="auto" w:fill="4BACC6"/>
          </w:tcPr>
          <w:p w:rsidR="00014F48" w:rsidRPr="00C37173" w:rsidRDefault="00014F48" w:rsidP="00014F48">
            <w:pPr>
              <w:rPr>
                <w:rFonts w:cs="Arial"/>
                <w:b/>
                <w:bCs/>
                <w:color w:val="FFFFFF"/>
                <w:sz w:val="20"/>
                <w:lang w:val="pt-PT"/>
              </w:rPr>
            </w:pPr>
            <w:r w:rsidRPr="00C37173">
              <w:rPr>
                <w:rFonts w:cs="Arial"/>
                <w:b/>
                <w:bCs/>
                <w:color w:val="FFFFFF"/>
                <w:sz w:val="20"/>
                <w:lang w:val="pt-PT"/>
              </w:rPr>
              <w:t>Duração da Aula</w:t>
            </w:r>
          </w:p>
        </w:tc>
        <w:tc>
          <w:tcPr>
            <w:tcW w:w="1901" w:type="dxa"/>
            <w:tcBorders>
              <w:top w:val="single" w:sz="18" w:space="0" w:color="auto"/>
              <w:left w:val="single" w:sz="4" w:space="0" w:color="auto"/>
              <w:bottom w:val="single" w:sz="18" w:space="0" w:color="auto"/>
              <w:right w:val="nil"/>
            </w:tcBorders>
            <w:shd w:val="clear" w:color="auto" w:fill="4BACC6"/>
          </w:tcPr>
          <w:p w:rsidR="00014F48" w:rsidRPr="00C37173" w:rsidRDefault="00014F48" w:rsidP="00014F48">
            <w:pPr>
              <w:rPr>
                <w:rFonts w:cs="Arial"/>
                <w:b/>
                <w:bCs/>
                <w:color w:val="FFFFFF"/>
                <w:sz w:val="20"/>
                <w:lang w:val="pt-PT"/>
              </w:rPr>
            </w:pPr>
            <w:r>
              <w:rPr>
                <w:rFonts w:cs="Arial"/>
                <w:b/>
                <w:bCs/>
                <w:color w:val="FFFFFF"/>
                <w:sz w:val="20"/>
                <w:lang w:val="pt-PT"/>
              </w:rPr>
              <w:t xml:space="preserve">Tipo </w:t>
            </w:r>
            <w:r w:rsidRPr="00C37173">
              <w:rPr>
                <w:rFonts w:cs="Arial"/>
                <w:b/>
                <w:bCs/>
                <w:color w:val="FFFFFF"/>
                <w:sz w:val="20"/>
                <w:lang w:val="pt-PT"/>
              </w:rPr>
              <w:t>da Aula</w:t>
            </w:r>
          </w:p>
        </w:tc>
      </w:tr>
      <w:tr w:rsidR="00014F48" w:rsidRPr="00C83CB5" w:rsidTr="004D2CF5">
        <w:tc>
          <w:tcPr>
            <w:tcW w:w="1121" w:type="dxa"/>
            <w:tcBorders>
              <w:top w:val="single" w:sz="18" w:space="0" w:color="auto"/>
              <w:bottom w:val="single" w:sz="4" w:space="0" w:color="auto"/>
              <w:right w:val="single" w:sz="4" w:space="0" w:color="auto"/>
            </w:tcBorders>
            <w:shd w:val="clear" w:color="auto" w:fill="D8D8D8"/>
          </w:tcPr>
          <w:p w:rsidR="00014F48" w:rsidRPr="000F07BF" w:rsidRDefault="00014F48" w:rsidP="00014F48">
            <w:pPr>
              <w:spacing w:before="60" w:after="60"/>
              <w:jc w:val="center"/>
              <w:rPr>
                <w:rFonts w:cs="Arial"/>
                <w:sz w:val="20"/>
                <w:lang w:val="pt-PT"/>
              </w:rPr>
            </w:pPr>
          </w:p>
        </w:tc>
        <w:tc>
          <w:tcPr>
            <w:tcW w:w="1071" w:type="dxa"/>
            <w:tcBorders>
              <w:top w:val="single" w:sz="18" w:space="0" w:color="auto"/>
              <w:left w:val="single" w:sz="4" w:space="0" w:color="auto"/>
              <w:bottom w:val="single" w:sz="4" w:space="0" w:color="auto"/>
              <w:right w:val="single" w:sz="4" w:space="0" w:color="auto"/>
            </w:tcBorders>
            <w:shd w:val="clear" w:color="auto" w:fill="D8D8D8"/>
          </w:tcPr>
          <w:p w:rsidR="00014F48" w:rsidRPr="003262B1" w:rsidRDefault="00014F48" w:rsidP="00014F48">
            <w:pPr>
              <w:spacing w:before="60" w:after="60"/>
              <w:jc w:val="center"/>
              <w:rPr>
                <w:rFonts w:cs="Arial"/>
                <w:sz w:val="20"/>
                <w:lang w:val="pt-PT"/>
              </w:rPr>
            </w:pPr>
            <w:r w:rsidRPr="003262B1">
              <w:rPr>
                <w:rFonts w:cs="Arial"/>
                <w:sz w:val="20"/>
                <w:lang w:val="pt-PT"/>
              </w:rPr>
              <w:t>1</w:t>
            </w:r>
          </w:p>
        </w:tc>
        <w:tc>
          <w:tcPr>
            <w:tcW w:w="4666" w:type="dxa"/>
            <w:tcBorders>
              <w:top w:val="single" w:sz="18" w:space="0" w:color="auto"/>
              <w:left w:val="single" w:sz="4" w:space="0" w:color="auto"/>
              <w:bottom w:val="single" w:sz="4" w:space="0" w:color="auto"/>
              <w:right w:val="single" w:sz="4" w:space="0" w:color="auto"/>
            </w:tcBorders>
            <w:shd w:val="clear" w:color="auto" w:fill="D8D8D8"/>
          </w:tcPr>
          <w:p w:rsidR="00014F48" w:rsidRPr="00CD3F1A" w:rsidRDefault="00014F48" w:rsidP="00014F48">
            <w:pPr>
              <w:spacing w:before="60" w:after="60"/>
              <w:rPr>
                <w:rFonts w:cs="Arial"/>
                <w:b/>
                <w:sz w:val="20"/>
                <w:lang w:val="pt-PT"/>
              </w:rPr>
            </w:pPr>
            <w:r w:rsidRPr="00CD3F1A">
              <w:rPr>
                <w:rFonts w:cs="Arial"/>
                <w:b/>
                <w:sz w:val="20"/>
                <w:lang w:val="pt-PT"/>
              </w:rPr>
              <w:t>Biologia:</w:t>
            </w:r>
          </w:p>
          <w:p w:rsidR="00014F48" w:rsidRPr="0014459B" w:rsidRDefault="00014F48" w:rsidP="00014F48">
            <w:pPr>
              <w:spacing w:before="60" w:after="60"/>
              <w:rPr>
                <w:rFonts w:cs="Arial"/>
                <w:sz w:val="20"/>
                <w:lang w:val="pt-PT"/>
              </w:rPr>
            </w:pPr>
            <w:r>
              <w:rPr>
                <w:rFonts w:cs="Arial"/>
                <w:sz w:val="20"/>
                <w:lang w:val="pt-PT"/>
              </w:rPr>
              <w:t>- A Célula e Genética</w:t>
            </w:r>
          </w:p>
        </w:tc>
        <w:tc>
          <w:tcPr>
            <w:tcW w:w="1153" w:type="dxa"/>
            <w:tcBorders>
              <w:top w:val="single" w:sz="18" w:space="0" w:color="auto"/>
              <w:left w:val="single" w:sz="4" w:space="0" w:color="auto"/>
              <w:bottom w:val="single" w:sz="4" w:space="0" w:color="auto"/>
              <w:right w:val="single" w:sz="4" w:space="0" w:color="auto"/>
            </w:tcBorders>
            <w:shd w:val="clear" w:color="auto" w:fill="D8D8D8"/>
          </w:tcPr>
          <w:p w:rsidR="00014F48" w:rsidRPr="0014459B" w:rsidRDefault="00014F48" w:rsidP="00014F48">
            <w:pPr>
              <w:spacing w:before="60" w:after="60"/>
              <w:jc w:val="center"/>
              <w:rPr>
                <w:rFonts w:cs="Arial"/>
                <w:sz w:val="20"/>
                <w:lang w:val="pt-PT"/>
              </w:rPr>
            </w:pPr>
            <w:r>
              <w:rPr>
                <w:rFonts w:cs="Arial"/>
                <w:sz w:val="20"/>
                <w:lang w:val="pt-PT"/>
              </w:rPr>
              <w:t>2h</w:t>
            </w:r>
          </w:p>
        </w:tc>
        <w:tc>
          <w:tcPr>
            <w:tcW w:w="1901" w:type="dxa"/>
            <w:tcBorders>
              <w:top w:val="single" w:sz="18" w:space="0" w:color="auto"/>
              <w:left w:val="single" w:sz="4" w:space="0" w:color="auto"/>
              <w:bottom w:val="single" w:sz="4" w:space="0" w:color="auto"/>
            </w:tcBorders>
            <w:shd w:val="clear" w:color="auto" w:fill="D8D8D8"/>
          </w:tcPr>
          <w:p w:rsidR="00014F48" w:rsidRPr="00C83CB5" w:rsidRDefault="00014F48" w:rsidP="00014F48">
            <w:pPr>
              <w:spacing w:before="60" w:after="60"/>
              <w:jc w:val="center"/>
              <w:rPr>
                <w:sz w:val="20"/>
                <w:lang w:val="pt-BR"/>
              </w:rPr>
            </w:pPr>
            <w:r w:rsidRPr="00C83CB5">
              <w:rPr>
                <w:sz w:val="20"/>
                <w:lang w:val="pt-BR"/>
              </w:rPr>
              <w:t>Teórica</w:t>
            </w:r>
          </w:p>
        </w:tc>
      </w:tr>
      <w:tr w:rsidR="00014F48" w:rsidRPr="000F07BF" w:rsidTr="004D2CF5">
        <w:tc>
          <w:tcPr>
            <w:tcW w:w="1121" w:type="dxa"/>
            <w:tcBorders>
              <w:top w:val="single" w:sz="4" w:space="0" w:color="auto"/>
              <w:bottom w:val="single" w:sz="4" w:space="0" w:color="auto"/>
              <w:right w:val="single" w:sz="4" w:space="0" w:color="auto"/>
            </w:tcBorders>
          </w:tcPr>
          <w:p w:rsidR="00014F48" w:rsidRPr="000F07BF" w:rsidRDefault="00014F48" w:rsidP="00014F48">
            <w:pPr>
              <w:spacing w:before="60" w:after="60"/>
              <w:jc w:val="center"/>
              <w:rPr>
                <w:rFonts w:cs="Arial"/>
                <w:sz w:val="20"/>
                <w:lang w:val="pt-PT"/>
              </w:rPr>
            </w:pPr>
          </w:p>
        </w:tc>
        <w:tc>
          <w:tcPr>
            <w:tcW w:w="1071" w:type="dxa"/>
            <w:tcBorders>
              <w:top w:val="single" w:sz="4" w:space="0" w:color="auto"/>
              <w:left w:val="single" w:sz="4" w:space="0" w:color="auto"/>
              <w:bottom w:val="single" w:sz="4" w:space="0" w:color="auto"/>
              <w:right w:val="single" w:sz="4" w:space="0" w:color="auto"/>
            </w:tcBorders>
          </w:tcPr>
          <w:p w:rsidR="00014F48" w:rsidRPr="003262B1" w:rsidRDefault="00014F48" w:rsidP="00014F48">
            <w:pPr>
              <w:spacing w:before="60" w:after="60"/>
              <w:jc w:val="center"/>
              <w:rPr>
                <w:rFonts w:cs="Arial"/>
                <w:sz w:val="20"/>
                <w:lang w:val="pt-PT"/>
              </w:rPr>
            </w:pPr>
            <w:r w:rsidRPr="003262B1">
              <w:rPr>
                <w:rFonts w:cs="Arial"/>
                <w:sz w:val="20"/>
                <w:lang w:val="pt-PT"/>
              </w:rPr>
              <w:t>2</w:t>
            </w:r>
          </w:p>
        </w:tc>
        <w:tc>
          <w:tcPr>
            <w:tcW w:w="4666" w:type="dxa"/>
            <w:tcBorders>
              <w:top w:val="single" w:sz="4" w:space="0" w:color="auto"/>
              <w:left w:val="single" w:sz="4" w:space="0" w:color="auto"/>
              <w:bottom w:val="single" w:sz="4" w:space="0" w:color="auto"/>
              <w:right w:val="single" w:sz="4" w:space="0" w:color="auto"/>
            </w:tcBorders>
          </w:tcPr>
          <w:p w:rsidR="00014F48" w:rsidRPr="00CD3F1A" w:rsidRDefault="00014F48" w:rsidP="00014F48">
            <w:pPr>
              <w:spacing w:before="60" w:after="60"/>
              <w:rPr>
                <w:rFonts w:cs="Arial"/>
                <w:b/>
                <w:sz w:val="20"/>
                <w:lang w:val="pt-PT"/>
              </w:rPr>
            </w:pPr>
            <w:r w:rsidRPr="00CD3F1A">
              <w:rPr>
                <w:rFonts w:cs="Arial"/>
                <w:b/>
                <w:sz w:val="20"/>
                <w:lang w:val="pt-PT"/>
              </w:rPr>
              <w:t>Bioquímica 1:</w:t>
            </w:r>
          </w:p>
          <w:p w:rsidR="00014F48" w:rsidRPr="0014459B" w:rsidRDefault="00014F48" w:rsidP="00014F48">
            <w:pPr>
              <w:spacing w:before="60" w:after="60"/>
              <w:rPr>
                <w:rFonts w:cs="Arial"/>
                <w:sz w:val="20"/>
                <w:lang w:val="pt-PT"/>
              </w:rPr>
            </w:pPr>
            <w:r>
              <w:rPr>
                <w:rFonts w:cs="Arial"/>
                <w:sz w:val="20"/>
                <w:lang w:val="pt-PT"/>
              </w:rPr>
              <w:t>- Biomoléculas</w:t>
            </w:r>
          </w:p>
        </w:tc>
        <w:tc>
          <w:tcPr>
            <w:tcW w:w="1153" w:type="dxa"/>
            <w:tcBorders>
              <w:top w:val="single" w:sz="4" w:space="0" w:color="auto"/>
              <w:left w:val="single" w:sz="4" w:space="0" w:color="auto"/>
              <w:bottom w:val="single" w:sz="4" w:space="0" w:color="auto"/>
              <w:right w:val="single" w:sz="4" w:space="0" w:color="auto"/>
            </w:tcBorders>
          </w:tcPr>
          <w:p w:rsidR="00014F48" w:rsidRPr="0014459B" w:rsidRDefault="00014F48" w:rsidP="00014F48">
            <w:pPr>
              <w:spacing w:before="60" w:after="60"/>
              <w:jc w:val="center"/>
              <w:rPr>
                <w:rFonts w:cs="Arial"/>
                <w:sz w:val="20"/>
                <w:lang w:val="pt-PT"/>
              </w:rPr>
            </w:pPr>
            <w:r>
              <w:rPr>
                <w:rFonts w:cs="Arial"/>
                <w:sz w:val="20"/>
                <w:lang w:val="pt-PT"/>
              </w:rPr>
              <w:t>2h</w:t>
            </w:r>
          </w:p>
        </w:tc>
        <w:tc>
          <w:tcPr>
            <w:tcW w:w="1901" w:type="dxa"/>
            <w:tcBorders>
              <w:top w:val="single" w:sz="4" w:space="0" w:color="auto"/>
              <w:left w:val="single" w:sz="4" w:space="0" w:color="auto"/>
              <w:bottom w:val="single" w:sz="4" w:space="0" w:color="auto"/>
            </w:tcBorders>
          </w:tcPr>
          <w:p w:rsidR="00014F48" w:rsidRPr="0014459B" w:rsidRDefault="00014F48" w:rsidP="00014F48">
            <w:pPr>
              <w:spacing w:before="60" w:after="60"/>
              <w:jc w:val="center"/>
              <w:rPr>
                <w:sz w:val="20"/>
              </w:rPr>
            </w:pPr>
            <w:r>
              <w:rPr>
                <w:sz w:val="20"/>
              </w:rPr>
              <w:t>Teórica</w:t>
            </w:r>
          </w:p>
        </w:tc>
      </w:tr>
      <w:tr w:rsidR="00014F48" w:rsidRPr="00C83CB5" w:rsidTr="004D2CF5">
        <w:tc>
          <w:tcPr>
            <w:tcW w:w="1121" w:type="dxa"/>
            <w:tcBorders>
              <w:top w:val="single" w:sz="4" w:space="0" w:color="auto"/>
              <w:bottom w:val="single" w:sz="4" w:space="0" w:color="auto"/>
              <w:right w:val="single" w:sz="4" w:space="0" w:color="auto"/>
            </w:tcBorders>
            <w:shd w:val="clear" w:color="auto" w:fill="D8D8D8"/>
          </w:tcPr>
          <w:p w:rsidR="00014F48" w:rsidRPr="000F07BF" w:rsidRDefault="00014F48" w:rsidP="00014F48">
            <w:pPr>
              <w:spacing w:before="60" w:after="60"/>
              <w:jc w:val="center"/>
              <w:rPr>
                <w:rFonts w:cs="Arial"/>
                <w:sz w:val="20"/>
                <w:lang w:val="pt-PT"/>
              </w:rPr>
            </w:pPr>
          </w:p>
        </w:tc>
        <w:tc>
          <w:tcPr>
            <w:tcW w:w="1071" w:type="dxa"/>
            <w:tcBorders>
              <w:top w:val="single" w:sz="4" w:space="0" w:color="auto"/>
              <w:left w:val="single" w:sz="4" w:space="0" w:color="auto"/>
              <w:bottom w:val="single" w:sz="4" w:space="0" w:color="auto"/>
              <w:right w:val="single" w:sz="4" w:space="0" w:color="auto"/>
            </w:tcBorders>
            <w:shd w:val="clear" w:color="auto" w:fill="D8D8D8"/>
          </w:tcPr>
          <w:p w:rsidR="00014F48" w:rsidRPr="003262B1" w:rsidRDefault="00014F48" w:rsidP="00014F48">
            <w:pPr>
              <w:spacing w:before="60" w:after="60"/>
              <w:jc w:val="center"/>
              <w:rPr>
                <w:rFonts w:cs="Arial"/>
                <w:sz w:val="20"/>
                <w:lang w:val="pt-PT"/>
              </w:rPr>
            </w:pPr>
            <w:r w:rsidRPr="003262B1">
              <w:rPr>
                <w:rFonts w:cs="Arial"/>
                <w:sz w:val="20"/>
                <w:lang w:val="pt-PT"/>
              </w:rPr>
              <w:t>3</w:t>
            </w:r>
          </w:p>
        </w:tc>
        <w:tc>
          <w:tcPr>
            <w:tcW w:w="4666" w:type="dxa"/>
            <w:tcBorders>
              <w:top w:val="single" w:sz="4" w:space="0" w:color="auto"/>
              <w:left w:val="single" w:sz="4" w:space="0" w:color="auto"/>
              <w:bottom w:val="single" w:sz="4" w:space="0" w:color="auto"/>
              <w:right w:val="single" w:sz="4" w:space="0" w:color="auto"/>
            </w:tcBorders>
            <w:shd w:val="clear" w:color="auto" w:fill="D8D8D8"/>
          </w:tcPr>
          <w:p w:rsidR="00014F48" w:rsidRPr="00CD3F1A" w:rsidRDefault="00014F48" w:rsidP="00014F48">
            <w:pPr>
              <w:spacing w:before="60" w:after="60"/>
              <w:rPr>
                <w:rFonts w:cs="Arial"/>
                <w:b/>
                <w:sz w:val="20"/>
                <w:lang w:val="pt-PT"/>
              </w:rPr>
            </w:pPr>
            <w:r w:rsidRPr="00CD3F1A">
              <w:rPr>
                <w:rFonts w:cs="Arial"/>
                <w:b/>
                <w:sz w:val="20"/>
                <w:lang w:val="pt-PT"/>
              </w:rPr>
              <w:t>Bioquímica 2:</w:t>
            </w:r>
          </w:p>
          <w:p w:rsidR="00014F48" w:rsidRPr="0014459B" w:rsidRDefault="00014F48" w:rsidP="00014F48">
            <w:pPr>
              <w:spacing w:before="60" w:after="60"/>
              <w:rPr>
                <w:rFonts w:cs="Arial"/>
                <w:sz w:val="20"/>
                <w:lang w:val="pt-BR"/>
              </w:rPr>
            </w:pPr>
            <w:r>
              <w:rPr>
                <w:rFonts w:cs="Arial"/>
                <w:sz w:val="20"/>
                <w:lang w:val="pt-PT"/>
              </w:rPr>
              <w:t>- Biomoléculas e Micronutrientes</w:t>
            </w:r>
          </w:p>
        </w:tc>
        <w:tc>
          <w:tcPr>
            <w:tcW w:w="1153" w:type="dxa"/>
            <w:tcBorders>
              <w:top w:val="single" w:sz="4" w:space="0" w:color="auto"/>
              <w:left w:val="single" w:sz="4" w:space="0" w:color="auto"/>
              <w:bottom w:val="single" w:sz="4" w:space="0" w:color="auto"/>
              <w:right w:val="single" w:sz="4" w:space="0" w:color="auto"/>
            </w:tcBorders>
            <w:shd w:val="clear" w:color="auto" w:fill="D8D8D8"/>
          </w:tcPr>
          <w:p w:rsidR="00014F48" w:rsidRPr="00C83CB5" w:rsidRDefault="00014F48" w:rsidP="00014F48">
            <w:pPr>
              <w:spacing w:before="60" w:after="60"/>
              <w:jc w:val="center"/>
              <w:rPr>
                <w:rFonts w:cs="Arial"/>
                <w:sz w:val="20"/>
                <w:lang w:val="pt-BR"/>
              </w:rPr>
            </w:pPr>
            <w:r>
              <w:rPr>
                <w:rFonts w:cs="Arial"/>
                <w:sz w:val="20"/>
                <w:lang w:val="pt-BR"/>
              </w:rPr>
              <w:t>2h</w:t>
            </w:r>
          </w:p>
        </w:tc>
        <w:tc>
          <w:tcPr>
            <w:tcW w:w="1901" w:type="dxa"/>
            <w:tcBorders>
              <w:top w:val="single" w:sz="4" w:space="0" w:color="auto"/>
              <w:left w:val="single" w:sz="4" w:space="0" w:color="auto"/>
              <w:bottom w:val="single" w:sz="4" w:space="0" w:color="auto"/>
            </w:tcBorders>
            <w:shd w:val="clear" w:color="auto" w:fill="D8D8D8"/>
          </w:tcPr>
          <w:p w:rsidR="00014F48" w:rsidRPr="00C83CB5" w:rsidRDefault="00014F48" w:rsidP="00014F48">
            <w:pPr>
              <w:spacing w:before="60" w:after="60"/>
              <w:jc w:val="center"/>
              <w:rPr>
                <w:sz w:val="20"/>
                <w:lang w:val="pt-BR"/>
              </w:rPr>
            </w:pPr>
            <w:r>
              <w:rPr>
                <w:sz w:val="20"/>
              </w:rPr>
              <w:t>Teórica</w:t>
            </w:r>
          </w:p>
        </w:tc>
      </w:tr>
      <w:tr w:rsidR="00014F48" w:rsidRPr="00C83CB5" w:rsidTr="004D2CF5">
        <w:tc>
          <w:tcPr>
            <w:tcW w:w="1121" w:type="dxa"/>
            <w:tcBorders>
              <w:top w:val="single" w:sz="4" w:space="0" w:color="auto"/>
              <w:bottom w:val="single" w:sz="4" w:space="0" w:color="auto"/>
              <w:right w:val="single" w:sz="4" w:space="0" w:color="auto"/>
            </w:tcBorders>
          </w:tcPr>
          <w:p w:rsidR="00014F48" w:rsidRPr="000F07BF" w:rsidRDefault="00014F48" w:rsidP="00014F48">
            <w:pPr>
              <w:spacing w:before="60" w:after="60"/>
              <w:jc w:val="center"/>
              <w:rPr>
                <w:rFonts w:cs="Arial"/>
                <w:sz w:val="20"/>
                <w:lang w:val="pt-PT"/>
              </w:rPr>
            </w:pPr>
          </w:p>
        </w:tc>
        <w:tc>
          <w:tcPr>
            <w:tcW w:w="1071" w:type="dxa"/>
            <w:tcBorders>
              <w:top w:val="single" w:sz="4" w:space="0" w:color="auto"/>
              <w:left w:val="single" w:sz="4" w:space="0" w:color="auto"/>
              <w:bottom w:val="single" w:sz="4" w:space="0" w:color="auto"/>
              <w:right w:val="single" w:sz="4" w:space="0" w:color="auto"/>
            </w:tcBorders>
          </w:tcPr>
          <w:p w:rsidR="00014F48" w:rsidRPr="003262B1" w:rsidRDefault="00014F48" w:rsidP="00014F48">
            <w:pPr>
              <w:spacing w:before="60" w:after="60"/>
              <w:jc w:val="center"/>
              <w:rPr>
                <w:rFonts w:cs="Arial"/>
                <w:sz w:val="20"/>
                <w:lang w:val="pt-PT"/>
              </w:rPr>
            </w:pPr>
            <w:r w:rsidRPr="003262B1">
              <w:rPr>
                <w:rFonts w:cs="Arial"/>
                <w:sz w:val="20"/>
                <w:lang w:val="pt-PT"/>
              </w:rPr>
              <w:t>4</w:t>
            </w:r>
          </w:p>
        </w:tc>
        <w:tc>
          <w:tcPr>
            <w:tcW w:w="4666" w:type="dxa"/>
            <w:tcBorders>
              <w:top w:val="single" w:sz="4" w:space="0" w:color="auto"/>
              <w:left w:val="single" w:sz="4" w:space="0" w:color="auto"/>
              <w:bottom w:val="single" w:sz="4" w:space="0" w:color="auto"/>
              <w:right w:val="single" w:sz="4" w:space="0" w:color="auto"/>
            </w:tcBorders>
          </w:tcPr>
          <w:p w:rsidR="00014F48" w:rsidRPr="00CD3F1A" w:rsidRDefault="00014F48" w:rsidP="00014F48">
            <w:pPr>
              <w:spacing w:before="60" w:after="60"/>
              <w:rPr>
                <w:rFonts w:cs="Arial"/>
                <w:b/>
                <w:sz w:val="20"/>
                <w:lang w:val="pt-PT"/>
              </w:rPr>
            </w:pPr>
            <w:r w:rsidRPr="00CD3F1A">
              <w:rPr>
                <w:rFonts w:cs="Arial"/>
                <w:b/>
                <w:sz w:val="20"/>
                <w:lang w:val="pt-PT"/>
              </w:rPr>
              <w:t>Imunologia 1:</w:t>
            </w:r>
          </w:p>
          <w:p w:rsidR="00014F48" w:rsidRPr="0014459B" w:rsidRDefault="00014F48" w:rsidP="00014F48">
            <w:pPr>
              <w:spacing w:before="60" w:after="60"/>
              <w:rPr>
                <w:rFonts w:cs="Arial"/>
                <w:sz w:val="20"/>
                <w:lang w:val="pt-PT"/>
              </w:rPr>
            </w:pPr>
            <w:r>
              <w:rPr>
                <w:rFonts w:cs="Arial"/>
                <w:sz w:val="20"/>
                <w:lang w:val="pt-PT"/>
              </w:rPr>
              <w:t xml:space="preserve">- Resposta imune </w:t>
            </w:r>
          </w:p>
        </w:tc>
        <w:tc>
          <w:tcPr>
            <w:tcW w:w="1153" w:type="dxa"/>
            <w:tcBorders>
              <w:top w:val="single" w:sz="4" w:space="0" w:color="auto"/>
              <w:left w:val="single" w:sz="4" w:space="0" w:color="auto"/>
              <w:bottom w:val="single" w:sz="4" w:space="0" w:color="auto"/>
              <w:right w:val="single" w:sz="4" w:space="0" w:color="auto"/>
            </w:tcBorders>
          </w:tcPr>
          <w:p w:rsidR="00014F48" w:rsidRPr="0014459B" w:rsidRDefault="00014F48" w:rsidP="00014F48">
            <w:pPr>
              <w:spacing w:before="60" w:after="60"/>
              <w:jc w:val="center"/>
              <w:rPr>
                <w:rFonts w:cs="Arial"/>
                <w:sz w:val="20"/>
                <w:lang w:val="pt-PT"/>
              </w:rPr>
            </w:pPr>
            <w:r>
              <w:rPr>
                <w:rFonts w:cs="Arial"/>
                <w:sz w:val="20"/>
                <w:lang w:val="pt-PT"/>
              </w:rPr>
              <w:t>2h</w:t>
            </w:r>
          </w:p>
        </w:tc>
        <w:tc>
          <w:tcPr>
            <w:tcW w:w="1901" w:type="dxa"/>
            <w:tcBorders>
              <w:top w:val="single" w:sz="4" w:space="0" w:color="auto"/>
              <w:left w:val="single" w:sz="4" w:space="0" w:color="auto"/>
              <w:bottom w:val="single" w:sz="4" w:space="0" w:color="auto"/>
            </w:tcBorders>
          </w:tcPr>
          <w:p w:rsidR="00014F48" w:rsidRPr="00C83CB5" w:rsidRDefault="00014F48" w:rsidP="00014F48">
            <w:pPr>
              <w:spacing w:before="60" w:after="60"/>
              <w:jc w:val="center"/>
              <w:rPr>
                <w:sz w:val="20"/>
                <w:lang w:val="pt-BR"/>
              </w:rPr>
            </w:pPr>
            <w:r>
              <w:rPr>
                <w:sz w:val="20"/>
              </w:rPr>
              <w:t>Teórica</w:t>
            </w:r>
          </w:p>
        </w:tc>
      </w:tr>
      <w:tr w:rsidR="00014F48" w:rsidRPr="000F07BF" w:rsidTr="004D2CF5">
        <w:tc>
          <w:tcPr>
            <w:tcW w:w="1121" w:type="dxa"/>
            <w:tcBorders>
              <w:top w:val="single" w:sz="4" w:space="0" w:color="auto"/>
              <w:bottom w:val="single" w:sz="4" w:space="0" w:color="auto"/>
              <w:right w:val="single" w:sz="4" w:space="0" w:color="auto"/>
            </w:tcBorders>
            <w:shd w:val="clear" w:color="auto" w:fill="D8D8D8"/>
          </w:tcPr>
          <w:p w:rsidR="00014F48" w:rsidRPr="000F07BF" w:rsidRDefault="00014F48" w:rsidP="00014F48">
            <w:pPr>
              <w:spacing w:before="60" w:after="60"/>
              <w:jc w:val="center"/>
              <w:rPr>
                <w:rFonts w:cs="Arial"/>
                <w:sz w:val="20"/>
                <w:lang w:val="pt-PT"/>
              </w:rPr>
            </w:pPr>
          </w:p>
        </w:tc>
        <w:tc>
          <w:tcPr>
            <w:tcW w:w="1071" w:type="dxa"/>
            <w:tcBorders>
              <w:top w:val="single" w:sz="4" w:space="0" w:color="auto"/>
              <w:left w:val="single" w:sz="4" w:space="0" w:color="auto"/>
              <w:bottom w:val="single" w:sz="4" w:space="0" w:color="auto"/>
              <w:right w:val="single" w:sz="4" w:space="0" w:color="auto"/>
            </w:tcBorders>
            <w:shd w:val="clear" w:color="auto" w:fill="D8D8D8"/>
          </w:tcPr>
          <w:p w:rsidR="00014F48" w:rsidRPr="003262B1" w:rsidRDefault="00014F48" w:rsidP="00014F48">
            <w:pPr>
              <w:spacing w:before="60" w:after="60"/>
              <w:jc w:val="center"/>
              <w:rPr>
                <w:rFonts w:cs="Arial"/>
                <w:sz w:val="20"/>
                <w:lang w:val="pt-PT"/>
              </w:rPr>
            </w:pPr>
            <w:r w:rsidRPr="003262B1">
              <w:rPr>
                <w:rFonts w:cs="Arial"/>
                <w:sz w:val="20"/>
                <w:lang w:val="pt-PT"/>
              </w:rPr>
              <w:t>5</w:t>
            </w:r>
          </w:p>
        </w:tc>
        <w:tc>
          <w:tcPr>
            <w:tcW w:w="4666" w:type="dxa"/>
            <w:tcBorders>
              <w:top w:val="single" w:sz="4" w:space="0" w:color="auto"/>
              <w:left w:val="single" w:sz="4" w:space="0" w:color="auto"/>
              <w:bottom w:val="single" w:sz="4" w:space="0" w:color="auto"/>
              <w:right w:val="single" w:sz="4" w:space="0" w:color="auto"/>
            </w:tcBorders>
            <w:shd w:val="clear" w:color="auto" w:fill="D8D8D8"/>
          </w:tcPr>
          <w:p w:rsidR="00014F48" w:rsidRPr="00CD3F1A" w:rsidRDefault="00014F48" w:rsidP="00014F48">
            <w:pPr>
              <w:spacing w:before="60" w:after="60"/>
              <w:rPr>
                <w:rFonts w:cs="Arial"/>
                <w:b/>
                <w:sz w:val="20"/>
                <w:lang w:val="pt-BR"/>
              </w:rPr>
            </w:pPr>
            <w:r w:rsidRPr="00CD3F1A">
              <w:rPr>
                <w:rFonts w:cs="Arial"/>
                <w:b/>
                <w:sz w:val="20"/>
                <w:lang w:val="pt-BR"/>
              </w:rPr>
              <w:t>Imunologia 2:</w:t>
            </w:r>
          </w:p>
          <w:p w:rsidR="00014F48" w:rsidRPr="0014459B" w:rsidRDefault="00014F48" w:rsidP="00014F48">
            <w:pPr>
              <w:spacing w:before="60" w:after="60"/>
              <w:rPr>
                <w:rFonts w:cs="Arial"/>
                <w:sz w:val="20"/>
                <w:lang w:val="pt-BR"/>
              </w:rPr>
            </w:pPr>
            <w:r>
              <w:rPr>
                <w:rFonts w:cs="Arial"/>
                <w:sz w:val="20"/>
                <w:lang w:val="pt-BR"/>
              </w:rPr>
              <w:t>- Imunologia Clínica</w:t>
            </w:r>
          </w:p>
        </w:tc>
        <w:tc>
          <w:tcPr>
            <w:tcW w:w="1153" w:type="dxa"/>
            <w:tcBorders>
              <w:top w:val="single" w:sz="4" w:space="0" w:color="auto"/>
              <w:left w:val="single" w:sz="4" w:space="0" w:color="auto"/>
              <w:bottom w:val="single" w:sz="4" w:space="0" w:color="auto"/>
              <w:right w:val="single" w:sz="4" w:space="0" w:color="auto"/>
            </w:tcBorders>
            <w:shd w:val="clear" w:color="auto" w:fill="D8D8D8"/>
          </w:tcPr>
          <w:p w:rsidR="00014F48" w:rsidRPr="0014459B" w:rsidRDefault="00014F48" w:rsidP="00014F48">
            <w:pPr>
              <w:spacing w:before="60" w:after="60"/>
              <w:jc w:val="center"/>
              <w:rPr>
                <w:rFonts w:cs="Arial"/>
                <w:sz w:val="20"/>
                <w:lang w:val="pt-PT"/>
              </w:rPr>
            </w:pPr>
            <w:r>
              <w:rPr>
                <w:rFonts w:cs="Arial"/>
                <w:sz w:val="20"/>
                <w:lang w:val="pt-PT"/>
              </w:rPr>
              <w:t>2h</w:t>
            </w:r>
          </w:p>
        </w:tc>
        <w:tc>
          <w:tcPr>
            <w:tcW w:w="1901" w:type="dxa"/>
            <w:tcBorders>
              <w:top w:val="single" w:sz="4" w:space="0" w:color="auto"/>
              <w:left w:val="single" w:sz="4" w:space="0" w:color="auto"/>
              <w:bottom w:val="single" w:sz="4" w:space="0" w:color="auto"/>
            </w:tcBorders>
            <w:shd w:val="clear" w:color="auto" w:fill="D8D8D8"/>
          </w:tcPr>
          <w:p w:rsidR="00014F48" w:rsidRPr="0014459B" w:rsidRDefault="00014F48" w:rsidP="00014F48">
            <w:pPr>
              <w:spacing w:before="60" w:after="60"/>
              <w:jc w:val="center"/>
              <w:rPr>
                <w:rFonts w:cs="Arial"/>
                <w:i/>
                <w:sz w:val="20"/>
                <w:lang w:val="pt-BR"/>
              </w:rPr>
            </w:pPr>
            <w:r>
              <w:rPr>
                <w:sz w:val="20"/>
              </w:rPr>
              <w:t>Teórica</w:t>
            </w:r>
          </w:p>
        </w:tc>
      </w:tr>
      <w:tr w:rsidR="00014F48" w:rsidRPr="00C83CB5" w:rsidTr="004D2CF5">
        <w:tc>
          <w:tcPr>
            <w:tcW w:w="1121" w:type="dxa"/>
            <w:tcBorders>
              <w:top w:val="single" w:sz="4" w:space="0" w:color="auto"/>
              <w:bottom w:val="single" w:sz="4" w:space="0" w:color="auto"/>
              <w:right w:val="single" w:sz="4" w:space="0" w:color="auto"/>
            </w:tcBorders>
          </w:tcPr>
          <w:p w:rsidR="00014F48" w:rsidRPr="00C37173" w:rsidRDefault="00014F48" w:rsidP="00014F48">
            <w:pPr>
              <w:spacing w:before="60" w:after="60"/>
              <w:jc w:val="center"/>
              <w:rPr>
                <w:rFonts w:cs="Arial"/>
                <w:sz w:val="20"/>
                <w:lang w:val="pt-PT"/>
              </w:rPr>
            </w:pPr>
          </w:p>
        </w:tc>
        <w:tc>
          <w:tcPr>
            <w:tcW w:w="1071" w:type="dxa"/>
            <w:tcBorders>
              <w:top w:val="single" w:sz="4" w:space="0" w:color="auto"/>
              <w:left w:val="single" w:sz="4" w:space="0" w:color="auto"/>
              <w:bottom w:val="single" w:sz="4" w:space="0" w:color="auto"/>
              <w:right w:val="single" w:sz="4" w:space="0" w:color="auto"/>
            </w:tcBorders>
          </w:tcPr>
          <w:p w:rsidR="00014F48" w:rsidRPr="0014459B" w:rsidRDefault="00014F48" w:rsidP="00014F48">
            <w:pPr>
              <w:spacing w:before="60" w:after="60"/>
              <w:jc w:val="center"/>
              <w:rPr>
                <w:rFonts w:cs="Arial"/>
                <w:sz w:val="20"/>
                <w:lang w:val="pt-PT"/>
              </w:rPr>
            </w:pPr>
            <w:r w:rsidRPr="0014459B">
              <w:rPr>
                <w:rFonts w:cs="Arial"/>
                <w:sz w:val="20"/>
                <w:lang w:val="pt-PT"/>
              </w:rPr>
              <w:t>6</w:t>
            </w:r>
          </w:p>
        </w:tc>
        <w:tc>
          <w:tcPr>
            <w:tcW w:w="4666" w:type="dxa"/>
            <w:tcBorders>
              <w:top w:val="single" w:sz="4" w:space="0" w:color="auto"/>
              <w:left w:val="single" w:sz="4" w:space="0" w:color="auto"/>
              <w:bottom w:val="single" w:sz="4" w:space="0" w:color="auto"/>
              <w:right w:val="single" w:sz="4" w:space="0" w:color="auto"/>
            </w:tcBorders>
          </w:tcPr>
          <w:p w:rsidR="00014F48" w:rsidRPr="00CD3F1A" w:rsidRDefault="00014F48" w:rsidP="00014F48">
            <w:pPr>
              <w:spacing w:before="60" w:after="60"/>
              <w:rPr>
                <w:rFonts w:cs="Arial"/>
                <w:b/>
                <w:sz w:val="20"/>
                <w:lang w:val="pt-BR"/>
              </w:rPr>
            </w:pPr>
            <w:r w:rsidRPr="00CD3F1A">
              <w:rPr>
                <w:rFonts w:cs="Arial"/>
                <w:b/>
                <w:sz w:val="20"/>
                <w:lang w:val="pt-BR"/>
              </w:rPr>
              <w:t>Imunologia 3:</w:t>
            </w:r>
          </w:p>
          <w:p w:rsidR="00014F48" w:rsidRPr="0014459B" w:rsidRDefault="00014F48" w:rsidP="00014F48">
            <w:pPr>
              <w:spacing w:before="60" w:after="60"/>
              <w:rPr>
                <w:rFonts w:cs="Arial"/>
                <w:sz w:val="20"/>
                <w:lang w:val="pt-BR"/>
              </w:rPr>
            </w:pPr>
            <w:r>
              <w:rPr>
                <w:rFonts w:cs="Arial"/>
                <w:sz w:val="20"/>
                <w:lang w:val="pt-BR"/>
              </w:rPr>
              <w:t>- Imunologia Clínica</w:t>
            </w:r>
          </w:p>
        </w:tc>
        <w:tc>
          <w:tcPr>
            <w:tcW w:w="1153" w:type="dxa"/>
            <w:tcBorders>
              <w:top w:val="single" w:sz="4" w:space="0" w:color="auto"/>
              <w:left w:val="single" w:sz="4" w:space="0" w:color="auto"/>
              <w:bottom w:val="single" w:sz="4" w:space="0" w:color="auto"/>
              <w:right w:val="single" w:sz="4" w:space="0" w:color="auto"/>
            </w:tcBorders>
          </w:tcPr>
          <w:p w:rsidR="00014F48" w:rsidRPr="00C83CB5" w:rsidRDefault="00014F48" w:rsidP="00014F48">
            <w:pPr>
              <w:spacing w:before="60" w:after="60"/>
              <w:jc w:val="center"/>
              <w:rPr>
                <w:rFonts w:cs="Arial"/>
                <w:sz w:val="20"/>
                <w:lang w:val="pt-BR"/>
              </w:rPr>
            </w:pPr>
            <w:r>
              <w:rPr>
                <w:rFonts w:cs="Arial"/>
                <w:sz w:val="20"/>
                <w:lang w:val="pt-BR"/>
              </w:rPr>
              <w:t xml:space="preserve">2h </w:t>
            </w:r>
          </w:p>
        </w:tc>
        <w:tc>
          <w:tcPr>
            <w:tcW w:w="1901" w:type="dxa"/>
            <w:tcBorders>
              <w:top w:val="single" w:sz="4" w:space="0" w:color="auto"/>
              <w:left w:val="single" w:sz="4" w:space="0" w:color="auto"/>
              <w:bottom w:val="single" w:sz="4" w:space="0" w:color="auto"/>
            </w:tcBorders>
          </w:tcPr>
          <w:p w:rsidR="00014F48" w:rsidRPr="00311ECC" w:rsidRDefault="00014F48" w:rsidP="00014F48">
            <w:pPr>
              <w:spacing w:before="60" w:after="60"/>
              <w:jc w:val="center"/>
              <w:rPr>
                <w:rFonts w:cs="Arial"/>
                <w:sz w:val="20"/>
                <w:lang w:val="pt-BR"/>
              </w:rPr>
            </w:pPr>
            <w:r>
              <w:rPr>
                <w:sz w:val="20"/>
              </w:rPr>
              <w:t>Teórica</w:t>
            </w:r>
          </w:p>
        </w:tc>
      </w:tr>
      <w:tr w:rsidR="00014F48" w:rsidRPr="00C83CB5" w:rsidTr="004D2CF5">
        <w:tc>
          <w:tcPr>
            <w:tcW w:w="1121" w:type="dxa"/>
            <w:tcBorders>
              <w:top w:val="single" w:sz="4" w:space="0" w:color="auto"/>
              <w:bottom w:val="single" w:sz="4" w:space="0" w:color="auto"/>
              <w:right w:val="single" w:sz="4" w:space="0" w:color="auto"/>
            </w:tcBorders>
          </w:tcPr>
          <w:p w:rsidR="00014F48" w:rsidRPr="00C37173" w:rsidRDefault="00014F48" w:rsidP="00014F48">
            <w:pPr>
              <w:spacing w:before="60" w:after="60"/>
              <w:jc w:val="center"/>
              <w:rPr>
                <w:rFonts w:cs="Arial"/>
                <w:sz w:val="20"/>
                <w:lang w:val="pt-PT"/>
              </w:rPr>
            </w:pPr>
          </w:p>
        </w:tc>
        <w:tc>
          <w:tcPr>
            <w:tcW w:w="1071" w:type="dxa"/>
            <w:tcBorders>
              <w:top w:val="single" w:sz="4" w:space="0" w:color="auto"/>
              <w:left w:val="single" w:sz="4" w:space="0" w:color="auto"/>
              <w:bottom w:val="single" w:sz="4" w:space="0" w:color="auto"/>
              <w:right w:val="single" w:sz="4" w:space="0" w:color="auto"/>
            </w:tcBorders>
          </w:tcPr>
          <w:p w:rsidR="00014F48" w:rsidRPr="0014459B" w:rsidRDefault="00014F48" w:rsidP="00014F48">
            <w:pPr>
              <w:spacing w:before="60" w:after="60"/>
              <w:jc w:val="center"/>
              <w:rPr>
                <w:rFonts w:cs="Arial"/>
                <w:sz w:val="20"/>
                <w:lang w:val="pt-PT"/>
              </w:rPr>
            </w:pPr>
          </w:p>
        </w:tc>
        <w:tc>
          <w:tcPr>
            <w:tcW w:w="4666" w:type="dxa"/>
            <w:tcBorders>
              <w:top w:val="single" w:sz="4" w:space="0" w:color="auto"/>
              <w:left w:val="single" w:sz="4" w:space="0" w:color="auto"/>
              <w:bottom w:val="single" w:sz="4" w:space="0" w:color="auto"/>
              <w:right w:val="single" w:sz="4" w:space="0" w:color="auto"/>
            </w:tcBorders>
          </w:tcPr>
          <w:p w:rsidR="00014F48" w:rsidRPr="00E22197" w:rsidRDefault="00014F48" w:rsidP="00014F48">
            <w:pPr>
              <w:spacing w:before="60" w:after="60"/>
              <w:rPr>
                <w:rFonts w:cs="Arial"/>
                <w:b/>
                <w:sz w:val="20"/>
                <w:lang w:val="pt-BR"/>
              </w:rPr>
            </w:pPr>
            <w:r w:rsidRPr="00E22197">
              <w:rPr>
                <w:rFonts w:cs="Arial"/>
                <w:b/>
                <w:sz w:val="20"/>
                <w:lang w:val="pt-BR"/>
              </w:rPr>
              <w:t xml:space="preserve">Avaliação </w:t>
            </w:r>
          </w:p>
        </w:tc>
        <w:tc>
          <w:tcPr>
            <w:tcW w:w="1153" w:type="dxa"/>
            <w:tcBorders>
              <w:top w:val="single" w:sz="4" w:space="0" w:color="auto"/>
              <w:left w:val="single" w:sz="4" w:space="0" w:color="auto"/>
              <w:bottom w:val="single" w:sz="4" w:space="0" w:color="auto"/>
              <w:right w:val="single" w:sz="4" w:space="0" w:color="auto"/>
            </w:tcBorders>
          </w:tcPr>
          <w:p w:rsidR="00014F48" w:rsidRDefault="00014F48" w:rsidP="00014F48">
            <w:pPr>
              <w:spacing w:before="60" w:after="60"/>
              <w:jc w:val="center"/>
              <w:rPr>
                <w:rFonts w:cs="Arial"/>
                <w:sz w:val="20"/>
                <w:lang w:val="pt-BR"/>
              </w:rPr>
            </w:pPr>
            <w:r>
              <w:rPr>
                <w:rFonts w:cs="Arial"/>
                <w:sz w:val="20"/>
                <w:lang w:val="pt-BR"/>
              </w:rPr>
              <w:t>2h</w:t>
            </w:r>
          </w:p>
        </w:tc>
        <w:tc>
          <w:tcPr>
            <w:tcW w:w="1901" w:type="dxa"/>
            <w:tcBorders>
              <w:top w:val="single" w:sz="4" w:space="0" w:color="auto"/>
              <w:left w:val="single" w:sz="4" w:space="0" w:color="auto"/>
              <w:bottom w:val="single" w:sz="4" w:space="0" w:color="auto"/>
            </w:tcBorders>
          </w:tcPr>
          <w:p w:rsidR="00014F48" w:rsidRDefault="00014F48" w:rsidP="00014F48">
            <w:pPr>
              <w:spacing w:before="60" w:after="60"/>
              <w:jc w:val="center"/>
              <w:rPr>
                <w:sz w:val="20"/>
              </w:rPr>
            </w:pPr>
          </w:p>
        </w:tc>
      </w:tr>
      <w:tr w:rsidR="00014F48" w:rsidRPr="005846D8" w:rsidTr="004D2CF5">
        <w:tc>
          <w:tcPr>
            <w:tcW w:w="1121" w:type="dxa"/>
            <w:tcBorders>
              <w:top w:val="single" w:sz="4" w:space="0" w:color="auto"/>
              <w:bottom w:val="single" w:sz="4" w:space="0" w:color="auto"/>
              <w:right w:val="single" w:sz="4" w:space="0" w:color="auto"/>
            </w:tcBorders>
            <w:shd w:val="clear" w:color="auto" w:fill="D8D8D8"/>
          </w:tcPr>
          <w:p w:rsidR="00014F48" w:rsidRPr="000F07BF" w:rsidRDefault="00014F48" w:rsidP="00014F48">
            <w:pPr>
              <w:spacing w:before="60" w:after="60"/>
              <w:jc w:val="center"/>
              <w:rPr>
                <w:rFonts w:cs="Arial"/>
                <w:sz w:val="20"/>
                <w:lang w:val="pt-PT"/>
              </w:rPr>
            </w:pPr>
          </w:p>
        </w:tc>
        <w:tc>
          <w:tcPr>
            <w:tcW w:w="1071" w:type="dxa"/>
            <w:tcBorders>
              <w:top w:val="single" w:sz="4" w:space="0" w:color="auto"/>
              <w:left w:val="single" w:sz="4" w:space="0" w:color="auto"/>
              <w:bottom w:val="single" w:sz="4" w:space="0" w:color="auto"/>
              <w:right w:val="single" w:sz="4" w:space="0" w:color="auto"/>
            </w:tcBorders>
            <w:shd w:val="clear" w:color="auto" w:fill="D8D8D8"/>
          </w:tcPr>
          <w:p w:rsidR="00014F48" w:rsidRPr="00CC580C" w:rsidRDefault="00014F48" w:rsidP="00014F48">
            <w:pPr>
              <w:spacing w:before="60" w:after="60"/>
              <w:jc w:val="center"/>
              <w:rPr>
                <w:rFonts w:cs="Arial"/>
                <w:sz w:val="20"/>
                <w:lang w:val="pt-PT"/>
              </w:rPr>
            </w:pPr>
            <w:r w:rsidRPr="0014459B">
              <w:rPr>
                <w:rFonts w:cs="Arial"/>
                <w:sz w:val="20"/>
                <w:lang w:val="pt-PT"/>
              </w:rPr>
              <w:t>7</w:t>
            </w:r>
          </w:p>
        </w:tc>
        <w:tc>
          <w:tcPr>
            <w:tcW w:w="4666" w:type="dxa"/>
            <w:tcBorders>
              <w:top w:val="single" w:sz="4" w:space="0" w:color="auto"/>
              <w:left w:val="single" w:sz="4" w:space="0" w:color="auto"/>
              <w:bottom w:val="single" w:sz="4" w:space="0" w:color="auto"/>
              <w:right w:val="single" w:sz="4" w:space="0" w:color="auto"/>
            </w:tcBorders>
            <w:shd w:val="clear" w:color="auto" w:fill="D8D8D8"/>
          </w:tcPr>
          <w:p w:rsidR="00014F48" w:rsidRPr="00CD3F1A" w:rsidRDefault="00014F48" w:rsidP="00014F48">
            <w:pPr>
              <w:spacing w:before="60" w:after="60"/>
              <w:rPr>
                <w:rFonts w:cs="Arial"/>
                <w:b/>
                <w:sz w:val="20"/>
                <w:lang w:val="pt-PT"/>
              </w:rPr>
            </w:pPr>
            <w:r w:rsidRPr="00CD3F1A">
              <w:rPr>
                <w:rFonts w:cs="Arial"/>
                <w:b/>
                <w:sz w:val="20"/>
                <w:lang w:val="pt-PT"/>
              </w:rPr>
              <w:t>Microbiologia 1:</w:t>
            </w:r>
          </w:p>
          <w:p w:rsidR="00014F48" w:rsidRPr="0014459B" w:rsidRDefault="00014F48" w:rsidP="00014F48">
            <w:pPr>
              <w:spacing w:before="60" w:after="60"/>
              <w:rPr>
                <w:rFonts w:cs="Arial"/>
                <w:sz w:val="20"/>
                <w:lang w:val="pt-PT"/>
              </w:rPr>
            </w:pPr>
            <w:r>
              <w:rPr>
                <w:rFonts w:cs="Arial"/>
                <w:sz w:val="20"/>
                <w:lang w:val="pt-PT"/>
              </w:rPr>
              <w:t>- Conceitos Básicos</w:t>
            </w:r>
          </w:p>
        </w:tc>
        <w:tc>
          <w:tcPr>
            <w:tcW w:w="1153" w:type="dxa"/>
            <w:tcBorders>
              <w:top w:val="single" w:sz="4" w:space="0" w:color="auto"/>
              <w:left w:val="single" w:sz="4" w:space="0" w:color="auto"/>
              <w:bottom w:val="single" w:sz="4" w:space="0" w:color="auto"/>
              <w:right w:val="single" w:sz="4" w:space="0" w:color="auto"/>
            </w:tcBorders>
            <w:shd w:val="clear" w:color="auto" w:fill="D8D8D8"/>
          </w:tcPr>
          <w:p w:rsidR="00014F48" w:rsidRPr="0014459B" w:rsidRDefault="00014F48" w:rsidP="00014F48">
            <w:pPr>
              <w:spacing w:before="60" w:after="60"/>
              <w:jc w:val="center"/>
              <w:rPr>
                <w:rFonts w:cs="Arial"/>
                <w:sz w:val="20"/>
                <w:lang w:val="pt-PT"/>
              </w:rPr>
            </w:pPr>
            <w:r>
              <w:rPr>
                <w:rFonts w:cs="Arial"/>
                <w:sz w:val="20"/>
                <w:lang w:val="pt-PT"/>
              </w:rPr>
              <w:t>2h</w:t>
            </w:r>
          </w:p>
        </w:tc>
        <w:tc>
          <w:tcPr>
            <w:tcW w:w="1901" w:type="dxa"/>
            <w:tcBorders>
              <w:top w:val="single" w:sz="4" w:space="0" w:color="auto"/>
              <w:left w:val="single" w:sz="4" w:space="0" w:color="auto"/>
              <w:bottom w:val="single" w:sz="4" w:space="0" w:color="auto"/>
            </w:tcBorders>
            <w:shd w:val="clear" w:color="auto" w:fill="D8D8D8"/>
          </w:tcPr>
          <w:p w:rsidR="00014F48" w:rsidRPr="0014459B" w:rsidRDefault="00014F48" w:rsidP="00014F48">
            <w:pPr>
              <w:spacing w:before="60" w:after="60"/>
              <w:jc w:val="center"/>
              <w:rPr>
                <w:sz w:val="20"/>
              </w:rPr>
            </w:pPr>
            <w:r>
              <w:rPr>
                <w:sz w:val="20"/>
              </w:rPr>
              <w:t>Teórica</w:t>
            </w:r>
          </w:p>
        </w:tc>
      </w:tr>
      <w:tr w:rsidR="00014F48" w:rsidRPr="005846D8" w:rsidTr="004D2CF5">
        <w:tc>
          <w:tcPr>
            <w:tcW w:w="1121" w:type="dxa"/>
            <w:tcBorders>
              <w:top w:val="single" w:sz="4" w:space="0" w:color="auto"/>
              <w:bottom w:val="single" w:sz="4" w:space="0" w:color="auto"/>
              <w:right w:val="single" w:sz="4" w:space="0" w:color="auto"/>
            </w:tcBorders>
          </w:tcPr>
          <w:p w:rsidR="00014F48" w:rsidRPr="000F07BF" w:rsidRDefault="00014F48" w:rsidP="00014F48">
            <w:pPr>
              <w:spacing w:before="60" w:after="60"/>
              <w:jc w:val="center"/>
              <w:rPr>
                <w:rFonts w:cs="Arial"/>
                <w:sz w:val="20"/>
                <w:lang w:val="pt-PT"/>
              </w:rPr>
            </w:pPr>
          </w:p>
        </w:tc>
        <w:tc>
          <w:tcPr>
            <w:tcW w:w="1071" w:type="dxa"/>
            <w:tcBorders>
              <w:top w:val="single" w:sz="4" w:space="0" w:color="auto"/>
              <w:left w:val="single" w:sz="4" w:space="0" w:color="auto"/>
              <w:bottom w:val="single" w:sz="4" w:space="0" w:color="auto"/>
              <w:right w:val="single" w:sz="4" w:space="0" w:color="auto"/>
            </w:tcBorders>
          </w:tcPr>
          <w:p w:rsidR="00014F48" w:rsidRPr="0014459B" w:rsidRDefault="00014F48" w:rsidP="00014F48">
            <w:pPr>
              <w:spacing w:before="60" w:after="60"/>
              <w:jc w:val="center"/>
              <w:rPr>
                <w:rFonts w:cs="Arial"/>
                <w:sz w:val="20"/>
                <w:lang w:val="pt-PT"/>
              </w:rPr>
            </w:pPr>
            <w:r w:rsidRPr="0014459B">
              <w:rPr>
                <w:rFonts w:cs="Arial"/>
                <w:sz w:val="20"/>
                <w:lang w:val="pt-PT"/>
              </w:rPr>
              <w:t>8</w:t>
            </w:r>
          </w:p>
        </w:tc>
        <w:tc>
          <w:tcPr>
            <w:tcW w:w="4666" w:type="dxa"/>
            <w:tcBorders>
              <w:top w:val="single" w:sz="4" w:space="0" w:color="auto"/>
              <w:left w:val="single" w:sz="4" w:space="0" w:color="auto"/>
              <w:bottom w:val="single" w:sz="4" w:space="0" w:color="auto"/>
              <w:right w:val="single" w:sz="4" w:space="0" w:color="auto"/>
            </w:tcBorders>
          </w:tcPr>
          <w:p w:rsidR="00014F48" w:rsidRPr="00CD3F1A" w:rsidRDefault="00014F48" w:rsidP="00014F48">
            <w:pPr>
              <w:spacing w:before="60" w:after="60"/>
              <w:rPr>
                <w:rFonts w:cs="Arial"/>
                <w:b/>
                <w:sz w:val="20"/>
                <w:lang w:val="pt-PT"/>
              </w:rPr>
            </w:pPr>
            <w:r w:rsidRPr="00CD3F1A">
              <w:rPr>
                <w:rFonts w:cs="Arial"/>
                <w:b/>
                <w:sz w:val="20"/>
                <w:lang w:val="pt-PT"/>
              </w:rPr>
              <w:t>Microbiologia 2:</w:t>
            </w:r>
          </w:p>
          <w:p w:rsidR="00014F48" w:rsidRPr="00C83CB5" w:rsidRDefault="00014F48" w:rsidP="00014F48">
            <w:pPr>
              <w:spacing w:before="60" w:after="60"/>
              <w:rPr>
                <w:sz w:val="20"/>
                <w:lang w:val="pt-BR"/>
              </w:rPr>
            </w:pPr>
            <w:r>
              <w:rPr>
                <w:rFonts w:cs="Arial"/>
                <w:sz w:val="20"/>
                <w:lang w:val="pt-PT"/>
              </w:rPr>
              <w:t>- Bactérias Patogénicas</w:t>
            </w:r>
          </w:p>
        </w:tc>
        <w:tc>
          <w:tcPr>
            <w:tcW w:w="1153" w:type="dxa"/>
            <w:tcBorders>
              <w:top w:val="single" w:sz="4" w:space="0" w:color="auto"/>
              <w:left w:val="single" w:sz="4" w:space="0" w:color="auto"/>
              <w:bottom w:val="single" w:sz="4" w:space="0" w:color="auto"/>
              <w:right w:val="single" w:sz="4" w:space="0" w:color="auto"/>
            </w:tcBorders>
          </w:tcPr>
          <w:p w:rsidR="00014F48" w:rsidRPr="0014459B" w:rsidRDefault="00014F48" w:rsidP="00014F48">
            <w:pPr>
              <w:spacing w:before="60" w:after="60"/>
              <w:jc w:val="center"/>
              <w:rPr>
                <w:rFonts w:cs="Arial"/>
                <w:sz w:val="20"/>
                <w:lang w:val="pt-PT"/>
              </w:rPr>
            </w:pPr>
            <w:r>
              <w:rPr>
                <w:rFonts w:cs="Arial"/>
                <w:sz w:val="20"/>
                <w:lang w:val="pt-PT"/>
              </w:rPr>
              <w:t xml:space="preserve">2h </w:t>
            </w:r>
          </w:p>
        </w:tc>
        <w:tc>
          <w:tcPr>
            <w:tcW w:w="1901" w:type="dxa"/>
            <w:tcBorders>
              <w:top w:val="single" w:sz="4" w:space="0" w:color="auto"/>
              <w:left w:val="single" w:sz="4" w:space="0" w:color="auto"/>
              <w:bottom w:val="single" w:sz="4" w:space="0" w:color="auto"/>
            </w:tcBorders>
          </w:tcPr>
          <w:p w:rsidR="00014F48" w:rsidRPr="0014459B" w:rsidRDefault="00014F48" w:rsidP="00014F48">
            <w:pPr>
              <w:spacing w:before="60" w:after="60"/>
              <w:jc w:val="center"/>
              <w:rPr>
                <w:sz w:val="20"/>
              </w:rPr>
            </w:pPr>
            <w:r>
              <w:rPr>
                <w:rFonts w:cs="Arial"/>
                <w:sz w:val="20"/>
                <w:lang w:val="pt-PT"/>
              </w:rPr>
              <w:t>Teórica</w:t>
            </w:r>
          </w:p>
        </w:tc>
      </w:tr>
      <w:tr w:rsidR="00014F48" w:rsidRPr="005846D8" w:rsidTr="004D2CF5">
        <w:tc>
          <w:tcPr>
            <w:tcW w:w="1121" w:type="dxa"/>
            <w:tcBorders>
              <w:top w:val="single" w:sz="4" w:space="0" w:color="auto"/>
              <w:bottom w:val="single" w:sz="4" w:space="0" w:color="auto"/>
              <w:right w:val="single" w:sz="4" w:space="0" w:color="auto"/>
            </w:tcBorders>
            <w:shd w:val="clear" w:color="auto" w:fill="D8D8D8"/>
          </w:tcPr>
          <w:p w:rsidR="00014F48" w:rsidRPr="00C37173" w:rsidRDefault="00014F48" w:rsidP="00014F48">
            <w:pPr>
              <w:spacing w:before="60" w:after="60"/>
              <w:jc w:val="center"/>
              <w:rPr>
                <w:rFonts w:cs="Arial"/>
                <w:sz w:val="20"/>
                <w:lang w:val="pt-PT"/>
              </w:rPr>
            </w:pPr>
          </w:p>
        </w:tc>
        <w:tc>
          <w:tcPr>
            <w:tcW w:w="1071" w:type="dxa"/>
            <w:tcBorders>
              <w:top w:val="single" w:sz="4" w:space="0" w:color="auto"/>
              <w:left w:val="single" w:sz="4" w:space="0" w:color="auto"/>
              <w:bottom w:val="single" w:sz="4" w:space="0" w:color="auto"/>
              <w:right w:val="single" w:sz="4" w:space="0" w:color="auto"/>
            </w:tcBorders>
            <w:shd w:val="clear" w:color="auto" w:fill="D8D8D8"/>
          </w:tcPr>
          <w:p w:rsidR="00014F48" w:rsidRPr="0014459B" w:rsidRDefault="00014F48" w:rsidP="00014F48">
            <w:pPr>
              <w:spacing w:before="60" w:after="60"/>
              <w:jc w:val="center"/>
              <w:rPr>
                <w:rFonts w:cs="Arial"/>
                <w:sz w:val="20"/>
                <w:lang w:val="pt-PT"/>
              </w:rPr>
            </w:pPr>
            <w:r w:rsidRPr="0014459B">
              <w:rPr>
                <w:rFonts w:cs="Arial"/>
                <w:sz w:val="20"/>
                <w:lang w:val="pt-PT"/>
              </w:rPr>
              <w:t>9</w:t>
            </w:r>
          </w:p>
        </w:tc>
        <w:tc>
          <w:tcPr>
            <w:tcW w:w="4666" w:type="dxa"/>
            <w:tcBorders>
              <w:top w:val="single" w:sz="4" w:space="0" w:color="auto"/>
              <w:left w:val="single" w:sz="4" w:space="0" w:color="auto"/>
              <w:bottom w:val="single" w:sz="4" w:space="0" w:color="auto"/>
              <w:right w:val="single" w:sz="4" w:space="0" w:color="auto"/>
            </w:tcBorders>
            <w:shd w:val="clear" w:color="auto" w:fill="D8D8D8"/>
          </w:tcPr>
          <w:p w:rsidR="00014F48" w:rsidRPr="00CD3F1A" w:rsidRDefault="00014F48" w:rsidP="00014F48">
            <w:pPr>
              <w:spacing w:before="60" w:after="60"/>
              <w:rPr>
                <w:rFonts w:cs="Arial"/>
                <w:b/>
                <w:sz w:val="20"/>
                <w:lang w:val="pt-PT"/>
              </w:rPr>
            </w:pPr>
            <w:r w:rsidRPr="00CD3F1A">
              <w:rPr>
                <w:rFonts w:cs="Arial"/>
                <w:b/>
                <w:sz w:val="20"/>
                <w:lang w:val="pt-PT"/>
              </w:rPr>
              <w:t>Microbiologia 3:</w:t>
            </w:r>
          </w:p>
          <w:p w:rsidR="00014F48" w:rsidRPr="00C83CB5" w:rsidRDefault="00014F48" w:rsidP="00014F48">
            <w:pPr>
              <w:spacing w:before="60" w:after="60"/>
              <w:rPr>
                <w:rFonts w:cs="Arial"/>
                <w:sz w:val="20"/>
                <w:lang w:val="pt-BR"/>
              </w:rPr>
            </w:pPr>
            <w:r>
              <w:rPr>
                <w:rFonts w:cs="Arial"/>
                <w:sz w:val="20"/>
                <w:lang w:val="pt-PT"/>
              </w:rPr>
              <w:t>- Bactérias Patogénicas</w:t>
            </w:r>
          </w:p>
        </w:tc>
        <w:tc>
          <w:tcPr>
            <w:tcW w:w="1153" w:type="dxa"/>
            <w:tcBorders>
              <w:top w:val="single" w:sz="4" w:space="0" w:color="auto"/>
              <w:left w:val="single" w:sz="4" w:space="0" w:color="auto"/>
              <w:bottom w:val="single" w:sz="4" w:space="0" w:color="auto"/>
              <w:right w:val="single" w:sz="4" w:space="0" w:color="auto"/>
            </w:tcBorders>
            <w:shd w:val="clear" w:color="auto" w:fill="D8D8D8"/>
          </w:tcPr>
          <w:p w:rsidR="00014F48" w:rsidRPr="0014459B" w:rsidRDefault="00014F48" w:rsidP="00014F48">
            <w:pPr>
              <w:spacing w:before="60" w:after="60"/>
              <w:jc w:val="center"/>
              <w:rPr>
                <w:rFonts w:cs="Arial"/>
                <w:sz w:val="20"/>
                <w:lang w:val="pt-PT"/>
              </w:rPr>
            </w:pPr>
            <w:r>
              <w:rPr>
                <w:rFonts w:cs="Arial"/>
                <w:sz w:val="20"/>
                <w:lang w:val="pt-PT"/>
              </w:rPr>
              <w:t>2h</w:t>
            </w:r>
          </w:p>
        </w:tc>
        <w:tc>
          <w:tcPr>
            <w:tcW w:w="1901" w:type="dxa"/>
            <w:tcBorders>
              <w:top w:val="single" w:sz="4" w:space="0" w:color="auto"/>
              <w:left w:val="single" w:sz="4" w:space="0" w:color="auto"/>
              <w:bottom w:val="single" w:sz="4" w:space="0" w:color="auto"/>
            </w:tcBorders>
            <w:shd w:val="clear" w:color="auto" w:fill="D8D8D8"/>
          </w:tcPr>
          <w:p w:rsidR="00014F48" w:rsidRPr="0014459B" w:rsidRDefault="00014F48" w:rsidP="00014F48">
            <w:pPr>
              <w:spacing w:before="60" w:after="60"/>
              <w:jc w:val="center"/>
              <w:rPr>
                <w:rFonts w:cs="Arial"/>
                <w:sz w:val="20"/>
                <w:lang w:val="pt-PT"/>
              </w:rPr>
            </w:pPr>
            <w:r>
              <w:rPr>
                <w:sz w:val="20"/>
              </w:rPr>
              <w:t>Teórica</w:t>
            </w:r>
          </w:p>
        </w:tc>
      </w:tr>
      <w:tr w:rsidR="00014F48" w:rsidRPr="005846D8" w:rsidTr="004D2CF5">
        <w:tc>
          <w:tcPr>
            <w:tcW w:w="1121" w:type="dxa"/>
            <w:tcBorders>
              <w:top w:val="single" w:sz="4" w:space="0" w:color="auto"/>
              <w:bottom w:val="single" w:sz="4" w:space="0" w:color="auto"/>
              <w:right w:val="single" w:sz="4" w:space="0" w:color="auto"/>
            </w:tcBorders>
          </w:tcPr>
          <w:p w:rsidR="00014F48" w:rsidRPr="000F07BF" w:rsidRDefault="00014F48" w:rsidP="00014F48">
            <w:pPr>
              <w:spacing w:before="60" w:after="60"/>
              <w:jc w:val="center"/>
              <w:rPr>
                <w:rFonts w:cs="Arial"/>
                <w:sz w:val="20"/>
                <w:lang w:val="pt-PT"/>
              </w:rPr>
            </w:pPr>
          </w:p>
        </w:tc>
        <w:tc>
          <w:tcPr>
            <w:tcW w:w="1071" w:type="dxa"/>
            <w:tcBorders>
              <w:top w:val="single" w:sz="4" w:space="0" w:color="auto"/>
              <w:left w:val="single" w:sz="4" w:space="0" w:color="auto"/>
              <w:bottom w:val="single" w:sz="4" w:space="0" w:color="auto"/>
              <w:right w:val="single" w:sz="4" w:space="0" w:color="auto"/>
            </w:tcBorders>
          </w:tcPr>
          <w:p w:rsidR="00014F48" w:rsidRPr="0014459B" w:rsidRDefault="00014F48" w:rsidP="00014F48">
            <w:pPr>
              <w:spacing w:before="60" w:after="60"/>
              <w:jc w:val="center"/>
              <w:rPr>
                <w:rFonts w:cs="Arial"/>
                <w:sz w:val="20"/>
                <w:lang w:val="pt-PT"/>
              </w:rPr>
            </w:pPr>
            <w:r w:rsidRPr="0014459B">
              <w:rPr>
                <w:rFonts w:cs="Arial"/>
                <w:sz w:val="20"/>
                <w:lang w:val="pt-PT"/>
              </w:rPr>
              <w:t>10</w:t>
            </w:r>
          </w:p>
        </w:tc>
        <w:tc>
          <w:tcPr>
            <w:tcW w:w="4666" w:type="dxa"/>
            <w:tcBorders>
              <w:top w:val="single" w:sz="4" w:space="0" w:color="auto"/>
              <w:left w:val="single" w:sz="4" w:space="0" w:color="auto"/>
              <w:bottom w:val="single" w:sz="4" w:space="0" w:color="auto"/>
              <w:right w:val="single" w:sz="4" w:space="0" w:color="auto"/>
            </w:tcBorders>
          </w:tcPr>
          <w:p w:rsidR="00014F48" w:rsidRPr="00CD3F1A" w:rsidRDefault="00014F48" w:rsidP="00014F48">
            <w:pPr>
              <w:spacing w:before="60" w:after="60"/>
              <w:rPr>
                <w:rFonts w:cs="Arial"/>
                <w:b/>
                <w:sz w:val="20"/>
                <w:lang w:val="pt-PT"/>
              </w:rPr>
            </w:pPr>
            <w:r w:rsidRPr="00CD3F1A">
              <w:rPr>
                <w:rFonts w:cs="Arial"/>
                <w:b/>
                <w:sz w:val="20"/>
                <w:lang w:val="pt-PT"/>
              </w:rPr>
              <w:t>Microbiologia 4:</w:t>
            </w:r>
          </w:p>
          <w:p w:rsidR="00014F48" w:rsidRPr="0014459B" w:rsidRDefault="00014F48" w:rsidP="00014F48">
            <w:pPr>
              <w:spacing w:before="60" w:after="60"/>
              <w:rPr>
                <w:rFonts w:cs="Arial"/>
                <w:sz w:val="20"/>
                <w:lang w:val="pt-BR"/>
              </w:rPr>
            </w:pPr>
            <w:r>
              <w:rPr>
                <w:rFonts w:cs="Arial"/>
                <w:sz w:val="20"/>
                <w:lang w:val="pt-PT"/>
              </w:rPr>
              <w:t>- Vírus Patogénicos</w:t>
            </w:r>
          </w:p>
        </w:tc>
        <w:tc>
          <w:tcPr>
            <w:tcW w:w="1153" w:type="dxa"/>
            <w:tcBorders>
              <w:top w:val="single" w:sz="4" w:space="0" w:color="auto"/>
              <w:left w:val="single" w:sz="4" w:space="0" w:color="auto"/>
              <w:bottom w:val="single" w:sz="4" w:space="0" w:color="auto"/>
              <w:right w:val="single" w:sz="4" w:space="0" w:color="auto"/>
            </w:tcBorders>
          </w:tcPr>
          <w:p w:rsidR="00014F48" w:rsidRPr="0014459B" w:rsidRDefault="00014F48" w:rsidP="00014F48">
            <w:pPr>
              <w:spacing w:before="60" w:after="60"/>
              <w:jc w:val="center"/>
              <w:rPr>
                <w:rFonts w:cs="Arial"/>
                <w:sz w:val="20"/>
                <w:lang w:val="pt-PT"/>
              </w:rPr>
            </w:pPr>
            <w:r>
              <w:rPr>
                <w:rFonts w:cs="Arial"/>
                <w:sz w:val="20"/>
                <w:lang w:val="pt-PT"/>
              </w:rPr>
              <w:t>2h</w:t>
            </w:r>
          </w:p>
        </w:tc>
        <w:tc>
          <w:tcPr>
            <w:tcW w:w="1901" w:type="dxa"/>
            <w:tcBorders>
              <w:top w:val="single" w:sz="4" w:space="0" w:color="auto"/>
              <w:left w:val="single" w:sz="4" w:space="0" w:color="auto"/>
              <w:bottom w:val="single" w:sz="4" w:space="0" w:color="auto"/>
            </w:tcBorders>
          </w:tcPr>
          <w:p w:rsidR="00014F48" w:rsidRPr="0014459B" w:rsidRDefault="00014F48" w:rsidP="00014F48">
            <w:pPr>
              <w:spacing w:before="60" w:after="60"/>
              <w:jc w:val="center"/>
              <w:rPr>
                <w:sz w:val="20"/>
              </w:rPr>
            </w:pPr>
            <w:r>
              <w:rPr>
                <w:sz w:val="20"/>
                <w:lang w:val="pt-BR"/>
              </w:rPr>
              <w:t>Teórica</w:t>
            </w:r>
          </w:p>
        </w:tc>
      </w:tr>
      <w:tr w:rsidR="00014F48" w:rsidRPr="00C83CB5" w:rsidTr="004D2CF5">
        <w:tc>
          <w:tcPr>
            <w:tcW w:w="1121" w:type="dxa"/>
            <w:tcBorders>
              <w:top w:val="single" w:sz="4" w:space="0" w:color="auto"/>
              <w:bottom w:val="single" w:sz="4" w:space="0" w:color="auto"/>
              <w:right w:val="single" w:sz="4" w:space="0" w:color="auto"/>
            </w:tcBorders>
            <w:shd w:val="clear" w:color="auto" w:fill="D8D8D8"/>
          </w:tcPr>
          <w:p w:rsidR="00014F48" w:rsidRPr="000F07BF" w:rsidRDefault="00014F48" w:rsidP="00014F48">
            <w:pPr>
              <w:spacing w:before="60" w:after="60"/>
              <w:jc w:val="center"/>
              <w:rPr>
                <w:rFonts w:cs="Arial"/>
                <w:sz w:val="20"/>
                <w:lang w:val="pt-PT"/>
              </w:rPr>
            </w:pPr>
          </w:p>
        </w:tc>
        <w:tc>
          <w:tcPr>
            <w:tcW w:w="1071" w:type="dxa"/>
            <w:tcBorders>
              <w:top w:val="single" w:sz="4" w:space="0" w:color="auto"/>
              <w:left w:val="single" w:sz="4" w:space="0" w:color="auto"/>
              <w:bottom w:val="single" w:sz="4" w:space="0" w:color="auto"/>
              <w:right w:val="single" w:sz="4" w:space="0" w:color="auto"/>
            </w:tcBorders>
            <w:shd w:val="clear" w:color="auto" w:fill="D8D8D8"/>
          </w:tcPr>
          <w:p w:rsidR="00014F48" w:rsidRPr="0014459B" w:rsidRDefault="00014F48" w:rsidP="00014F48">
            <w:pPr>
              <w:spacing w:before="60" w:after="60"/>
              <w:jc w:val="center"/>
              <w:rPr>
                <w:rFonts w:cs="Arial"/>
                <w:sz w:val="20"/>
                <w:lang w:val="pt-PT"/>
              </w:rPr>
            </w:pPr>
            <w:r w:rsidRPr="0014459B">
              <w:rPr>
                <w:rFonts w:cs="Arial"/>
                <w:sz w:val="20"/>
                <w:lang w:val="pt-PT"/>
              </w:rPr>
              <w:t>11</w:t>
            </w:r>
          </w:p>
        </w:tc>
        <w:tc>
          <w:tcPr>
            <w:tcW w:w="4666" w:type="dxa"/>
            <w:tcBorders>
              <w:top w:val="single" w:sz="4" w:space="0" w:color="auto"/>
              <w:left w:val="single" w:sz="4" w:space="0" w:color="auto"/>
              <w:bottom w:val="single" w:sz="4" w:space="0" w:color="auto"/>
              <w:right w:val="single" w:sz="4" w:space="0" w:color="auto"/>
            </w:tcBorders>
            <w:shd w:val="clear" w:color="auto" w:fill="D8D8D8"/>
          </w:tcPr>
          <w:p w:rsidR="00014F48" w:rsidRPr="00CD3F1A" w:rsidRDefault="00014F48" w:rsidP="00014F48">
            <w:pPr>
              <w:spacing w:before="60" w:after="60"/>
              <w:rPr>
                <w:rFonts w:cs="Arial"/>
                <w:b/>
                <w:sz w:val="20"/>
                <w:lang w:val="pt-PT"/>
              </w:rPr>
            </w:pPr>
            <w:r w:rsidRPr="00CD3F1A">
              <w:rPr>
                <w:rFonts w:cs="Arial"/>
                <w:b/>
                <w:sz w:val="20"/>
                <w:lang w:val="pt-PT"/>
              </w:rPr>
              <w:t>Microbiologia 5:</w:t>
            </w:r>
          </w:p>
          <w:p w:rsidR="00014F48" w:rsidRPr="0014459B" w:rsidRDefault="00014F48" w:rsidP="00014F48">
            <w:pPr>
              <w:spacing w:before="60" w:after="60"/>
              <w:rPr>
                <w:rFonts w:cs="Arial"/>
                <w:sz w:val="20"/>
                <w:lang w:val="pt-PT"/>
              </w:rPr>
            </w:pPr>
            <w:r>
              <w:rPr>
                <w:rFonts w:cs="Arial"/>
                <w:sz w:val="20"/>
                <w:lang w:val="pt-PT"/>
              </w:rPr>
              <w:t>- Fungos</w:t>
            </w:r>
          </w:p>
        </w:tc>
        <w:tc>
          <w:tcPr>
            <w:tcW w:w="1153" w:type="dxa"/>
            <w:tcBorders>
              <w:top w:val="single" w:sz="4" w:space="0" w:color="auto"/>
              <w:left w:val="single" w:sz="4" w:space="0" w:color="auto"/>
              <w:bottom w:val="single" w:sz="4" w:space="0" w:color="auto"/>
              <w:right w:val="single" w:sz="4" w:space="0" w:color="auto"/>
            </w:tcBorders>
            <w:shd w:val="clear" w:color="auto" w:fill="D8D8D8"/>
          </w:tcPr>
          <w:p w:rsidR="00014F48" w:rsidRPr="0014459B" w:rsidRDefault="00014F48" w:rsidP="00014F48">
            <w:pPr>
              <w:spacing w:before="60" w:after="60"/>
              <w:jc w:val="center"/>
              <w:rPr>
                <w:rFonts w:cs="Arial"/>
                <w:sz w:val="20"/>
                <w:lang w:val="pt-PT"/>
              </w:rPr>
            </w:pPr>
            <w:r>
              <w:rPr>
                <w:rFonts w:cs="Arial"/>
                <w:sz w:val="20"/>
                <w:lang w:val="pt-PT"/>
              </w:rPr>
              <w:t>2h</w:t>
            </w:r>
          </w:p>
        </w:tc>
        <w:tc>
          <w:tcPr>
            <w:tcW w:w="1901" w:type="dxa"/>
            <w:tcBorders>
              <w:top w:val="single" w:sz="4" w:space="0" w:color="auto"/>
              <w:left w:val="single" w:sz="4" w:space="0" w:color="auto"/>
              <w:bottom w:val="single" w:sz="4" w:space="0" w:color="auto"/>
            </w:tcBorders>
            <w:shd w:val="clear" w:color="auto" w:fill="D8D8D8"/>
          </w:tcPr>
          <w:p w:rsidR="00014F48" w:rsidRPr="00C83CB5" w:rsidRDefault="00014F48" w:rsidP="00014F48">
            <w:pPr>
              <w:spacing w:before="60" w:after="60"/>
              <w:jc w:val="center"/>
              <w:rPr>
                <w:sz w:val="20"/>
                <w:lang w:val="pt-BR"/>
              </w:rPr>
            </w:pPr>
            <w:r>
              <w:rPr>
                <w:sz w:val="20"/>
                <w:lang w:val="pt-BR"/>
              </w:rPr>
              <w:t>Teórica</w:t>
            </w:r>
          </w:p>
        </w:tc>
      </w:tr>
      <w:tr w:rsidR="00014F48" w:rsidRPr="005846D8" w:rsidTr="004D2CF5">
        <w:tc>
          <w:tcPr>
            <w:tcW w:w="1121" w:type="dxa"/>
            <w:tcBorders>
              <w:top w:val="single" w:sz="4" w:space="0" w:color="auto"/>
              <w:bottom w:val="single" w:sz="4" w:space="0" w:color="auto"/>
              <w:right w:val="single" w:sz="4" w:space="0" w:color="auto"/>
            </w:tcBorders>
          </w:tcPr>
          <w:p w:rsidR="00014F48" w:rsidRPr="000F07BF" w:rsidRDefault="00014F48" w:rsidP="00014F48">
            <w:pPr>
              <w:spacing w:before="60" w:after="60"/>
              <w:jc w:val="center"/>
              <w:rPr>
                <w:rFonts w:cs="Arial"/>
                <w:sz w:val="20"/>
                <w:lang w:val="pt-PT"/>
              </w:rPr>
            </w:pPr>
          </w:p>
        </w:tc>
        <w:tc>
          <w:tcPr>
            <w:tcW w:w="1071" w:type="dxa"/>
            <w:tcBorders>
              <w:top w:val="single" w:sz="4" w:space="0" w:color="auto"/>
              <w:left w:val="single" w:sz="4" w:space="0" w:color="auto"/>
              <w:bottom w:val="single" w:sz="4" w:space="0" w:color="auto"/>
              <w:right w:val="single" w:sz="4" w:space="0" w:color="auto"/>
            </w:tcBorders>
          </w:tcPr>
          <w:p w:rsidR="00014F48" w:rsidRPr="0014459B" w:rsidRDefault="00014F48" w:rsidP="00014F48">
            <w:pPr>
              <w:spacing w:before="60" w:after="60"/>
              <w:jc w:val="center"/>
              <w:rPr>
                <w:rFonts w:cs="Arial"/>
                <w:sz w:val="20"/>
                <w:lang w:val="pt-PT"/>
              </w:rPr>
            </w:pPr>
            <w:r w:rsidRPr="0014459B">
              <w:rPr>
                <w:rFonts w:cs="Arial"/>
                <w:sz w:val="20"/>
                <w:lang w:val="pt-PT"/>
              </w:rPr>
              <w:t>12</w:t>
            </w:r>
          </w:p>
        </w:tc>
        <w:tc>
          <w:tcPr>
            <w:tcW w:w="4666" w:type="dxa"/>
            <w:tcBorders>
              <w:top w:val="single" w:sz="4" w:space="0" w:color="auto"/>
              <w:left w:val="single" w:sz="4" w:space="0" w:color="auto"/>
              <w:bottom w:val="single" w:sz="4" w:space="0" w:color="auto"/>
              <w:right w:val="single" w:sz="4" w:space="0" w:color="auto"/>
            </w:tcBorders>
          </w:tcPr>
          <w:p w:rsidR="00014F48" w:rsidRPr="00CD3F1A" w:rsidRDefault="00014F48" w:rsidP="00014F48">
            <w:pPr>
              <w:spacing w:before="60" w:after="60"/>
              <w:rPr>
                <w:rFonts w:cs="Arial"/>
                <w:b/>
                <w:sz w:val="20"/>
                <w:lang w:val="pt-BR"/>
              </w:rPr>
            </w:pPr>
            <w:r w:rsidRPr="00CD3F1A">
              <w:rPr>
                <w:rFonts w:cs="Arial"/>
                <w:b/>
                <w:sz w:val="20"/>
                <w:lang w:val="pt-BR"/>
              </w:rPr>
              <w:t>Parasitologia:</w:t>
            </w:r>
          </w:p>
          <w:p w:rsidR="00014F48" w:rsidRDefault="00014F48" w:rsidP="00014F48">
            <w:pPr>
              <w:spacing w:before="60" w:after="60"/>
              <w:rPr>
                <w:rFonts w:cs="Arial"/>
                <w:sz w:val="20"/>
                <w:lang w:val="pt-BR"/>
              </w:rPr>
            </w:pPr>
            <w:r>
              <w:rPr>
                <w:rFonts w:cs="Arial"/>
                <w:sz w:val="20"/>
                <w:lang w:val="pt-BR"/>
              </w:rPr>
              <w:t>- Conceitos Básicos de Parasitologia</w:t>
            </w:r>
          </w:p>
          <w:p w:rsidR="00014F48" w:rsidRPr="00A42643" w:rsidRDefault="00014F48" w:rsidP="00014F48">
            <w:pPr>
              <w:spacing w:before="60" w:after="60"/>
              <w:rPr>
                <w:rFonts w:cs="Arial"/>
                <w:sz w:val="20"/>
                <w:lang w:val="pt-BR"/>
              </w:rPr>
            </w:pPr>
            <w:r>
              <w:rPr>
                <w:rFonts w:cs="Arial"/>
                <w:sz w:val="20"/>
                <w:lang w:val="pt-BR"/>
              </w:rPr>
              <w:t>- Protozoários</w:t>
            </w:r>
          </w:p>
        </w:tc>
        <w:tc>
          <w:tcPr>
            <w:tcW w:w="1153" w:type="dxa"/>
            <w:tcBorders>
              <w:top w:val="single" w:sz="4" w:space="0" w:color="auto"/>
              <w:left w:val="single" w:sz="4" w:space="0" w:color="auto"/>
              <w:bottom w:val="single" w:sz="4" w:space="0" w:color="auto"/>
              <w:right w:val="single" w:sz="4" w:space="0" w:color="auto"/>
            </w:tcBorders>
          </w:tcPr>
          <w:p w:rsidR="00014F48" w:rsidRPr="0014459B" w:rsidRDefault="00014F48" w:rsidP="00014F48">
            <w:pPr>
              <w:spacing w:before="60" w:after="60"/>
              <w:jc w:val="center"/>
              <w:rPr>
                <w:rFonts w:cs="Arial"/>
                <w:sz w:val="20"/>
                <w:lang w:val="pt-PT"/>
              </w:rPr>
            </w:pPr>
            <w:r>
              <w:rPr>
                <w:rFonts w:cs="Arial"/>
                <w:sz w:val="20"/>
                <w:lang w:val="pt-PT"/>
              </w:rPr>
              <w:t>2h</w:t>
            </w:r>
          </w:p>
        </w:tc>
        <w:tc>
          <w:tcPr>
            <w:tcW w:w="1901" w:type="dxa"/>
            <w:tcBorders>
              <w:top w:val="single" w:sz="4" w:space="0" w:color="auto"/>
              <w:left w:val="single" w:sz="4" w:space="0" w:color="auto"/>
              <w:bottom w:val="single" w:sz="4" w:space="0" w:color="auto"/>
            </w:tcBorders>
          </w:tcPr>
          <w:p w:rsidR="00014F48" w:rsidRPr="0014459B" w:rsidRDefault="00014F48" w:rsidP="00014F48">
            <w:pPr>
              <w:spacing w:before="60" w:after="60"/>
              <w:jc w:val="center"/>
              <w:rPr>
                <w:sz w:val="20"/>
              </w:rPr>
            </w:pPr>
            <w:r>
              <w:rPr>
                <w:sz w:val="20"/>
                <w:lang w:val="pt-BR"/>
              </w:rPr>
              <w:t>Teórica</w:t>
            </w:r>
          </w:p>
        </w:tc>
      </w:tr>
      <w:tr w:rsidR="00014F48" w:rsidRPr="005846D8" w:rsidTr="004D2CF5">
        <w:tc>
          <w:tcPr>
            <w:tcW w:w="1121" w:type="dxa"/>
            <w:tcBorders>
              <w:top w:val="single" w:sz="4" w:space="0" w:color="auto"/>
              <w:bottom w:val="single" w:sz="4" w:space="0" w:color="auto"/>
              <w:right w:val="single" w:sz="4" w:space="0" w:color="auto"/>
            </w:tcBorders>
            <w:shd w:val="clear" w:color="auto" w:fill="D8D8D8"/>
          </w:tcPr>
          <w:p w:rsidR="00014F48" w:rsidRPr="000F07BF" w:rsidRDefault="00014F48" w:rsidP="00014F48">
            <w:pPr>
              <w:spacing w:before="60" w:after="60"/>
              <w:jc w:val="center"/>
              <w:rPr>
                <w:rFonts w:cs="Arial"/>
                <w:sz w:val="20"/>
                <w:lang w:val="pt-PT"/>
              </w:rPr>
            </w:pPr>
          </w:p>
        </w:tc>
        <w:tc>
          <w:tcPr>
            <w:tcW w:w="1071" w:type="dxa"/>
            <w:tcBorders>
              <w:top w:val="single" w:sz="4" w:space="0" w:color="auto"/>
              <w:left w:val="single" w:sz="4" w:space="0" w:color="auto"/>
              <w:bottom w:val="single" w:sz="4" w:space="0" w:color="auto"/>
              <w:right w:val="single" w:sz="4" w:space="0" w:color="auto"/>
            </w:tcBorders>
            <w:shd w:val="clear" w:color="auto" w:fill="D8D8D8"/>
          </w:tcPr>
          <w:p w:rsidR="00014F48" w:rsidRPr="0014459B" w:rsidRDefault="00014F48" w:rsidP="00014F48">
            <w:pPr>
              <w:spacing w:before="60" w:after="60"/>
              <w:jc w:val="center"/>
              <w:rPr>
                <w:rFonts w:cs="Arial"/>
                <w:sz w:val="20"/>
                <w:lang w:val="pt-PT"/>
              </w:rPr>
            </w:pPr>
            <w:r w:rsidRPr="0014459B">
              <w:rPr>
                <w:rFonts w:cs="Arial"/>
                <w:sz w:val="20"/>
                <w:lang w:val="pt-PT"/>
              </w:rPr>
              <w:t>13</w:t>
            </w:r>
          </w:p>
        </w:tc>
        <w:tc>
          <w:tcPr>
            <w:tcW w:w="4666" w:type="dxa"/>
            <w:tcBorders>
              <w:top w:val="single" w:sz="4" w:space="0" w:color="auto"/>
              <w:left w:val="single" w:sz="4" w:space="0" w:color="auto"/>
              <w:bottom w:val="single" w:sz="4" w:space="0" w:color="auto"/>
              <w:right w:val="single" w:sz="4" w:space="0" w:color="auto"/>
            </w:tcBorders>
            <w:shd w:val="clear" w:color="auto" w:fill="D8D8D8"/>
          </w:tcPr>
          <w:p w:rsidR="00014F48" w:rsidRPr="00CD3F1A" w:rsidRDefault="00014F48" w:rsidP="00014F48">
            <w:pPr>
              <w:spacing w:before="60" w:after="60"/>
              <w:rPr>
                <w:rFonts w:cs="Arial"/>
                <w:b/>
                <w:sz w:val="20"/>
                <w:lang w:val="pt-PT"/>
              </w:rPr>
            </w:pPr>
            <w:r w:rsidRPr="00CD3F1A">
              <w:rPr>
                <w:rFonts w:cs="Arial"/>
                <w:b/>
                <w:sz w:val="20"/>
                <w:lang w:val="pt-PT"/>
              </w:rPr>
              <w:t>Parasitologia:</w:t>
            </w:r>
          </w:p>
          <w:p w:rsidR="00014F48" w:rsidRPr="0014459B" w:rsidRDefault="00014F48" w:rsidP="00014F48">
            <w:pPr>
              <w:spacing w:before="60" w:after="60"/>
              <w:rPr>
                <w:rFonts w:cs="Arial"/>
                <w:sz w:val="20"/>
                <w:lang w:val="pt-PT"/>
              </w:rPr>
            </w:pPr>
            <w:r>
              <w:rPr>
                <w:rFonts w:cs="Arial"/>
                <w:sz w:val="20"/>
                <w:lang w:val="pt-PT"/>
              </w:rPr>
              <w:t xml:space="preserve">- Helmintos </w:t>
            </w:r>
          </w:p>
        </w:tc>
        <w:tc>
          <w:tcPr>
            <w:tcW w:w="1153" w:type="dxa"/>
            <w:tcBorders>
              <w:top w:val="single" w:sz="4" w:space="0" w:color="auto"/>
              <w:left w:val="single" w:sz="4" w:space="0" w:color="auto"/>
              <w:bottom w:val="single" w:sz="4" w:space="0" w:color="auto"/>
              <w:right w:val="single" w:sz="4" w:space="0" w:color="auto"/>
            </w:tcBorders>
            <w:shd w:val="clear" w:color="auto" w:fill="D8D8D8"/>
          </w:tcPr>
          <w:p w:rsidR="00014F48" w:rsidRPr="0014459B" w:rsidRDefault="00014F48" w:rsidP="00014F48">
            <w:pPr>
              <w:spacing w:before="60" w:after="60"/>
              <w:jc w:val="center"/>
              <w:rPr>
                <w:rFonts w:cs="Arial"/>
                <w:sz w:val="20"/>
                <w:lang w:val="pt-PT"/>
              </w:rPr>
            </w:pPr>
            <w:r>
              <w:rPr>
                <w:rFonts w:cs="Arial"/>
                <w:sz w:val="20"/>
                <w:lang w:val="pt-PT"/>
              </w:rPr>
              <w:t>2h</w:t>
            </w:r>
          </w:p>
        </w:tc>
        <w:tc>
          <w:tcPr>
            <w:tcW w:w="1901" w:type="dxa"/>
            <w:tcBorders>
              <w:top w:val="single" w:sz="4" w:space="0" w:color="auto"/>
              <w:left w:val="single" w:sz="4" w:space="0" w:color="auto"/>
              <w:bottom w:val="single" w:sz="4" w:space="0" w:color="auto"/>
            </w:tcBorders>
            <w:shd w:val="clear" w:color="auto" w:fill="D8D8D8"/>
          </w:tcPr>
          <w:p w:rsidR="00014F48" w:rsidRPr="0014459B" w:rsidRDefault="00014F48" w:rsidP="00014F48">
            <w:pPr>
              <w:spacing w:before="60" w:after="60"/>
              <w:jc w:val="center"/>
              <w:rPr>
                <w:sz w:val="20"/>
              </w:rPr>
            </w:pPr>
            <w:r>
              <w:rPr>
                <w:sz w:val="20"/>
                <w:lang w:val="pt-BR"/>
              </w:rPr>
              <w:t>Teórica</w:t>
            </w:r>
          </w:p>
        </w:tc>
      </w:tr>
      <w:tr w:rsidR="00014F48" w:rsidRPr="00C83CB5" w:rsidTr="004D2CF5">
        <w:tc>
          <w:tcPr>
            <w:tcW w:w="1121" w:type="dxa"/>
            <w:tcBorders>
              <w:top w:val="single" w:sz="4" w:space="0" w:color="auto"/>
              <w:bottom w:val="single" w:sz="4" w:space="0" w:color="auto"/>
              <w:right w:val="single" w:sz="4" w:space="0" w:color="auto"/>
            </w:tcBorders>
          </w:tcPr>
          <w:p w:rsidR="00014F48" w:rsidRPr="000F07BF" w:rsidRDefault="00014F48" w:rsidP="00014F48">
            <w:pPr>
              <w:spacing w:before="60" w:after="60"/>
              <w:jc w:val="center"/>
              <w:rPr>
                <w:rFonts w:cs="Arial"/>
                <w:sz w:val="20"/>
                <w:lang w:val="pt-PT"/>
              </w:rPr>
            </w:pPr>
          </w:p>
        </w:tc>
        <w:tc>
          <w:tcPr>
            <w:tcW w:w="1071" w:type="dxa"/>
            <w:tcBorders>
              <w:top w:val="single" w:sz="4" w:space="0" w:color="auto"/>
              <w:left w:val="single" w:sz="4" w:space="0" w:color="auto"/>
              <w:bottom w:val="single" w:sz="4" w:space="0" w:color="auto"/>
              <w:right w:val="single" w:sz="4" w:space="0" w:color="auto"/>
            </w:tcBorders>
          </w:tcPr>
          <w:p w:rsidR="00014F48" w:rsidRPr="0014459B" w:rsidRDefault="00014F48" w:rsidP="00014F48">
            <w:pPr>
              <w:spacing w:before="60" w:after="60"/>
              <w:jc w:val="center"/>
              <w:rPr>
                <w:rFonts w:cs="Arial"/>
                <w:sz w:val="20"/>
                <w:lang w:val="pt-PT"/>
              </w:rPr>
            </w:pPr>
            <w:r w:rsidRPr="0014459B">
              <w:rPr>
                <w:rFonts w:cs="Arial"/>
                <w:sz w:val="20"/>
                <w:lang w:val="pt-PT"/>
              </w:rPr>
              <w:t>14</w:t>
            </w:r>
          </w:p>
        </w:tc>
        <w:tc>
          <w:tcPr>
            <w:tcW w:w="4666" w:type="dxa"/>
            <w:tcBorders>
              <w:top w:val="single" w:sz="4" w:space="0" w:color="auto"/>
              <w:left w:val="single" w:sz="4" w:space="0" w:color="auto"/>
              <w:bottom w:val="single" w:sz="4" w:space="0" w:color="auto"/>
              <w:right w:val="single" w:sz="4" w:space="0" w:color="auto"/>
            </w:tcBorders>
          </w:tcPr>
          <w:p w:rsidR="00014F48" w:rsidRPr="00CD3F1A" w:rsidRDefault="00014F48" w:rsidP="00014F48">
            <w:pPr>
              <w:spacing w:before="60" w:after="60"/>
              <w:rPr>
                <w:rFonts w:cs="Arial"/>
                <w:b/>
                <w:sz w:val="20"/>
                <w:lang w:val="pt-PT"/>
              </w:rPr>
            </w:pPr>
            <w:r w:rsidRPr="00CD3F1A">
              <w:rPr>
                <w:rFonts w:cs="Arial"/>
                <w:b/>
                <w:sz w:val="20"/>
                <w:lang w:val="pt-PT"/>
              </w:rPr>
              <w:t>Parasitologia:</w:t>
            </w:r>
          </w:p>
          <w:p w:rsidR="00014F48" w:rsidRPr="0014459B" w:rsidRDefault="00014F48" w:rsidP="00014F48">
            <w:pPr>
              <w:spacing w:before="60" w:after="60"/>
              <w:rPr>
                <w:rFonts w:cs="Arial"/>
                <w:sz w:val="20"/>
                <w:lang w:val="pt-PT"/>
              </w:rPr>
            </w:pPr>
            <w:r>
              <w:rPr>
                <w:rFonts w:cs="Arial"/>
                <w:sz w:val="20"/>
                <w:lang w:val="pt-PT"/>
              </w:rPr>
              <w:t>- Artrópodes - Ectoparasitas</w:t>
            </w:r>
          </w:p>
        </w:tc>
        <w:tc>
          <w:tcPr>
            <w:tcW w:w="1153" w:type="dxa"/>
            <w:tcBorders>
              <w:top w:val="single" w:sz="4" w:space="0" w:color="auto"/>
              <w:left w:val="single" w:sz="4" w:space="0" w:color="auto"/>
              <w:bottom w:val="single" w:sz="4" w:space="0" w:color="auto"/>
              <w:right w:val="single" w:sz="4" w:space="0" w:color="auto"/>
            </w:tcBorders>
          </w:tcPr>
          <w:p w:rsidR="00014F48" w:rsidRPr="0014459B" w:rsidRDefault="00014F48" w:rsidP="00014F48">
            <w:pPr>
              <w:spacing w:before="60" w:after="60"/>
              <w:jc w:val="center"/>
              <w:rPr>
                <w:rFonts w:cs="Arial"/>
                <w:sz w:val="20"/>
                <w:lang w:val="pt-PT"/>
              </w:rPr>
            </w:pPr>
            <w:r>
              <w:rPr>
                <w:rFonts w:cs="Arial"/>
                <w:sz w:val="20"/>
                <w:lang w:val="pt-PT"/>
              </w:rPr>
              <w:t>2h</w:t>
            </w:r>
          </w:p>
        </w:tc>
        <w:tc>
          <w:tcPr>
            <w:tcW w:w="1901" w:type="dxa"/>
            <w:tcBorders>
              <w:top w:val="single" w:sz="4" w:space="0" w:color="auto"/>
              <w:left w:val="single" w:sz="4" w:space="0" w:color="auto"/>
              <w:bottom w:val="single" w:sz="4" w:space="0" w:color="auto"/>
            </w:tcBorders>
          </w:tcPr>
          <w:p w:rsidR="00014F48" w:rsidRPr="00C83CB5" w:rsidRDefault="00014F48" w:rsidP="00014F48">
            <w:pPr>
              <w:spacing w:before="60" w:after="60"/>
              <w:jc w:val="center"/>
              <w:rPr>
                <w:sz w:val="20"/>
                <w:lang w:val="pt-BR"/>
              </w:rPr>
            </w:pPr>
            <w:r>
              <w:rPr>
                <w:sz w:val="20"/>
                <w:lang w:val="pt-BR"/>
              </w:rPr>
              <w:t>Teórica</w:t>
            </w:r>
          </w:p>
        </w:tc>
      </w:tr>
      <w:tr w:rsidR="00014F48" w:rsidRPr="00C83CB5" w:rsidTr="004D2CF5">
        <w:tc>
          <w:tcPr>
            <w:tcW w:w="1121" w:type="dxa"/>
            <w:tcBorders>
              <w:top w:val="single" w:sz="4" w:space="0" w:color="auto"/>
              <w:bottom w:val="single" w:sz="4" w:space="0" w:color="auto"/>
              <w:right w:val="single" w:sz="4" w:space="0" w:color="auto"/>
            </w:tcBorders>
            <w:shd w:val="clear" w:color="auto" w:fill="D8D8D8"/>
          </w:tcPr>
          <w:p w:rsidR="00014F48" w:rsidRPr="000F07BF" w:rsidRDefault="00014F48" w:rsidP="00014F48">
            <w:pPr>
              <w:spacing w:before="60" w:after="60"/>
              <w:jc w:val="center"/>
              <w:rPr>
                <w:rFonts w:cs="Arial"/>
                <w:sz w:val="20"/>
                <w:lang w:val="pt-PT"/>
              </w:rPr>
            </w:pPr>
          </w:p>
        </w:tc>
        <w:tc>
          <w:tcPr>
            <w:tcW w:w="1071" w:type="dxa"/>
            <w:tcBorders>
              <w:top w:val="single" w:sz="4" w:space="0" w:color="auto"/>
              <w:left w:val="single" w:sz="4" w:space="0" w:color="auto"/>
              <w:bottom w:val="single" w:sz="4" w:space="0" w:color="auto"/>
              <w:right w:val="single" w:sz="4" w:space="0" w:color="auto"/>
            </w:tcBorders>
            <w:shd w:val="clear" w:color="auto" w:fill="D8D8D8"/>
          </w:tcPr>
          <w:p w:rsidR="00014F48" w:rsidRPr="0014459B" w:rsidRDefault="00014F48" w:rsidP="00014F48">
            <w:pPr>
              <w:spacing w:before="60" w:after="60"/>
              <w:jc w:val="center"/>
              <w:rPr>
                <w:rFonts w:cs="Arial"/>
                <w:sz w:val="20"/>
                <w:lang w:val="pt-PT"/>
              </w:rPr>
            </w:pPr>
            <w:r w:rsidRPr="0014459B">
              <w:rPr>
                <w:rFonts w:cs="Arial"/>
                <w:sz w:val="20"/>
                <w:lang w:val="pt-PT"/>
              </w:rPr>
              <w:t>15</w:t>
            </w:r>
          </w:p>
        </w:tc>
        <w:tc>
          <w:tcPr>
            <w:tcW w:w="4666" w:type="dxa"/>
            <w:tcBorders>
              <w:top w:val="single" w:sz="4" w:space="0" w:color="auto"/>
              <w:left w:val="single" w:sz="4" w:space="0" w:color="auto"/>
              <w:bottom w:val="single" w:sz="4" w:space="0" w:color="auto"/>
              <w:right w:val="single" w:sz="4" w:space="0" w:color="auto"/>
            </w:tcBorders>
            <w:shd w:val="clear" w:color="auto" w:fill="D8D8D8"/>
          </w:tcPr>
          <w:p w:rsidR="00014F48" w:rsidRPr="00CD3F1A" w:rsidRDefault="00014F48" w:rsidP="00014F48">
            <w:pPr>
              <w:spacing w:before="60" w:after="60"/>
              <w:rPr>
                <w:rFonts w:cs="Arial"/>
                <w:b/>
                <w:sz w:val="20"/>
                <w:lang w:val="pt-PT"/>
              </w:rPr>
            </w:pPr>
            <w:r w:rsidRPr="00CD3F1A">
              <w:rPr>
                <w:rFonts w:cs="Arial"/>
                <w:b/>
                <w:sz w:val="20"/>
                <w:lang w:val="pt-PT"/>
              </w:rPr>
              <w:t xml:space="preserve">Microbiologia e Parasitologia: </w:t>
            </w:r>
          </w:p>
          <w:p w:rsidR="00014F48" w:rsidRDefault="00014F48" w:rsidP="00014F48">
            <w:pPr>
              <w:spacing w:before="60" w:after="60"/>
              <w:rPr>
                <w:rFonts w:cs="Arial"/>
                <w:sz w:val="20"/>
                <w:szCs w:val="20"/>
                <w:lang w:val="pt-PT"/>
              </w:rPr>
            </w:pPr>
            <w:r>
              <w:rPr>
                <w:rFonts w:cs="Arial"/>
                <w:sz w:val="20"/>
                <w:szCs w:val="20"/>
                <w:lang w:val="pt-PT"/>
              </w:rPr>
              <w:t xml:space="preserve">- </w:t>
            </w:r>
            <w:r w:rsidRPr="00795335">
              <w:rPr>
                <w:rFonts w:cs="Arial"/>
                <w:sz w:val="20"/>
                <w:szCs w:val="20"/>
                <w:lang w:val="pt-PT"/>
              </w:rPr>
              <w:t>Exame Microbiológ</w:t>
            </w:r>
            <w:r>
              <w:rPr>
                <w:rFonts w:cs="Arial"/>
                <w:sz w:val="20"/>
                <w:szCs w:val="20"/>
                <w:lang w:val="pt-PT"/>
              </w:rPr>
              <w:t>ico e Parasitológico de Sangue</w:t>
            </w:r>
          </w:p>
          <w:p w:rsidR="00014F48" w:rsidRDefault="00014F48" w:rsidP="00014F48">
            <w:pPr>
              <w:spacing w:before="60" w:after="60"/>
              <w:rPr>
                <w:rFonts w:cs="Arial"/>
                <w:sz w:val="20"/>
                <w:szCs w:val="20"/>
                <w:lang w:val="pt-PT"/>
              </w:rPr>
            </w:pPr>
            <w:r>
              <w:rPr>
                <w:rFonts w:cs="Arial"/>
                <w:sz w:val="20"/>
                <w:szCs w:val="20"/>
                <w:lang w:val="pt-PT"/>
              </w:rPr>
              <w:t>- Expectoração</w:t>
            </w:r>
          </w:p>
          <w:p w:rsidR="00014F48" w:rsidRDefault="00014F48" w:rsidP="00014F48">
            <w:pPr>
              <w:spacing w:before="60" w:after="60"/>
              <w:rPr>
                <w:rFonts w:cs="Arial"/>
                <w:sz w:val="20"/>
                <w:szCs w:val="20"/>
                <w:lang w:val="pt-PT"/>
              </w:rPr>
            </w:pPr>
            <w:r>
              <w:rPr>
                <w:rFonts w:cs="Arial"/>
                <w:sz w:val="20"/>
                <w:szCs w:val="20"/>
                <w:lang w:val="pt-PT"/>
              </w:rPr>
              <w:t xml:space="preserve">- </w:t>
            </w:r>
            <w:r w:rsidRPr="00795335">
              <w:rPr>
                <w:rFonts w:cs="Arial"/>
                <w:sz w:val="20"/>
                <w:szCs w:val="20"/>
                <w:lang w:val="pt-PT"/>
              </w:rPr>
              <w:t xml:space="preserve">Exsudato </w:t>
            </w:r>
            <w:r>
              <w:rPr>
                <w:rFonts w:cs="Arial"/>
                <w:sz w:val="20"/>
                <w:szCs w:val="20"/>
                <w:lang w:val="pt-PT"/>
              </w:rPr>
              <w:t>vaginal</w:t>
            </w:r>
          </w:p>
          <w:p w:rsidR="00014F48" w:rsidRDefault="00014F48" w:rsidP="00014F48">
            <w:pPr>
              <w:spacing w:before="60" w:after="60"/>
              <w:rPr>
                <w:rFonts w:cs="Arial"/>
                <w:sz w:val="20"/>
                <w:szCs w:val="20"/>
                <w:lang w:val="pt-PT"/>
              </w:rPr>
            </w:pPr>
            <w:r>
              <w:rPr>
                <w:rFonts w:cs="Arial"/>
                <w:sz w:val="20"/>
                <w:szCs w:val="20"/>
                <w:lang w:val="pt-PT"/>
              </w:rPr>
              <w:t xml:space="preserve">- </w:t>
            </w:r>
            <w:r w:rsidRPr="00795335">
              <w:rPr>
                <w:rFonts w:cs="Arial"/>
                <w:sz w:val="20"/>
                <w:szCs w:val="20"/>
                <w:lang w:val="pt-PT"/>
              </w:rPr>
              <w:t>Fezes</w:t>
            </w:r>
          </w:p>
          <w:p w:rsidR="00014F48" w:rsidRPr="00795335" w:rsidRDefault="00014F48" w:rsidP="00014F48">
            <w:pPr>
              <w:spacing w:before="60" w:after="60"/>
              <w:rPr>
                <w:rFonts w:cs="Arial"/>
                <w:sz w:val="20"/>
                <w:szCs w:val="20"/>
                <w:lang w:val="pt-PT"/>
              </w:rPr>
            </w:pPr>
            <w:r>
              <w:rPr>
                <w:rFonts w:cs="Arial"/>
                <w:sz w:val="20"/>
                <w:szCs w:val="20"/>
                <w:lang w:val="pt-PT"/>
              </w:rPr>
              <w:t xml:space="preserve">- </w:t>
            </w:r>
            <w:r w:rsidRPr="00795335">
              <w:rPr>
                <w:rFonts w:cs="Arial"/>
                <w:sz w:val="20"/>
                <w:szCs w:val="20"/>
                <w:lang w:val="pt-PT"/>
              </w:rPr>
              <w:t>Urina</w:t>
            </w:r>
          </w:p>
        </w:tc>
        <w:tc>
          <w:tcPr>
            <w:tcW w:w="1153" w:type="dxa"/>
            <w:tcBorders>
              <w:top w:val="single" w:sz="4" w:space="0" w:color="auto"/>
              <w:left w:val="single" w:sz="4" w:space="0" w:color="auto"/>
              <w:bottom w:val="single" w:sz="4" w:space="0" w:color="auto"/>
              <w:right w:val="single" w:sz="4" w:space="0" w:color="auto"/>
            </w:tcBorders>
            <w:shd w:val="clear" w:color="auto" w:fill="D8D8D8"/>
          </w:tcPr>
          <w:p w:rsidR="00014F48" w:rsidRPr="0014459B" w:rsidRDefault="00014F48" w:rsidP="00014F48">
            <w:pPr>
              <w:spacing w:before="60" w:after="60"/>
              <w:jc w:val="center"/>
              <w:rPr>
                <w:rFonts w:cs="Arial"/>
                <w:sz w:val="20"/>
                <w:lang w:val="pt-PT"/>
              </w:rPr>
            </w:pPr>
            <w:r w:rsidRPr="007877DC">
              <w:rPr>
                <w:rFonts w:cs="Arial"/>
                <w:sz w:val="20"/>
                <w:lang w:val="pt-PT"/>
              </w:rPr>
              <w:t>3h</w:t>
            </w:r>
          </w:p>
        </w:tc>
        <w:tc>
          <w:tcPr>
            <w:tcW w:w="1901" w:type="dxa"/>
            <w:tcBorders>
              <w:top w:val="single" w:sz="4" w:space="0" w:color="auto"/>
              <w:left w:val="single" w:sz="4" w:space="0" w:color="auto"/>
              <w:bottom w:val="single" w:sz="4" w:space="0" w:color="auto"/>
            </w:tcBorders>
            <w:shd w:val="clear" w:color="auto" w:fill="D8D8D8"/>
          </w:tcPr>
          <w:p w:rsidR="00014F48" w:rsidRPr="00C83CB5" w:rsidRDefault="00014F48" w:rsidP="00014F48">
            <w:pPr>
              <w:spacing w:before="60" w:after="60"/>
              <w:jc w:val="center"/>
              <w:rPr>
                <w:sz w:val="20"/>
                <w:lang w:val="pt-BR"/>
              </w:rPr>
            </w:pPr>
            <w:r>
              <w:rPr>
                <w:sz w:val="20"/>
                <w:lang w:val="pt-BR"/>
              </w:rPr>
              <w:t>Laboratório Multidisciplinar</w:t>
            </w:r>
          </w:p>
        </w:tc>
      </w:tr>
      <w:tr w:rsidR="00014F48" w:rsidRPr="00C83CB5" w:rsidTr="004D2CF5">
        <w:tc>
          <w:tcPr>
            <w:tcW w:w="1121" w:type="dxa"/>
            <w:tcBorders>
              <w:top w:val="single" w:sz="4" w:space="0" w:color="auto"/>
              <w:bottom w:val="single" w:sz="4" w:space="0" w:color="auto"/>
              <w:right w:val="single" w:sz="4" w:space="0" w:color="auto"/>
            </w:tcBorders>
            <w:shd w:val="clear" w:color="auto" w:fill="D8D8D8"/>
          </w:tcPr>
          <w:p w:rsidR="00014F48" w:rsidRPr="000F07BF" w:rsidRDefault="00014F48" w:rsidP="00014F48">
            <w:pPr>
              <w:spacing w:before="60" w:after="60"/>
              <w:jc w:val="center"/>
              <w:rPr>
                <w:rFonts w:cs="Arial"/>
                <w:sz w:val="20"/>
                <w:lang w:val="pt-PT"/>
              </w:rPr>
            </w:pPr>
          </w:p>
        </w:tc>
        <w:tc>
          <w:tcPr>
            <w:tcW w:w="1071" w:type="dxa"/>
            <w:tcBorders>
              <w:top w:val="single" w:sz="4" w:space="0" w:color="auto"/>
              <w:left w:val="single" w:sz="4" w:space="0" w:color="auto"/>
              <w:bottom w:val="single" w:sz="4" w:space="0" w:color="auto"/>
              <w:right w:val="single" w:sz="4" w:space="0" w:color="auto"/>
            </w:tcBorders>
            <w:shd w:val="clear" w:color="auto" w:fill="D8D8D8"/>
          </w:tcPr>
          <w:p w:rsidR="00014F48" w:rsidRPr="0014459B" w:rsidRDefault="00014F48" w:rsidP="00014F48">
            <w:pPr>
              <w:spacing w:before="60" w:after="60"/>
              <w:jc w:val="center"/>
              <w:rPr>
                <w:rFonts w:cs="Arial"/>
                <w:sz w:val="20"/>
                <w:lang w:val="pt-PT"/>
              </w:rPr>
            </w:pPr>
          </w:p>
        </w:tc>
        <w:tc>
          <w:tcPr>
            <w:tcW w:w="4666" w:type="dxa"/>
            <w:tcBorders>
              <w:top w:val="single" w:sz="4" w:space="0" w:color="auto"/>
              <w:left w:val="single" w:sz="4" w:space="0" w:color="auto"/>
              <w:bottom w:val="single" w:sz="4" w:space="0" w:color="auto"/>
              <w:right w:val="single" w:sz="4" w:space="0" w:color="auto"/>
            </w:tcBorders>
            <w:shd w:val="clear" w:color="auto" w:fill="D8D8D8"/>
          </w:tcPr>
          <w:p w:rsidR="00014F48" w:rsidRPr="00E22197" w:rsidRDefault="00014F48" w:rsidP="00014F48">
            <w:pPr>
              <w:spacing w:before="60" w:after="60"/>
              <w:rPr>
                <w:rFonts w:cs="Arial"/>
                <w:b/>
                <w:sz w:val="20"/>
                <w:lang w:val="pt-PT"/>
              </w:rPr>
            </w:pPr>
            <w:r w:rsidRPr="00E22197">
              <w:rPr>
                <w:rFonts w:cs="Arial"/>
                <w:b/>
                <w:sz w:val="20"/>
                <w:lang w:val="pt-PT"/>
              </w:rPr>
              <w:t xml:space="preserve">Avaliação </w:t>
            </w:r>
          </w:p>
        </w:tc>
        <w:tc>
          <w:tcPr>
            <w:tcW w:w="1153" w:type="dxa"/>
            <w:tcBorders>
              <w:top w:val="single" w:sz="4" w:space="0" w:color="auto"/>
              <w:left w:val="single" w:sz="4" w:space="0" w:color="auto"/>
              <w:bottom w:val="single" w:sz="4" w:space="0" w:color="auto"/>
              <w:right w:val="single" w:sz="4" w:space="0" w:color="auto"/>
            </w:tcBorders>
            <w:shd w:val="clear" w:color="auto" w:fill="D8D8D8"/>
          </w:tcPr>
          <w:p w:rsidR="00014F48" w:rsidRDefault="00014F48" w:rsidP="00014F48">
            <w:pPr>
              <w:spacing w:before="60" w:after="60"/>
              <w:jc w:val="center"/>
              <w:rPr>
                <w:rFonts w:cs="Arial"/>
                <w:sz w:val="20"/>
                <w:lang w:val="pt-PT"/>
              </w:rPr>
            </w:pPr>
            <w:r>
              <w:rPr>
                <w:rFonts w:cs="Arial"/>
                <w:sz w:val="20"/>
                <w:lang w:val="pt-PT"/>
              </w:rPr>
              <w:t>2h</w:t>
            </w:r>
          </w:p>
        </w:tc>
        <w:tc>
          <w:tcPr>
            <w:tcW w:w="1901" w:type="dxa"/>
            <w:tcBorders>
              <w:top w:val="single" w:sz="4" w:space="0" w:color="auto"/>
              <w:left w:val="single" w:sz="4" w:space="0" w:color="auto"/>
              <w:bottom w:val="single" w:sz="4" w:space="0" w:color="auto"/>
            </w:tcBorders>
            <w:shd w:val="clear" w:color="auto" w:fill="D8D8D8"/>
          </w:tcPr>
          <w:p w:rsidR="00014F48" w:rsidRDefault="00014F48" w:rsidP="00014F48">
            <w:pPr>
              <w:spacing w:before="60" w:after="60"/>
              <w:jc w:val="center"/>
              <w:rPr>
                <w:sz w:val="20"/>
                <w:lang w:val="pt-BR"/>
              </w:rPr>
            </w:pPr>
          </w:p>
        </w:tc>
      </w:tr>
      <w:tr w:rsidR="00014F48" w:rsidRPr="00C83CB5" w:rsidTr="004D2CF5">
        <w:tc>
          <w:tcPr>
            <w:tcW w:w="1121" w:type="dxa"/>
            <w:tcBorders>
              <w:top w:val="single" w:sz="4" w:space="0" w:color="auto"/>
              <w:bottom w:val="single" w:sz="4" w:space="0" w:color="auto"/>
              <w:right w:val="single" w:sz="4" w:space="0" w:color="auto"/>
            </w:tcBorders>
          </w:tcPr>
          <w:p w:rsidR="00014F48" w:rsidRPr="00C37173" w:rsidRDefault="00014F48" w:rsidP="00014F48">
            <w:pPr>
              <w:spacing w:before="60" w:after="60"/>
              <w:jc w:val="center"/>
              <w:rPr>
                <w:rFonts w:cs="Arial"/>
                <w:sz w:val="20"/>
                <w:lang w:val="pt-PT"/>
              </w:rPr>
            </w:pPr>
          </w:p>
        </w:tc>
        <w:tc>
          <w:tcPr>
            <w:tcW w:w="1071" w:type="dxa"/>
            <w:tcBorders>
              <w:top w:val="single" w:sz="4" w:space="0" w:color="auto"/>
              <w:left w:val="single" w:sz="4" w:space="0" w:color="auto"/>
              <w:bottom w:val="single" w:sz="4" w:space="0" w:color="auto"/>
              <w:right w:val="single" w:sz="4" w:space="0" w:color="auto"/>
            </w:tcBorders>
          </w:tcPr>
          <w:p w:rsidR="00014F48" w:rsidRPr="0014459B" w:rsidRDefault="00014F48" w:rsidP="00014F48">
            <w:pPr>
              <w:spacing w:before="60" w:after="60"/>
              <w:jc w:val="center"/>
              <w:rPr>
                <w:rFonts w:cs="Arial"/>
                <w:sz w:val="20"/>
                <w:lang w:val="pt-PT"/>
              </w:rPr>
            </w:pPr>
            <w:r w:rsidRPr="0014459B">
              <w:rPr>
                <w:rFonts w:cs="Arial"/>
                <w:sz w:val="20"/>
                <w:lang w:val="pt-PT"/>
              </w:rPr>
              <w:t>16</w:t>
            </w:r>
          </w:p>
        </w:tc>
        <w:tc>
          <w:tcPr>
            <w:tcW w:w="4666" w:type="dxa"/>
            <w:tcBorders>
              <w:top w:val="single" w:sz="4" w:space="0" w:color="auto"/>
              <w:left w:val="single" w:sz="4" w:space="0" w:color="auto"/>
              <w:bottom w:val="single" w:sz="4" w:space="0" w:color="auto"/>
              <w:right w:val="single" w:sz="4" w:space="0" w:color="auto"/>
            </w:tcBorders>
          </w:tcPr>
          <w:p w:rsidR="00014F48" w:rsidRPr="00CD3F1A" w:rsidRDefault="00014F48" w:rsidP="00014F48">
            <w:pPr>
              <w:spacing w:before="60" w:after="60"/>
              <w:rPr>
                <w:b/>
                <w:sz w:val="20"/>
                <w:lang w:val="pt-BR"/>
              </w:rPr>
            </w:pPr>
            <w:r w:rsidRPr="00CD3F1A">
              <w:rPr>
                <w:b/>
                <w:sz w:val="20"/>
                <w:lang w:val="pt-BR"/>
              </w:rPr>
              <w:t>Farmacologia:</w:t>
            </w:r>
          </w:p>
          <w:p w:rsidR="00014F48" w:rsidRPr="0014459B" w:rsidRDefault="00014F48" w:rsidP="00014F48">
            <w:pPr>
              <w:spacing w:before="60" w:after="60"/>
              <w:rPr>
                <w:sz w:val="20"/>
                <w:lang w:val="pt-BR"/>
              </w:rPr>
            </w:pPr>
            <w:r>
              <w:rPr>
                <w:sz w:val="20"/>
                <w:lang w:val="pt-BR"/>
              </w:rPr>
              <w:t xml:space="preserve">- Farmacocinética </w:t>
            </w:r>
          </w:p>
        </w:tc>
        <w:tc>
          <w:tcPr>
            <w:tcW w:w="1153" w:type="dxa"/>
            <w:tcBorders>
              <w:top w:val="single" w:sz="4" w:space="0" w:color="auto"/>
              <w:left w:val="single" w:sz="4" w:space="0" w:color="auto"/>
              <w:bottom w:val="single" w:sz="4" w:space="0" w:color="auto"/>
              <w:right w:val="single" w:sz="4" w:space="0" w:color="auto"/>
            </w:tcBorders>
          </w:tcPr>
          <w:p w:rsidR="00014F48" w:rsidRPr="00C83CB5" w:rsidRDefault="00014F48" w:rsidP="00014F48">
            <w:pPr>
              <w:spacing w:before="60" w:after="60"/>
              <w:jc w:val="center"/>
              <w:rPr>
                <w:rFonts w:cs="Arial"/>
                <w:sz w:val="20"/>
                <w:lang w:val="pt-BR"/>
              </w:rPr>
            </w:pPr>
            <w:r>
              <w:rPr>
                <w:rFonts w:cs="Arial"/>
                <w:sz w:val="20"/>
                <w:lang w:val="pt-BR"/>
              </w:rPr>
              <w:t>2h</w:t>
            </w:r>
          </w:p>
        </w:tc>
        <w:tc>
          <w:tcPr>
            <w:tcW w:w="1901" w:type="dxa"/>
            <w:tcBorders>
              <w:top w:val="single" w:sz="4" w:space="0" w:color="auto"/>
              <w:left w:val="single" w:sz="4" w:space="0" w:color="auto"/>
              <w:bottom w:val="single" w:sz="4" w:space="0" w:color="auto"/>
            </w:tcBorders>
          </w:tcPr>
          <w:p w:rsidR="00014F48" w:rsidRPr="00C83CB5" w:rsidRDefault="00014F48" w:rsidP="00014F48">
            <w:pPr>
              <w:spacing w:before="60" w:after="60"/>
              <w:jc w:val="center"/>
              <w:rPr>
                <w:sz w:val="20"/>
                <w:lang w:val="pt-BR"/>
              </w:rPr>
            </w:pPr>
            <w:r>
              <w:rPr>
                <w:sz w:val="20"/>
                <w:lang w:val="pt-BR"/>
              </w:rPr>
              <w:t>Teórica</w:t>
            </w:r>
          </w:p>
        </w:tc>
      </w:tr>
      <w:tr w:rsidR="00014F48" w:rsidRPr="005846D8" w:rsidTr="004D2CF5">
        <w:tc>
          <w:tcPr>
            <w:tcW w:w="1121" w:type="dxa"/>
            <w:tcBorders>
              <w:top w:val="single" w:sz="4" w:space="0" w:color="auto"/>
              <w:bottom w:val="single" w:sz="4" w:space="0" w:color="auto"/>
              <w:right w:val="single" w:sz="4" w:space="0" w:color="auto"/>
            </w:tcBorders>
            <w:shd w:val="clear" w:color="auto" w:fill="D8D8D8"/>
          </w:tcPr>
          <w:p w:rsidR="00014F48" w:rsidRPr="00C37173" w:rsidRDefault="00014F48" w:rsidP="00014F48">
            <w:pPr>
              <w:spacing w:before="60" w:after="60"/>
              <w:jc w:val="center"/>
              <w:rPr>
                <w:rFonts w:cs="Arial"/>
                <w:sz w:val="20"/>
                <w:lang w:val="pt-PT"/>
              </w:rPr>
            </w:pPr>
          </w:p>
        </w:tc>
        <w:tc>
          <w:tcPr>
            <w:tcW w:w="1071" w:type="dxa"/>
            <w:tcBorders>
              <w:top w:val="single" w:sz="4" w:space="0" w:color="auto"/>
              <w:left w:val="single" w:sz="4" w:space="0" w:color="auto"/>
              <w:bottom w:val="single" w:sz="4" w:space="0" w:color="auto"/>
              <w:right w:val="single" w:sz="4" w:space="0" w:color="auto"/>
            </w:tcBorders>
            <w:shd w:val="clear" w:color="auto" w:fill="D8D8D8"/>
          </w:tcPr>
          <w:p w:rsidR="00014F48" w:rsidRPr="0014459B" w:rsidRDefault="00014F48" w:rsidP="00014F48">
            <w:pPr>
              <w:spacing w:before="60" w:after="60"/>
              <w:jc w:val="center"/>
              <w:rPr>
                <w:rFonts w:cs="Arial"/>
                <w:sz w:val="20"/>
                <w:lang w:val="pt-PT"/>
              </w:rPr>
            </w:pPr>
            <w:r w:rsidRPr="0014459B">
              <w:rPr>
                <w:rFonts w:cs="Arial"/>
                <w:sz w:val="20"/>
                <w:lang w:val="pt-PT"/>
              </w:rPr>
              <w:t>17</w:t>
            </w:r>
          </w:p>
        </w:tc>
        <w:tc>
          <w:tcPr>
            <w:tcW w:w="4666" w:type="dxa"/>
            <w:tcBorders>
              <w:top w:val="single" w:sz="4" w:space="0" w:color="auto"/>
              <w:left w:val="single" w:sz="4" w:space="0" w:color="auto"/>
              <w:bottom w:val="single" w:sz="4" w:space="0" w:color="auto"/>
              <w:right w:val="single" w:sz="4" w:space="0" w:color="auto"/>
            </w:tcBorders>
            <w:shd w:val="clear" w:color="auto" w:fill="D8D8D8"/>
          </w:tcPr>
          <w:p w:rsidR="00014F48" w:rsidRPr="00CD3F1A" w:rsidRDefault="00014F48" w:rsidP="00014F48">
            <w:pPr>
              <w:spacing w:before="60" w:after="60"/>
              <w:rPr>
                <w:rFonts w:cs="Arial"/>
                <w:b/>
                <w:sz w:val="20"/>
                <w:lang w:val="pt-BR"/>
              </w:rPr>
            </w:pPr>
            <w:r w:rsidRPr="00CD3F1A">
              <w:rPr>
                <w:rFonts w:cs="Arial"/>
                <w:b/>
                <w:sz w:val="20"/>
                <w:lang w:val="pt-BR"/>
              </w:rPr>
              <w:t>Farmacologia:</w:t>
            </w:r>
          </w:p>
          <w:p w:rsidR="00014F48" w:rsidRPr="0014459B" w:rsidRDefault="00014F48" w:rsidP="00014F48">
            <w:pPr>
              <w:spacing w:before="60" w:after="60"/>
              <w:rPr>
                <w:rFonts w:cs="Arial"/>
                <w:sz w:val="20"/>
                <w:lang w:val="pt-BR"/>
              </w:rPr>
            </w:pPr>
            <w:r>
              <w:rPr>
                <w:rFonts w:cs="Arial"/>
                <w:sz w:val="20"/>
                <w:lang w:val="pt-BR"/>
              </w:rPr>
              <w:t>- Farmacodinâmica</w:t>
            </w:r>
          </w:p>
        </w:tc>
        <w:tc>
          <w:tcPr>
            <w:tcW w:w="1153" w:type="dxa"/>
            <w:tcBorders>
              <w:top w:val="single" w:sz="4" w:space="0" w:color="auto"/>
              <w:left w:val="single" w:sz="4" w:space="0" w:color="auto"/>
              <w:bottom w:val="single" w:sz="4" w:space="0" w:color="auto"/>
              <w:right w:val="single" w:sz="4" w:space="0" w:color="auto"/>
            </w:tcBorders>
            <w:shd w:val="clear" w:color="auto" w:fill="D8D8D8"/>
          </w:tcPr>
          <w:p w:rsidR="00014F48" w:rsidRPr="0014459B" w:rsidRDefault="00014F48" w:rsidP="00014F48">
            <w:pPr>
              <w:spacing w:before="60" w:after="60"/>
              <w:jc w:val="center"/>
              <w:rPr>
                <w:rFonts w:cs="Arial"/>
                <w:sz w:val="20"/>
                <w:lang w:val="pt-PT"/>
              </w:rPr>
            </w:pPr>
            <w:r>
              <w:rPr>
                <w:rFonts w:cs="Arial"/>
                <w:sz w:val="20"/>
                <w:lang w:val="pt-PT"/>
              </w:rPr>
              <w:t>2h</w:t>
            </w:r>
          </w:p>
        </w:tc>
        <w:tc>
          <w:tcPr>
            <w:tcW w:w="1901" w:type="dxa"/>
            <w:tcBorders>
              <w:top w:val="single" w:sz="4" w:space="0" w:color="auto"/>
              <w:left w:val="single" w:sz="4" w:space="0" w:color="auto"/>
              <w:bottom w:val="single" w:sz="4" w:space="0" w:color="auto"/>
            </w:tcBorders>
            <w:shd w:val="clear" w:color="auto" w:fill="D8D8D8"/>
          </w:tcPr>
          <w:p w:rsidR="00014F48" w:rsidRPr="0014459B" w:rsidRDefault="00014F48" w:rsidP="00014F48">
            <w:pPr>
              <w:spacing w:before="60" w:after="60"/>
              <w:jc w:val="center"/>
              <w:rPr>
                <w:rFonts w:cs="Arial"/>
                <w:sz w:val="20"/>
                <w:lang w:val="pt-PT"/>
              </w:rPr>
            </w:pPr>
            <w:r>
              <w:rPr>
                <w:rFonts w:cs="Arial"/>
                <w:sz w:val="20"/>
                <w:lang w:val="pt-PT"/>
              </w:rPr>
              <w:t>Teórica</w:t>
            </w:r>
          </w:p>
        </w:tc>
      </w:tr>
      <w:tr w:rsidR="00014F48" w:rsidRPr="005846D8" w:rsidTr="004D2CF5">
        <w:tc>
          <w:tcPr>
            <w:tcW w:w="1121" w:type="dxa"/>
            <w:tcBorders>
              <w:top w:val="single" w:sz="4" w:space="0" w:color="auto"/>
              <w:bottom w:val="single" w:sz="4" w:space="0" w:color="auto"/>
              <w:right w:val="single" w:sz="4" w:space="0" w:color="auto"/>
            </w:tcBorders>
          </w:tcPr>
          <w:p w:rsidR="00014F48" w:rsidRPr="00C37173" w:rsidRDefault="00014F48" w:rsidP="00014F48">
            <w:pPr>
              <w:spacing w:before="60" w:after="60"/>
              <w:rPr>
                <w:rFonts w:cs="Arial"/>
                <w:sz w:val="20"/>
                <w:lang w:val="pt-PT"/>
              </w:rPr>
            </w:pPr>
          </w:p>
        </w:tc>
        <w:tc>
          <w:tcPr>
            <w:tcW w:w="1071" w:type="dxa"/>
            <w:tcBorders>
              <w:top w:val="single" w:sz="4" w:space="0" w:color="auto"/>
              <w:left w:val="single" w:sz="4" w:space="0" w:color="auto"/>
              <w:bottom w:val="single" w:sz="4" w:space="0" w:color="auto"/>
              <w:right w:val="single" w:sz="4" w:space="0" w:color="auto"/>
            </w:tcBorders>
          </w:tcPr>
          <w:p w:rsidR="00014F48" w:rsidRPr="0014459B" w:rsidRDefault="00014F48" w:rsidP="00014F48">
            <w:pPr>
              <w:spacing w:before="60" w:after="60"/>
              <w:jc w:val="center"/>
              <w:rPr>
                <w:rFonts w:cs="Arial"/>
                <w:sz w:val="20"/>
                <w:lang w:val="pt-PT"/>
              </w:rPr>
            </w:pPr>
            <w:r w:rsidRPr="0014459B">
              <w:rPr>
                <w:rFonts w:cs="Arial"/>
                <w:sz w:val="20"/>
                <w:lang w:val="pt-PT"/>
              </w:rPr>
              <w:t>18</w:t>
            </w:r>
          </w:p>
        </w:tc>
        <w:tc>
          <w:tcPr>
            <w:tcW w:w="4666" w:type="dxa"/>
            <w:tcBorders>
              <w:top w:val="single" w:sz="4" w:space="0" w:color="auto"/>
              <w:left w:val="single" w:sz="4" w:space="0" w:color="auto"/>
              <w:bottom w:val="single" w:sz="4" w:space="0" w:color="auto"/>
              <w:right w:val="single" w:sz="4" w:space="0" w:color="auto"/>
            </w:tcBorders>
          </w:tcPr>
          <w:p w:rsidR="00014F48" w:rsidRPr="00A31211" w:rsidRDefault="00014F48" w:rsidP="00014F48">
            <w:pPr>
              <w:spacing w:before="60" w:after="60"/>
              <w:rPr>
                <w:rFonts w:cs="Arial"/>
                <w:b/>
                <w:sz w:val="20"/>
                <w:lang w:val="pt-BR"/>
              </w:rPr>
            </w:pPr>
            <w:r w:rsidRPr="00A31211">
              <w:rPr>
                <w:rFonts w:cs="Arial"/>
                <w:b/>
                <w:sz w:val="20"/>
                <w:lang w:val="pt-BR"/>
              </w:rPr>
              <w:t>Farmacologia Especial de Sistemas 1:</w:t>
            </w:r>
          </w:p>
          <w:p w:rsidR="00014F48" w:rsidRPr="0014459B" w:rsidRDefault="00014F48" w:rsidP="00014F48">
            <w:pPr>
              <w:spacing w:before="60" w:after="60"/>
              <w:rPr>
                <w:rFonts w:cs="Arial"/>
                <w:sz w:val="20"/>
                <w:lang w:val="pt-BR"/>
              </w:rPr>
            </w:pPr>
            <w:r>
              <w:rPr>
                <w:rFonts w:cs="Arial"/>
                <w:sz w:val="20"/>
                <w:lang w:val="pt-BR"/>
              </w:rPr>
              <w:t>- Anti-Microbianos e Anti-Bacterianos</w:t>
            </w:r>
          </w:p>
        </w:tc>
        <w:tc>
          <w:tcPr>
            <w:tcW w:w="1153" w:type="dxa"/>
            <w:tcBorders>
              <w:top w:val="single" w:sz="4" w:space="0" w:color="auto"/>
              <w:left w:val="single" w:sz="4" w:space="0" w:color="auto"/>
              <w:bottom w:val="single" w:sz="4" w:space="0" w:color="auto"/>
              <w:right w:val="single" w:sz="4" w:space="0" w:color="auto"/>
            </w:tcBorders>
          </w:tcPr>
          <w:p w:rsidR="00014F48" w:rsidRPr="0014459B" w:rsidRDefault="00014F48" w:rsidP="00014F48">
            <w:pPr>
              <w:spacing w:before="60" w:after="60"/>
              <w:jc w:val="center"/>
              <w:rPr>
                <w:rFonts w:cs="Arial"/>
                <w:sz w:val="20"/>
                <w:lang w:val="pt-PT"/>
              </w:rPr>
            </w:pPr>
            <w:r>
              <w:rPr>
                <w:rFonts w:cs="Arial"/>
                <w:sz w:val="20"/>
                <w:lang w:val="pt-PT"/>
              </w:rPr>
              <w:t>2h</w:t>
            </w:r>
          </w:p>
        </w:tc>
        <w:tc>
          <w:tcPr>
            <w:tcW w:w="1901" w:type="dxa"/>
            <w:tcBorders>
              <w:top w:val="single" w:sz="4" w:space="0" w:color="auto"/>
              <w:left w:val="single" w:sz="4" w:space="0" w:color="auto"/>
              <w:bottom w:val="single" w:sz="4" w:space="0" w:color="auto"/>
            </w:tcBorders>
          </w:tcPr>
          <w:p w:rsidR="00014F48" w:rsidRPr="0014459B" w:rsidRDefault="00014F48" w:rsidP="00014F48">
            <w:pPr>
              <w:spacing w:before="60" w:after="60"/>
              <w:jc w:val="center"/>
              <w:rPr>
                <w:rFonts w:cs="Arial"/>
                <w:sz w:val="20"/>
                <w:lang w:val="pt-PT"/>
              </w:rPr>
            </w:pPr>
            <w:r>
              <w:rPr>
                <w:rFonts w:cs="Arial"/>
                <w:sz w:val="20"/>
                <w:lang w:val="pt-PT"/>
              </w:rPr>
              <w:t>Teórica</w:t>
            </w:r>
          </w:p>
        </w:tc>
      </w:tr>
      <w:tr w:rsidR="00014F48" w:rsidRPr="000F652E" w:rsidTr="004D2CF5">
        <w:tc>
          <w:tcPr>
            <w:tcW w:w="1121" w:type="dxa"/>
            <w:tcBorders>
              <w:top w:val="single" w:sz="4" w:space="0" w:color="auto"/>
              <w:bottom w:val="single" w:sz="4" w:space="0" w:color="auto"/>
              <w:right w:val="single" w:sz="4" w:space="0" w:color="auto"/>
            </w:tcBorders>
            <w:shd w:val="clear" w:color="auto" w:fill="D8D8D8"/>
          </w:tcPr>
          <w:p w:rsidR="00014F48" w:rsidRPr="00C37173" w:rsidRDefault="00014F48" w:rsidP="00014F48">
            <w:pPr>
              <w:spacing w:before="60" w:after="60"/>
              <w:rPr>
                <w:rFonts w:cs="Arial"/>
                <w:sz w:val="20"/>
                <w:lang w:val="pt-PT"/>
              </w:rPr>
            </w:pPr>
          </w:p>
        </w:tc>
        <w:tc>
          <w:tcPr>
            <w:tcW w:w="1071" w:type="dxa"/>
            <w:tcBorders>
              <w:top w:val="single" w:sz="4" w:space="0" w:color="auto"/>
              <w:left w:val="single" w:sz="4" w:space="0" w:color="auto"/>
              <w:bottom w:val="single" w:sz="4" w:space="0" w:color="auto"/>
              <w:right w:val="single" w:sz="4" w:space="0" w:color="auto"/>
            </w:tcBorders>
            <w:shd w:val="clear" w:color="auto" w:fill="D8D8D8"/>
          </w:tcPr>
          <w:p w:rsidR="00014F48" w:rsidRPr="0014459B" w:rsidRDefault="00014F48" w:rsidP="00014F48">
            <w:pPr>
              <w:spacing w:before="60" w:after="60"/>
              <w:jc w:val="center"/>
              <w:rPr>
                <w:rFonts w:cs="Arial"/>
                <w:sz w:val="20"/>
                <w:lang w:val="pt-PT"/>
              </w:rPr>
            </w:pPr>
            <w:r w:rsidRPr="0014459B">
              <w:rPr>
                <w:rFonts w:cs="Arial"/>
                <w:sz w:val="20"/>
                <w:lang w:val="pt-PT"/>
              </w:rPr>
              <w:t>19</w:t>
            </w:r>
          </w:p>
        </w:tc>
        <w:tc>
          <w:tcPr>
            <w:tcW w:w="4666" w:type="dxa"/>
            <w:tcBorders>
              <w:top w:val="single" w:sz="4" w:space="0" w:color="auto"/>
              <w:left w:val="single" w:sz="4" w:space="0" w:color="auto"/>
              <w:bottom w:val="single" w:sz="4" w:space="0" w:color="auto"/>
              <w:right w:val="single" w:sz="4" w:space="0" w:color="auto"/>
            </w:tcBorders>
            <w:shd w:val="clear" w:color="auto" w:fill="D8D8D8"/>
          </w:tcPr>
          <w:p w:rsidR="00014F48" w:rsidRPr="00A31211" w:rsidRDefault="00014F48" w:rsidP="00014F48">
            <w:pPr>
              <w:spacing w:before="60" w:after="60"/>
              <w:rPr>
                <w:rFonts w:cs="Arial"/>
                <w:b/>
                <w:sz w:val="20"/>
                <w:lang w:val="pt-BR"/>
              </w:rPr>
            </w:pPr>
            <w:r w:rsidRPr="00A31211">
              <w:rPr>
                <w:rFonts w:cs="Arial"/>
                <w:b/>
                <w:sz w:val="20"/>
                <w:lang w:val="pt-BR"/>
              </w:rPr>
              <w:t>Farmacologia Especial de Sistemas 2</w:t>
            </w:r>
            <w:r>
              <w:rPr>
                <w:rFonts w:cs="Arial"/>
                <w:b/>
                <w:sz w:val="20"/>
                <w:lang w:val="pt-BR"/>
              </w:rPr>
              <w:t>:</w:t>
            </w:r>
          </w:p>
          <w:p w:rsidR="00014F48" w:rsidRPr="0014459B" w:rsidRDefault="00014F48" w:rsidP="00014F48">
            <w:pPr>
              <w:spacing w:before="60" w:after="60"/>
              <w:rPr>
                <w:rFonts w:cs="Arial"/>
                <w:sz w:val="20"/>
                <w:lang w:val="pt-BR"/>
              </w:rPr>
            </w:pPr>
            <w:r>
              <w:rPr>
                <w:rFonts w:cs="Arial"/>
                <w:sz w:val="20"/>
                <w:lang w:val="pt-BR"/>
              </w:rPr>
              <w:t>- Anti-Bacterianos</w:t>
            </w:r>
          </w:p>
        </w:tc>
        <w:tc>
          <w:tcPr>
            <w:tcW w:w="1153" w:type="dxa"/>
            <w:tcBorders>
              <w:top w:val="single" w:sz="4" w:space="0" w:color="auto"/>
              <w:left w:val="single" w:sz="4" w:space="0" w:color="auto"/>
              <w:bottom w:val="single" w:sz="4" w:space="0" w:color="auto"/>
              <w:right w:val="single" w:sz="4" w:space="0" w:color="auto"/>
            </w:tcBorders>
            <w:shd w:val="clear" w:color="auto" w:fill="D8D8D8"/>
          </w:tcPr>
          <w:p w:rsidR="00014F48" w:rsidRPr="000F652E" w:rsidRDefault="00014F48" w:rsidP="00014F48">
            <w:pPr>
              <w:spacing w:before="60" w:after="60"/>
              <w:jc w:val="center"/>
              <w:rPr>
                <w:rFonts w:cs="Arial"/>
                <w:sz w:val="20"/>
                <w:lang w:val="pt-BR"/>
              </w:rPr>
            </w:pPr>
            <w:r>
              <w:rPr>
                <w:rFonts w:cs="Arial"/>
                <w:sz w:val="20"/>
                <w:lang w:val="pt-BR"/>
              </w:rPr>
              <w:t>2h</w:t>
            </w:r>
          </w:p>
        </w:tc>
        <w:tc>
          <w:tcPr>
            <w:tcW w:w="1901" w:type="dxa"/>
            <w:tcBorders>
              <w:top w:val="single" w:sz="4" w:space="0" w:color="auto"/>
              <w:left w:val="single" w:sz="4" w:space="0" w:color="auto"/>
              <w:bottom w:val="single" w:sz="4" w:space="0" w:color="auto"/>
            </w:tcBorders>
            <w:shd w:val="clear" w:color="auto" w:fill="D8D8D8"/>
          </w:tcPr>
          <w:p w:rsidR="00014F48" w:rsidRPr="000F652E" w:rsidRDefault="00014F48" w:rsidP="00014F48">
            <w:pPr>
              <w:spacing w:before="60" w:after="60"/>
              <w:jc w:val="center"/>
              <w:rPr>
                <w:sz w:val="20"/>
                <w:lang w:val="pt-BR"/>
              </w:rPr>
            </w:pPr>
            <w:r>
              <w:rPr>
                <w:rFonts w:cs="Arial"/>
                <w:sz w:val="20"/>
                <w:lang w:val="pt-PT"/>
              </w:rPr>
              <w:t>Teórica</w:t>
            </w:r>
          </w:p>
        </w:tc>
      </w:tr>
      <w:tr w:rsidR="00014F48" w:rsidRPr="005846D8" w:rsidTr="004D2CF5">
        <w:tc>
          <w:tcPr>
            <w:tcW w:w="1121" w:type="dxa"/>
            <w:tcBorders>
              <w:top w:val="single" w:sz="4" w:space="0" w:color="auto"/>
              <w:bottom w:val="single" w:sz="4" w:space="0" w:color="auto"/>
              <w:right w:val="single" w:sz="4" w:space="0" w:color="auto"/>
            </w:tcBorders>
          </w:tcPr>
          <w:p w:rsidR="00014F48" w:rsidRPr="00C37173" w:rsidRDefault="00014F48" w:rsidP="00014F48">
            <w:pPr>
              <w:spacing w:before="60" w:after="60"/>
              <w:rPr>
                <w:rFonts w:cs="Arial"/>
                <w:sz w:val="20"/>
                <w:lang w:val="pt-PT"/>
              </w:rPr>
            </w:pPr>
          </w:p>
        </w:tc>
        <w:tc>
          <w:tcPr>
            <w:tcW w:w="1071" w:type="dxa"/>
            <w:tcBorders>
              <w:top w:val="single" w:sz="4" w:space="0" w:color="auto"/>
              <w:left w:val="single" w:sz="4" w:space="0" w:color="auto"/>
              <w:bottom w:val="single" w:sz="4" w:space="0" w:color="auto"/>
              <w:right w:val="single" w:sz="4" w:space="0" w:color="auto"/>
            </w:tcBorders>
          </w:tcPr>
          <w:p w:rsidR="00014F48" w:rsidRPr="0014459B" w:rsidRDefault="00014F48" w:rsidP="00014F48">
            <w:pPr>
              <w:spacing w:before="60" w:after="60"/>
              <w:jc w:val="center"/>
              <w:rPr>
                <w:rFonts w:cs="Arial"/>
                <w:sz w:val="20"/>
                <w:lang w:val="pt-PT"/>
              </w:rPr>
            </w:pPr>
            <w:r w:rsidRPr="0014459B">
              <w:rPr>
                <w:rFonts w:cs="Arial"/>
                <w:sz w:val="20"/>
                <w:lang w:val="pt-PT"/>
              </w:rPr>
              <w:t>20</w:t>
            </w:r>
          </w:p>
        </w:tc>
        <w:tc>
          <w:tcPr>
            <w:tcW w:w="4666" w:type="dxa"/>
            <w:tcBorders>
              <w:top w:val="single" w:sz="4" w:space="0" w:color="auto"/>
              <w:left w:val="single" w:sz="4" w:space="0" w:color="auto"/>
              <w:bottom w:val="single" w:sz="4" w:space="0" w:color="auto"/>
              <w:right w:val="single" w:sz="4" w:space="0" w:color="auto"/>
            </w:tcBorders>
          </w:tcPr>
          <w:p w:rsidR="00014F48" w:rsidRPr="00A31211" w:rsidRDefault="00014F48" w:rsidP="00014F48">
            <w:pPr>
              <w:spacing w:before="60" w:after="60"/>
              <w:rPr>
                <w:rFonts w:cs="Arial"/>
                <w:b/>
                <w:sz w:val="20"/>
                <w:lang w:val="pt-BR"/>
              </w:rPr>
            </w:pPr>
            <w:r w:rsidRPr="00CD3F1A">
              <w:rPr>
                <w:rFonts w:cs="Arial"/>
                <w:b/>
                <w:sz w:val="20"/>
                <w:lang w:val="pt-BR"/>
              </w:rPr>
              <w:t>Farmacologia</w:t>
            </w:r>
            <w:r>
              <w:rPr>
                <w:rFonts w:cs="Arial"/>
                <w:b/>
                <w:sz w:val="20"/>
                <w:lang w:val="pt-BR"/>
              </w:rPr>
              <w:t xml:space="preserve"> </w:t>
            </w:r>
            <w:r w:rsidRPr="00A31211">
              <w:rPr>
                <w:rFonts w:cs="Arial"/>
                <w:b/>
                <w:sz w:val="20"/>
                <w:lang w:val="pt-BR"/>
              </w:rPr>
              <w:t>Especial de Sistemas 3</w:t>
            </w:r>
            <w:r>
              <w:rPr>
                <w:rFonts w:cs="Arial"/>
                <w:b/>
                <w:sz w:val="20"/>
                <w:lang w:val="pt-BR"/>
              </w:rPr>
              <w:t>:</w:t>
            </w:r>
          </w:p>
          <w:p w:rsidR="00014F48" w:rsidRDefault="00014F48" w:rsidP="00014F48">
            <w:pPr>
              <w:spacing w:before="60" w:after="60"/>
              <w:rPr>
                <w:rFonts w:cs="Arial"/>
                <w:sz w:val="20"/>
                <w:lang w:val="pt-BR"/>
              </w:rPr>
            </w:pPr>
            <w:r>
              <w:rPr>
                <w:rFonts w:cs="Arial"/>
                <w:sz w:val="20"/>
                <w:lang w:val="pt-BR"/>
              </w:rPr>
              <w:t>- Anti-Parasitários</w:t>
            </w:r>
          </w:p>
          <w:p w:rsidR="00014F48" w:rsidRDefault="00014F48" w:rsidP="00014F48">
            <w:pPr>
              <w:spacing w:before="60" w:after="60"/>
              <w:rPr>
                <w:rFonts w:cs="Arial"/>
                <w:sz w:val="20"/>
                <w:lang w:val="pt-BR"/>
              </w:rPr>
            </w:pPr>
            <w:r>
              <w:rPr>
                <w:rFonts w:cs="Arial"/>
                <w:sz w:val="20"/>
                <w:lang w:val="pt-BR"/>
              </w:rPr>
              <w:t>- Anti-Fúngicos</w:t>
            </w:r>
          </w:p>
          <w:p w:rsidR="00014F48" w:rsidRPr="0014459B" w:rsidRDefault="00014F48" w:rsidP="00014F48">
            <w:pPr>
              <w:spacing w:before="60" w:after="60"/>
              <w:rPr>
                <w:rFonts w:cs="Arial"/>
                <w:sz w:val="20"/>
                <w:lang w:val="pt-BR"/>
              </w:rPr>
            </w:pPr>
            <w:r>
              <w:rPr>
                <w:rFonts w:cs="Arial"/>
                <w:sz w:val="20"/>
                <w:lang w:val="pt-BR"/>
              </w:rPr>
              <w:t>- Anti-Virais</w:t>
            </w:r>
          </w:p>
        </w:tc>
        <w:tc>
          <w:tcPr>
            <w:tcW w:w="1153" w:type="dxa"/>
            <w:tcBorders>
              <w:top w:val="single" w:sz="4" w:space="0" w:color="auto"/>
              <w:left w:val="single" w:sz="4" w:space="0" w:color="auto"/>
              <w:bottom w:val="single" w:sz="4" w:space="0" w:color="auto"/>
              <w:right w:val="single" w:sz="4" w:space="0" w:color="auto"/>
            </w:tcBorders>
          </w:tcPr>
          <w:p w:rsidR="00014F48" w:rsidRPr="0014459B" w:rsidRDefault="00014F48" w:rsidP="00014F48">
            <w:pPr>
              <w:spacing w:before="60" w:after="60"/>
              <w:jc w:val="center"/>
              <w:rPr>
                <w:rFonts w:cs="Arial"/>
                <w:sz w:val="20"/>
                <w:lang w:val="pt-PT"/>
              </w:rPr>
            </w:pPr>
            <w:r>
              <w:rPr>
                <w:rFonts w:cs="Arial"/>
                <w:sz w:val="20"/>
                <w:lang w:val="pt-PT"/>
              </w:rPr>
              <w:t>2h</w:t>
            </w:r>
          </w:p>
        </w:tc>
        <w:tc>
          <w:tcPr>
            <w:tcW w:w="1901" w:type="dxa"/>
            <w:tcBorders>
              <w:top w:val="single" w:sz="4" w:space="0" w:color="auto"/>
              <w:left w:val="single" w:sz="4" w:space="0" w:color="auto"/>
              <w:bottom w:val="single" w:sz="4" w:space="0" w:color="auto"/>
            </w:tcBorders>
          </w:tcPr>
          <w:p w:rsidR="00014F48" w:rsidRPr="0014459B" w:rsidRDefault="00014F48" w:rsidP="00014F48">
            <w:pPr>
              <w:spacing w:before="60" w:after="60"/>
              <w:jc w:val="center"/>
              <w:rPr>
                <w:sz w:val="20"/>
              </w:rPr>
            </w:pPr>
            <w:r>
              <w:rPr>
                <w:sz w:val="20"/>
              </w:rPr>
              <w:t>Teórica</w:t>
            </w:r>
          </w:p>
        </w:tc>
      </w:tr>
      <w:tr w:rsidR="00014F48" w:rsidRPr="005846D8" w:rsidTr="004D2CF5">
        <w:tc>
          <w:tcPr>
            <w:tcW w:w="1121" w:type="dxa"/>
            <w:tcBorders>
              <w:top w:val="single" w:sz="4" w:space="0" w:color="auto"/>
              <w:bottom w:val="single" w:sz="4" w:space="0" w:color="auto"/>
              <w:right w:val="single" w:sz="4" w:space="0" w:color="auto"/>
            </w:tcBorders>
            <w:shd w:val="clear" w:color="auto" w:fill="D8D8D8"/>
          </w:tcPr>
          <w:p w:rsidR="00014F48" w:rsidRPr="00C37173" w:rsidRDefault="00014F48" w:rsidP="00014F48">
            <w:pPr>
              <w:spacing w:before="60" w:after="60"/>
              <w:rPr>
                <w:rFonts w:cs="Arial"/>
                <w:sz w:val="20"/>
                <w:lang w:val="pt-PT"/>
              </w:rPr>
            </w:pPr>
          </w:p>
        </w:tc>
        <w:tc>
          <w:tcPr>
            <w:tcW w:w="1071" w:type="dxa"/>
            <w:tcBorders>
              <w:top w:val="single" w:sz="4" w:space="0" w:color="auto"/>
              <w:left w:val="single" w:sz="4" w:space="0" w:color="auto"/>
              <w:bottom w:val="single" w:sz="4" w:space="0" w:color="auto"/>
              <w:right w:val="single" w:sz="4" w:space="0" w:color="auto"/>
            </w:tcBorders>
            <w:shd w:val="clear" w:color="auto" w:fill="D8D8D8"/>
          </w:tcPr>
          <w:p w:rsidR="00014F48" w:rsidRPr="0014459B" w:rsidRDefault="00014F48" w:rsidP="00014F48">
            <w:pPr>
              <w:spacing w:before="60" w:after="60"/>
              <w:jc w:val="center"/>
              <w:rPr>
                <w:rFonts w:cs="Arial"/>
                <w:sz w:val="20"/>
                <w:lang w:val="pt-PT"/>
              </w:rPr>
            </w:pPr>
            <w:r w:rsidRPr="0014459B">
              <w:rPr>
                <w:rFonts w:cs="Arial"/>
                <w:sz w:val="20"/>
                <w:lang w:val="pt-PT"/>
              </w:rPr>
              <w:t>21</w:t>
            </w:r>
          </w:p>
        </w:tc>
        <w:tc>
          <w:tcPr>
            <w:tcW w:w="4666" w:type="dxa"/>
            <w:tcBorders>
              <w:top w:val="single" w:sz="4" w:space="0" w:color="auto"/>
              <w:left w:val="single" w:sz="4" w:space="0" w:color="auto"/>
              <w:bottom w:val="single" w:sz="4" w:space="0" w:color="auto"/>
              <w:right w:val="single" w:sz="4" w:space="0" w:color="auto"/>
            </w:tcBorders>
            <w:shd w:val="clear" w:color="auto" w:fill="D8D8D8"/>
          </w:tcPr>
          <w:p w:rsidR="00014F48" w:rsidRPr="00A31211" w:rsidRDefault="00014F48" w:rsidP="00014F48">
            <w:pPr>
              <w:spacing w:before="60" w:after="60"/>
              <w:rPr>
                <w:rFonts w:cs="Arial"/>
                <w:b/>
                <w:sz w:val="20"/>
                <w:lang w:val="pt-BR"/>
              </w:rPr>
            </w:pPr>
            <w:r w:rsidRPr="00A31211">
              <w:rPr>
                <w:rFonts w:cs="Arial"/>
                <w:b/>
                <w:sz w:val="20"/>
                <w:lang w:val="pt-BR"/>
              </w:rPr>
              <w:t>Farmacologia Especial de Sistemas 4:</w:t>
            </w:r>
          </w:p>
          <w:p w:rsidR="00014F48" w:rsidRDefault="00014F48" w:rsidP="00014F48">
            <w:pPr>
              <w:spacing w:before="60" w:after="60"/>
              <w:rPr>
                <w:rFonts w:cs="Arial"/>
                <w:sz w:val="20"/>
                <w:lang w:val="pt-BR"/>
              </w:rPr>
            </w:pPr>
            <w:r>
              <w:rPr>
                <w:rFonts w:cs="Arial"/>
                <w:sz w:val="20"/>
                <w:lang w:val="pt-BR"/>
              </w:rPr>
              <w:t>- Sistema Nervoso</w:t>
            </w:r>
          </w:p>
          <w:p w:rsidR="00014F48" w:rsidRDefault="00014F48" w:rsidP="00014F48">
            <w:pPr>
              <w:spacing w:before="60" w:after="60"/>
              <w:rPr>
                <w:rFonts w:cs="Arial"/>
                <w:sz w:val="20"/>
                <w:lang w:val="pt-BR"/>
              </w:rPr>
            </w:pPr>
            <w:r>
              <w:rPr>
                <w:rFonts w:cs="Arial"/>
                <w:sz w:val="20"/>
                <w:lang w:val="pt-BR"/>
              </w:rPr>
              <w:t>-Aparelho Cardiovascular</w:t>
            </w:r>
          </w:p>
          <w:p w:rsidR="00014F48" w:rsidRDefault="00014F48" w:rsidP="00014F48">
            <w:pPr>
              <w:spacing w:before="60" w:after="60"/>
              <w:rPr>
                <w:rFonts w:cs="Arial"/>
                <w:sz w:val="20"/>
                <w:lang w:val="pt-BR"/>
              </w:rPr>
            </w:pPr>
            <w:r>
              <w:rPr>
                <w:rFonts w:cs="Arial"/>
                <w:sz w:val="20"/>
                <w:lang w:val="pt-BR"/>
              </w:rPr>
              <w:t>-Aparelho Respiratório</w:t>
            </w:r>
          </w:p>
          <w:p w:rsidR="00014F48" w:rsidRPr="0014459B" w:rsidRDefault="00014F48" w:rsidP="00014F48">
            <w:pPr>
              <w:spacing w:before="60" w:after="60"/>
              <w:rPr>
                <w:rFonts w:cs="Arial"/>
                <w:sz w:val="20"/>
                <w:lang w:val="pt-BR"/>
              </w:rPr>
            </w:pPr>
            <w:r>
              <w:rPr>
                <w:rFonts w:cs="Arial"/>
                <w:sz w:val="20"/>
                <w:lang w:val="pt-BR"/>
              </w:rPr>
              <w:t>-Aparelho Gastrointestinal</w:t>
            </w:r>
          </w:p>
        </w:tc>
        <w:tc>
          <w:tcPr>
            <w:tcW w:w="1153" w:type="dxa"/>
            <w:tcBorders>
              <w:top w:val="single" w:sz="4" w:space="0" w:color="auto"/>
              <w:left w:val="single" w:sz="4" w:space="0" w:color="auto"/>
              <w:bottom w:val="single" w:sz="4" w:space="0" w:color="auto"/>
              <w:right w:val="single" w:sz="4" w:space="0" w:color="auto"/>
            </w:tcBorders>
            <w:shd w:val="clear" w:color="auto" w:fill="D8D8D8"/>
          </w:tcPr>
          <w:p w:rsidR="00014F48" w:rsidRPr="0014459B" w:rsidRDefault="00014F48" w:rsidP="00014F48">
            <w:pPr>
              <w:spacing w:before="60" w:after="60"/>
              <w:jc w:val="center"/>
              <w:rPr>
                <w:rFonts w:cs="Arial"/>
                <w:sz w:val="20"/>
                <w:lang w:val="pt-PT"/>
              </w:rPr>
            </w:pPr>
            <w:r>
              <w:rPr>
                <w:rFonts w:cs="Arial"/>
                <w:sz w:val="20"/>
                <w:lang w:val="pt-PT"/>
              </w:rPr>
              <w:t>2h</w:t>
            </w:r>
          </w:p>
        </w:tc>
        <w:tc>
          <w:tcPr>
            <w:tcW w:w="1901" w:type="dxa"/>
            <w:tcBorders>
              <w:top w:val="single" w:sz="4" w:space="0" w:color="auto"/>
              <w:left w:val="single" w:sz="4" w:space="0" w:color="auto"/>
              <w:bottom w:val="single" w:sz="4" w:space="0" w:color="auto"/>
            </w:tcBorders>
            <w:shd w:val="clear" w:color="auto" w:fill="D8D8D8"/>
          </w:tcPr>
          <w:p w:rsidR="00014F48" w:rsidRPr="0014459B" w:rsidRDefault="00014F48" w:rsidP="00014F48">
            <w:pPr>
              <w:spacing w:before="60" w:after="60"/>
              <w:jc w:val="center"/>
              <w:rPr>
                <w:sz w:val="20"/>
              </w:rPr>
            </w:pPr>
            <w:r>
              <w:rPr>
                <w:sz w:val="20"/>
              </w:rPr>
              <w:t>Teórica</w:t>
            </w:r>
          </w:p>
        </w:tc>
      </w:tr>
      <w:tr w:rsidR="00014F48" w:rsidRPr="000F652E" w:rsidTr="004D2CF5">
        <w:tc>
          <w:tcPr>
            <w:tcW w:w="1121" w:type="dxa"/>
            <w:tcBorders>
              <w:top w:val="single" w:sz="4" w:space="0" w:color="auto"/>
              <w:bottom w:val="single" w:sz="4" w:space="0" w:color="auto"/>
              <w:right w:val="single" w:sz="4" w:space="0" w:color="auto"/>
            </w:tcBorders>
          </w:tcPr>
          <w:p w:rsidR="00014F48" w:rsidRPr="00C37173" w:rsidRDefault="00014F48" w:rsidP="00014F48">
            <w:pPr>
              <w:spacing w:before="60" w:after="60"/>
              <w:rPr>
                <w:rFonts w:cs="Arial"/>
                <w:sz w:val="20"/>
                <w:lang w:val="pt-PT"/>
              </w:rPr>
            </w:pPr>
          </w:p>
        </w:tc>
        <w:tc>
          <w:tcPr>
            <w:tcW w:w="1071" w:type="dxa"/>
            <w:tcBorders>
              <w:top w:val="single" w:sz="4" w:space="0" w:color="auto"/>
              <w:left w:val="single" w:sz="4" w:space="0" w:color="auto"/>
              <w:bottom w:val="single" w:sz="4" w:space="0" w:color="auto"/>
              <w:right w:val="single" w:sz="4" w:space="0" w:color="auto"/>
            </w:tcBorders>
          </w:tcPr>
          <w:p w:rsidR="00014F48" w:rsidRPr="0014459B" w:rsidRDefault="00014F48" w:rsidP="00014F48">
            <w:pPr>
              <w:spacing w:before="60" w:after="60"/>
              <w:jc w:val="center"/>
              <w:rPr>
                <w:rFonts w:cs="Arial"/>
                <w:sz w:val="20"/>
                <w:lang w:val="pt-PT"/>
              </w:rPr>
            </w:pPr>
            <w:r w:rsidRPr="0014459B">
              <w:rPr>
                <w:rFonts w:cs="Arial"/>
                <w:sz w:val="20"/>
                <w:lang w:val="pt-PT"/>
              </w:rPr>
              <w:t>22</w:t>
            </w:r>
          </w:p>
        </w:tc>
        <w:tc>
          <w:tcPr>
            <w:tcW w:w="4666" w:type="dxa"/>
            <w:tcBorders>
              <w:top w:val="single" w:sz="4" w:space="0" w:color="auto"/>
              <w:left w:val="single" w:sz="4" w:space="0" w:color="auto"/>
              <w:bottom w:val="single" w:sz="4" w:space="0" w:color="auto"/>
              <w:right w:val="single" w:sz="4" w:space="0" w:color="auto"/>
            </w:tcBorders>
          </w:tcPr>
          <w:p w:rsidR="00014F48" w:rsidRPr="00A31211" w:rsidRDefault="00014F48" w:rsidP="00014F48">
            <w:pPr>
              <w:spacing w:before="60" w:after="60"/>
              <w:rPr>
                <w:rFonts w:cs="Arial"/>
                <w:b/>
                <w:sz w:val="20"/>
                <w:lang w:val="pt-BR"/>
              </w:rPr>
            </w:pPr>
            <w:r w:rsidRPr="00A31211">
              <w:rPr>
                <w:rFonts w:cs="Arial"/>
                <w:b/>
                <w:sz w:val="20"/>
                <w:lang w:val="pt-BR"/>
              </w:rPr>
              <w:t>Farmacologia Especial de Sistemas 5:</w:t>
            </w:r>
          </w:p>
          <w:p w:rsidR="00014F48" w:rsidRDefault="00014F48" w:rsidP="00014F48">
            <w:pPr>
              <w:spacing w:before="60" w:after="60"/>
              <w:rPr>
                <w:rFonts w:cs="Arial"/>
                <w:sz w:val="20"/>
                <w:lang w:val="pt-BR"/>
              </w:rPr>
            </w:pPr>
            <w:r>
              <w:rPr>
                <w:rFonts w:cs="Arial"/>
                <w:sz w:val="20"/>
                <w:lang w:val="pt-BR"/>
              </w:rPr>
              <w:t>- Aparelho Genito-Urinário</w:t>
            </w:r>
          </w:p>
          <w:p w:rsidR="00014F48" w:rsidRPr="0014459B" w:rsidRDefault="00014F48" w:rsidP="00014F48">
            <w:pPr>
              <w:spacing w:before="60" w:after="60"/>
              <w:rPr>
                <w:rFonts w:cs="Arial"/>
                <w:sz w:val="20"/>
                <w:lang w:val="pt-BR"/>
              </w:rPr>
            </w:pPr>
            <w:r>
              <w:rPr>
                <w:rFonts w:cs="Arial"/>
                <w:sz w:val="20"/>
                <w:lang w:val="pt-BR"/>
              </w:rPr>
              <w:t>-Equilíbrio Hidro-Electrolítico e Ácido- Base</w:t>
            </w:r>
          </w:p>
        </w:tc>
        <w:tc>
          <w:tcPr>
            <w:tcW w:w="1153" w:type="dxa"/>
            <w:tcBorders>
              <w:top w:val="single" w:sz="4" w:space="0" w:color="auto"/>
              <w:left w:val="single" w:sz="4" w:space="0" w:color="auto"/>
              <w:bottom w:val="single" w:sz="4" w:space="0" w:color="auto"/>
              <w:right w:val="single" w:sz="4" w:space="0" w:color="auto"/>
            </w:tcBorders>
            <w:shd w:val="clear" w:color="auto" w:fill="auto"/>
          </w:tcPr>
          <w:p w:rsidR="00014F48" w:rsidRPr="000F652E" w:rsidRDefault="00014F48" w:rsidP="00014F48">
            <w:pPr>
              <w:spacing w:before="60" w:after="60"/>
              <w:jc w:val="center"/>
              <w:rPr>
                <w:rFonts w:cs="Arial"/>
                <w:sz w:val="20"/>
                <w:lang w:val="pt-BR"/>
              </w:rPr>
            </w:pPr>
            <w:r>
              <w:rPr>
                <w:rFonts w:cs="Arial"/>
                <w:sz w:val="20"/>
                <w:lang w:val="pt-BR"/>
              </w:rPr>
              <w:t>2h</w:t>
            </w:r>
          </w:p>
        </w:tc>
        <w:tc>
          <w:tcPr>
            <w:tcW w:w="1901" w:type="dxa"/>
            <w:tcBorders>
              <w:top w:val="single" w:sz="4" w:space="0" w:color="auto"/>
              <w:left w:val="single" w:sz="4" w:space="0" w:color="auto"/>
              <w:bottom w:val="single" w:sz="4" w:space="0" w:color="auto"/>
            </w:tcBorders>
          </w:tcPr>
          <w:p w:rsidR="00014F48" w:rsidRPr="000F652E" w:rsidRDefault="00014F48" w:rsidP="00014F48">
            <w:pPr>
              <w:spacing w:before="60" w:after="60"/>
              <w:jc w:val="center"/>
              <w:rPr>
                <w:sz w:val="20"/>
                <w:lang w:val="pt-BR"/>
              </w:rPr>
            </w:pPr>
            <w:r>
              <w:rPr>
                <w:sz w:val="20"/>
              </w:rPr>
              <w:t>Teórica</w:t>
            </w:r>
          </w:p>
        </w:tc>
      </w:tr>
      <w:tr w:rsidR="00014F48" w:rsidRPr="000F652E" w:rsidTr="004D2CF5">
        <w:tc>
          <w:tcPr>
            <w:tcW w:w="1121" w:type="dxa"/>
            <w:tcBorders>
              <w:top w:val="single" w:sz="4" w:space="0" w:color="auto"/>
              <w:bottom w:val="single" w:sz="4" w:space="0" w:color="auto"/>
              <w:right w:val="single" w:sz="4" w:space="0" w:color="auto"/>
            </w:tcBorders>
            <w:shd w:val="clear" w:color="auto" w:fill="D8D8D8"/>
          </w:tcPr>
          <w:p w:rsidR="00014F48" w:rsidRPr="00C37173" w:rsidRDefault="00014F48" w:rsidP="00014F48">
            <w:pPr>
              <w:spacing w:before="60" w:after="60"/>
              <w:rPr>
                <w:rFonts w:cs="Arial"/>
                <w:sz w:val="20"/>
                <w:lang w:val="pt-PT"/>
              </w:rPr>
            </w:pPr>
          </w:p>
        </w:tc>
        <w:tc>
          <w:tcPr>
            <w:tcW w:w="1071" w:type="dxa"/>
            <w:tcBorders>
              <w:top w:val="single" w:sz="4" w:space="0" w:color="auto"/>
              <w:left w:val="single" w:sz="4" w:space="0" w:color="auto"/>
              <w:bottom w:val="single" w:sz="4" w:space="0" w:color="auto"/>
              <w:right w:val="single" w:sz="4" w:space="0" w:color="auto"/>
            </w:tcBorders>
            <w:shd w:val="clear" w:color="auto" w:fill="D8D8D8"/>
          </w:tcPr>
          <w:p w:rsidR="00014F48" w:rsidRPr="0014459B" w:rsidRDefault="00014F48" w:rsidP="00014F48">
            <w:pPr>
              <w:spacing w:before="60" w:after="60"/>
              <w:jc w:val="center"/>
              <w:rPr>
                <w:sz w:val="20"/>
                <w:lang w:val="pt-BR"/>
              </w:rPr>
            </w:pPr>
            <w:r w:rsidRPr="0014459B">
              <w:rPr>
                <w:rFonts w:cs="Arial"/>
                <w:sz w:val="20"/>
                <w:lang w:val="pt-PT"/>
              </w:rPr>
              <w:t>2</w:t>
            </w:r>
            <w:r>
              <w:rPr>
                <w:rFonts w:cs="Arial"/>
                <w:sz w:val="20"/>
                <w:lang w:val="pt-PT"/>
              </w:rPr>
              <w:t>3</w:t>
            </w:r>
          </w:p>
        </w:tc>
        <w:tc>
          <w:tcPr>
            <w:tcW w:w="4666" w:type="dxa"/>
            <w:tcBorders>
              <w:top w:val="single" w:sz="4" w:space="0" w:color="auto"/>
              <w:left w:val="single" w:sz="4" w:space="0" w:color="auto"/>
              <w:bottom w:val="single" w:sz="4" w:space="0" w:color="auto"/>
              <w:right w:val="single" w:sz="4" w:space="0" w:color="auto"/>
            </w:tcBorders>
            <w:shd w:val="clear" w:color="auto" w:fill="D8D8D8"/>
          </w:tcPr>
          <w:p w:rsidR="00014F48" w:rsidRPr="00A31211" w:rsidRDefault="00014F48" w:rsidP="00014F48">
            <w:pPr>
              <w:spacing w:before="60" w:after="60"/>
              <w:rPr>
                <w:rFonts w:cs="Arial"/>
                <w:b/>
                <w:sz w:val="20"/>
                <w:lang w:val="pt-BR"/>
              </w:rPr>
            </w:pPr>
            <w:r w:rsidRPr="00A31211">
              <w:rPr>
                <w:rFonts w:cs="Arial"/>
                <w:b/>
                <w:sz w:val="20"/>
                <w:lang w:val="pt-BR"/>
              </w:rPr>
              <w:t>Farmacologia Especial de Sistemas 6:</w:t>
            </w:r>
          </w:p>
          <w:p w:rsidR="00014F48" w:rsidRDefault="00014F48" w:rsidP="00014F48">
            <w:pPr>
              <w:spacing w:before="60" w:after="60"/>
              <w:rPr>
                <w:rFonts w:cs="Arial"/>
                <w:sz w:val="20"/>
                <w:lang w:val="pt-BR"/>
              </w:rPr>
            </w:pPr>
            <w:r>
              <w:rPr>
                <w:rFonts w:cs="Arial"/>
                <w:sz w:val="20"/>
                <w:lang w:val="pt-BR"/>
              </w:rPr>
              <w:t>- Nutrição, Vitaminas e Minerais</w:t>
            </w:r>
          </w:p>
          <w:p w:rsidR="00014F48" w:rsidRDefault="00014F48" w:rsidP="00014F48">
            <w:pPr>
              <w:spacing w:before="60" w:after="60"/>
              <w:rPr>
                <w:rFonts w:cs="Arial"/>
                <w:sz w:val="20"/>
                <w:lang w:val="pt-BR"/>
              </w:rPr>
            </w:pPr>
            <w:r>
              <w:rPr>
                <w:rFonts w:cs="Arial"/>
                <w:sz w:val="20"/>
                <w:lang w:val="pt-BR"/>
              </w:rPr>
              <w:t xml:space="preserve">- Analgésicos/Anti-Piréticos, Anti-Inflamatórios e </w:t>
            </w:r>
            <w:r>
              <w:rPr>
                <w:rFonts w:cs="Arial"/>
                <w:sz w:val="20"/>
                <w:lang w:val="pt-BR"/>
              </w:rPr>
              <w:lastRenderedPageBreak/>
              <w:t>Anti-Alérgicos</w:t>
            </w:r>
          </w:p>
          <w:p w:rsidR="00014F48" w:rsidRPr="0014459B" w:rsidRDefault="00014F48" w:rsidP="00014F48">
            <w:pPr>
              <w:spacing w:before="60" w:after="60"/>
              <w:rPr>
                <w:rFonts w:cs="Arial"/>
                <w:sz w:val="20"/>
                <w:lang w:val="pt-BR"/>
              </w:rPr>
            </w:pPr>
            <w:r>
              <w:rPr>
                <w:rFonts w:cs="Arial"/>
                <w:sz w:val="20"/>
                <w:lang w:val="pt-BR"/>
              </w:rPr>
              <w:t>- Programa de Medicamentos Essenciais e Receitas Médicas</w:t>
            </w:r>
          </w:p>
        </w:tc>
        <w:tc>
          <w:tcPr>
            <w:tcW w:w="1153" w:type="dxa"/>
            <w:tcBorders>
              <w:top w:val="single" w:sz="4" w:space="0" w:color="auto"/>
              <w:left w:val="single" w:sz="4" w:space="0" w:color="auto"/>
              <w:bottom w:val="single" w:sz="4" w:space="0" w:color="auto"/>
              <w:right w:val="single" w:sz="4" w:space="0" w:color="auto"/>
            </w:tcBorders>
            <w:shd w:val="clear" w:color="auto" w:fill="D8D8D8"/>
          </w:tcPr>
          <w:p w:rsidR="00014F48" w:rsidRPr="0014459B" w:rsidRDefault="00014F48" w:rsidP="00014F48">
            <w:pPr>
              <w:spacing w:before="60" w:after="60"/>
              <w:jc w:val="center"/>
              <w:rPr>
                <w:rFonts w:cs="Arial"/>
                <w:sz w:val="20"/>
                <w:lang w:val="pt-PT"/>
              </w:rPr>
            </w:pPr>
            <w:r>
              <w:rPr>
                <w:rFonts w:cs="Arial"/>
                <w:sz w:val="20"/>
                <w:lang w:val="pt-PT"/>
              </w:rPr>
              <w:lastRenderedPageBreak/>
              <w:t>2h</w:t>
            </w:r>
          </w:p>
        </w:tc>
        <w:tc>
          <w:tcPr>
            <w:tcW w:w="1901" w:type="dxa"/>
            <w:tcBorders>
              <w:top w:val="single" w:sz="4" w:space="0" w:color="auto"/>
              <w:left w:val="single" w:sz="4" w:space="0" w:color="auto"/>
              <w:bottom w:val="single" w:sz="4" w:space="0" w:color="auto"/>
            </w:tcBorders>
            <w:shd w:val="clear" w:color="auto" w:fill="D8D8D8"/>
          </w:tcPr>
          <w:p w:rsidR="00014F48" w:rsidRPr="0014459B" w:rsidRDefault="00014F48" w:rsidP="00014F48">
            <w:pPr>
              <w:spacing w:before="60" w:after="60"/>
              <w:jc w:val="center"/>
              <w:rPr>
                <w:rFonts w:cs="Arial"/>
                <w:sz w:val="20"/>
                <w:lang w:val="pt-PT"/>
              </w:rPr>
            </w:pPr>
            <w:r>
              <w:rPr>
                <w:sz w:val="20"/>
              </w:rPr>
              <w:t>Teórica</w:t>
            </w:r>
          </w:p>
        </w:tc>
      </w:tr>
      <w:tr w:rsidR="00014F48" w:rsidRPr="000F652E" w:rsidTr="004D2CF5">
        <w:tc>
          <w:tcPr>
            <w:tcW w:w="1121" w:type="dxa"/>
            <w:tcBorders>
              <w:top w:val="single" w:sz="4" w:space="0" w:color="auto"/>
              <w:bottom w:val="single" w:sz="4" w:space="0" w:color="auto"/>
              <w:right w:val="single" w:sz="4" w:space="0" w:color="auto"/>
            </w:tcBorders>
            <w:shd w:val="clear" w:color="auto" w:fill="FFFFFF"/>
          </w:tcPr>
          <w:p w:rsidR="00014F48" w:rsidRPr="00C37173" w:rsidRDefault="00014F48" w:rsidP="00014F48">
            <w:pPr>
              <w:spacing w:before="60" w:after="60"/>
              <w:rPr>
                <w:rFonts w:cs="Arial"/>
                <w:sz w:val="20"/>
                <w:lang w:val="pt-PT"/>
              </w:rPr>
            </w:pP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014F48" w:rsidRPr="0014459B" w:rsidRDefault="00014F48" w:rsidP="00014F48">
            <w:pPr>
              <w:spacing w:before="60" w:after="60"/>
              <w:jc w:val="center"/>
              <w:rPr>
                <w:rFonts w:cs="Arial"/>
                <w:sz w:val="20"/>
                <w:lang w:val="pt-PT"/>
              </w:rPr>
            </w:pPr>
            <w:r>
              <w:rPr>
                <w:rFonts w:cs="Arial"/>
                <w:sz w:val="20"/>
                <w:lang w:val="pt-PT"/>
              </w:rPr>
              <w:t>24</w:t>
            </w:r>
          </w:p>
        </w:tc>
        <w:tc>
          <w:tcPr>
            <w:tcW w:w="4666" w:type="dxa"/>
            <w:tcBorders>
              <w:top w:val="single" w:sz="4" w:space="0" w:color="auto"/>
              <w:left w:val="single" w:sz="4" w:space="0" w:color="auto"/>
              <w:bottom w:val="single" w:sz="4" w:space="0" w:color="auto"/>
              <w:right w:val="single" w:sz="4" w:space="0" w:color="auto"/>
            </w:tcBorders>
            <w:shd w:val="clear" w:color="auto" w:fill="FFFFFF"/>
          </w:tcPr>
          <w:p w:rsidR="00014F48" w:rsidRPr="00CD3F1A" w:rsidRDefault="00014F48" w:rsidP="00014F48">
            <w:pPr>
              <w:spacing w:before="60" w:after="60"/>
              <w:rPr>
                <w:b/>
                <w:sz w:val="20"/>
                <w:lang w:val="pt-BR"/>
              </w:rPr>
            </w:pPr>
            <w:r w:rsidRPr="00CD3F1A">
              <w:rPr>
                <w:b/>
                <w:sz w:val="20"/>
                <w:lang w:val="pt-BR"/>
              </w:rPr>
              <w:t>Farmacologia:</w:t>
            </w:r>
          </w:p>
          <w:p w:rsidR="00014F48" w:rsidRPr="0014459B" w:rsidRDefault="00014F48" w:rsidP="00014F48">
            <w:pPr>
              <w:spacing w:before="60" w:after="60"/>
              <w:rPr>
                <w:sz w:val="20"/>
                <w:lang w:val="pt-BR"/>
              </w:rPr>
            </w:pPr>
            <w:r>
              <w:rPr>
                <w:sz w:val="20"/>
                <w:lang w:val="pt-BR"/>
              </w:rPr>
              <w:t xml:space="preserve">- Toxicologia </w:t>
            </w:r>
          </w:p>
        </w:tc>
        <w:tc>
          <w:tcPr>
            <w:tcW w:w="1153" w:type="dxa"/>
            <w:tcBorders>
              <w:top w:val="single" w:sz="4" w:space="0" w:color="auto"/>
              <w:left w:val="single" w:sz="4" w:space="0" w:color="auto"/>
              <w:bottom w:val="single" w:sz="4" w:space="0" w:color="auto"/>
              <w:right w:val="single" w:sz="4" w:space="0" w:color="auto"/>
            </w:tcBorders>
            <w:shd w:val="clear" w:color="auto" w:fill="FFFFFF"/>
          </w:tcPr>
          <w:p w:rsidR="00014F48" w:rsidRPr="0014459B" w:rsidRDefault="00014F48" w:rsidP="00014F48">
            <w:pPr>
              <w:spacing w:before="60" w:after="60"/>
              <w:jc w:val="center"/>
              <w:rPr>
                <w:rFonts w:cs="Arial"/>
                <w:sz w:val="20"/>
                <w:lang w:val="pt-PT"/>
              </w:rPr>
            </w:pPr>
            <w:r>
              <w:rPr>
                <w:rFonts w:cs="Arial"/>
                <w:sz w:val="20"/>
                <w:lang w:val="pt-PT"/>
              </w:rPr>
              <w:t>2h</w:t>
            </w:r>
          </w:p>
        </w:tc>
        <w:tc>
          <w:tcPr>
            <w:tcW w:w="1901" w:type="dxa"/>
            <w:tcBorders>
              <w:top w:val="single" w:sz="4" w:space="0" w:color="auto"/>
              <w:left w:val="single" w:sz="4" w:space="0" w:color="auto"/>
              <w:bottom w:val="single" w:sz="4" w:space="0" w:color="auto"/>
            </w:tcBorders>
            <w:shd w:val="clear" w:color="auto" w:fill="FFFFFF"/>
          </w:tcPr>
          <w:p w:rsidR="00014F48" w:rsidRPr="0014459B" w:rsidRDefault="00014F48" w:rsidP="00014F48">
            <w:pPr>
              <w:spacing w:before="60" w:after="60"/>
              <w:jc w:val="center"/>
              <w:rPr>
                <w:rFonts w:cs="Arial"/>
                <w:i/>
                <w:sz w:val="20"/>
                <w:lang w:val="pt-PT"/>
              </w:rPr>
            </w:pPr>
            <w:r>
              <w:rPr>
                <w:sz w:val="20"/>
              </w:rPr>
              <w:t>Teórica</w:t>
            </w:r>
          </w:p>
        </w:tc>
      </w:tr>
      <w:tr w:rsidR="00014F48" w:rsidRPr="000F652E" w:rsidTr="004D2CF5">
        <w:tc>
          <w:tcPr>
            <w:tcW w:w="1121" w:type="dxa"/>
            <w:tcBorders>
              <w:top w:val="single" w:sz="4" w:space="0" w:color="auto"/>
              <w:bottom w:val="single" w:sz="4" w:space="0" w:color="auto"/>
              <w:right w:val="single" w:sz="4" w:space="0" w:color="auto"/>
            </w:tcBorders>
            <w:shd w:val="clear" w:color="auto" w:fill="D9D9D9"/>
          </w:tcPr>
          <w:p w:rsidR="00014F48" w:rsidRPr="00C37173" w:rsidRDefault="00014F48" w:rsidP="00014F48">
            <w:pPr>
              <w:spacing w:before="60" w:after="60"/>
              <w:rPr>
                <w:rFonts w:cs="Arial"/>
                <w:sz w:val="20"/>
                <w:lang w:val="pt-PT"/>
              </w:rPr>
            </w:pPr>
          </w:p>
        </w:tc>
        <w:tc>
          <w:tcPr>
            <w:tcW w:w="1071" w:type="dxa"/>
            <w:tcBorders>
              <w:top w:val="single" w:sz="4" w:space="0" w:color="auto"/>
              <w:left w:val="single" w:sz="4" w:space="0" w:color="auto"/>
              <w:bottom w:val="single" w:sz="4" w:space="0" w:color="auto"/>
              <w:right w:val="single" w:sz="4" w:space="0" w:color="auto"/>
            </w:tcBorders>
            <w:shd w:val="clear" w:color="auto" w:fill="D9D9D9"/>
          </w:tcPr>
          <w:p w:rsidR="00014F48" w:rsidRDefault="00014F48" w:rsidP="00014F48">
            <w:pPr>
              <w:spacing w:before="60" w:after="60"/>
              <w:jc w:val="center"/>
              <w:rPr>
                <w:rFonts w:cs="Arial"/>
                <w:sz w:val="20"/>
                <w:lang w:val="pt-PT"/>
              </w:rPr>
            </w:pPr>
            <w:r>
              <w:rPr>
                <w:rFonts w:cs="Arial"/>
                <w:sz w:val="20"/>
                <w:lang w:val="pt-PT"/>
              </w:rPr>
              <w:t>25</w:t>
            </w:r>
          </w:p>
        </w:tc>
        <w:tc>
          <w:tcPr>
            <w:tcW w:w="4666" w:type="dxa"/>
            <w:tcBorders>
              <w:top w:val="single" w:sz="4" w:space="0" w:color="auto"/>
              <w:left w:val="single" w:sz="4" w:space="0" w:color="auto"/>
              <w:bottom w:val="single" w:sz="4" w:space="0" w:color="auto"/>
              <w:right w:val="single" w:sz="4" w:space="0" w:color="auto"/>
            </w:tcBorders>
            <w:shd w:val="clear" w:color="auto" w:fill="D9D9D9"/>
          </w:tcPr>
          <w:p w:rsidR="00014F48" w:rsidRPr="00CD3F1A" w:rsidRDefault="00014F48" w:rsidP="00014F48">
            <w:pPr>
              <w:spacing w:before="60" w:after="60"/>
              <w:rPr>
                <w:rFonts w:cs="Arial"/>
                <w:b/>
                <w:sz w:val="20"/>
                <w:lang w:val="pt-BR"/>
              </w:rPr>
            </w:pPr>
            <w:r w:rsidRPr="00CD3F1A">
              <w:rPr>
                <w:rFonts w:cs="Arial"/>
                <w:b/>
                <w:sz w:val="20"/>
                <w:lang w:val="pt-BR"/>
              </w:rPr>
              <w:t>Farmacologia:</w:t>
            </w:r>
          </w:p>
          <w:p w:rsidR="00014F48" w:rsidRPr="00CD3F1A" w:rsidRDefault="00014F48" w:rsidP="00014F48">
            <w:pPr>
              <w:rPr>
                <w:rFonts w:eastAsia="Calibri" w:cs="Arial"/>
                <w:sz w:val="20"/>
                <w:szCs w:val="20"/>
                <w:lang w:val="pt-PT"/>
              </w:rPr>
            </w:pPr>
            <w:r>
              <w:rPr>
                <w:rFonts w:eastAsia="Calibri" w:cs="Arial"/>
                <w:lang w:val="pt-PT"/>
              </w:rPr>
              <w:t xml:space="preserve">- </w:t>
            </w:r>
            <w:r w:rsidRPr="00CD3F1A">
              <w:rPr>
                <w:rFonts w:eastAsia="Calibri" w:cs="Arial"/>
                <w:sz w:val="20"/>
                <w:szCs w:val="20"/>
                <w:lang w:val="pt-PT"/>
              </w:rPr>
              <w:t>Doses e Dosagens</w:t>
            </w:r>
          </w:p>
          <w:p w:rsidR="00014F48" w:rsidRPr="00CD3F1A" w:rsidRDefault="00014F48" w:rsidP="00014F48">
            <w:pPr>
              <w:rPr>
                <w:rFonts w:eastAsia="Calibri" w:cs="Arial"/>
                <w:sz w:val="20"/>
                <w:szCs w:val="20"/>
                <w:lang w:val="pt-PT"/>
              </w:rPr>
            </w:pPr>
            <w:r w:rsidRPr="00CD3F1A">
              <w:rPr>
                <w:rFonts w:eastAsia="Calibri" w:cs="Arial"/>
                <w:sz w:val="20"/>
                <w:szCs w:val="20"/>
                <w:lang w:val="pt-PT"/>
              </w:rPr>
              <w:t>- Receitas Médicas</w:t>
            </w:r>
          </w:p>
          <w:p w:rsidR="00014F48" w:rsidRDefault="00014F48" w:rsidP="00014F48">
            <w:pPr>
              <w:spacing w:before="60" w:after="60"/>
              <w:rPr>
                <w:rFonts w:cs="Arial"/>
                <w:sz w:val="20"/>
                <w:lang w:val="pt-BR"/>
              </w:rPr>
            </w:pPr>
            <w:r w:rsidRPr="00CD3F1A">
              <w:rPr>
                <w:rFonts w:eastAsia="Calibri" w:cs="Arial"/>
                <w:sz w:val="20"/>
                <w:szCs w:val="20"/>
                <w:lang w:val="pt-PT"/>
              </w:rPr>
              <w:t>- Notificação de Reacções Adversas</w:t>
            </w:r>
          </w:p>
        </w:tc>
        <w:tc>
          <w:tcPr>
            <w:tcW w:w="1153" w:type="dxa"/>
            <w:tcBorders>
              <w:top w:val="single" w:sz="4" w:space="0" w:color="auto"/>
              <w:left w:val="single" w:sz="4" w:space="0" w:color="auto"/>
              <w:bottom w:val="single" w:sz="4" w:space="0" w:color="auto"/>
              <w:right w:val="single" w:sz="4" w:space="0" w:color="auto"/>
            </w:tcBorders>
            <w:shd w:val="clear" w:color="auto" w:fill="D9D9D9"/>
          </w:tcPr>
          <w:p w:rsidR="00014F48" w:rsidRPr="0014459B" w:rsidRDefault="00014F48" w:rsidP="00014F48">
            <w:pPr>
              <w:spacing w:before="60" w:after="60"/>
              <w:jc w:val="center"/>
              <w:rPr>
                <w:rFonts w:cs="Arial"/>
                <w:sz w:val="20"/>
                <w:lang w:val="pt-PT"/>
              </w:rPr>
            </w:pPr>
            <w:r>
              <w:rPr>
                <w:rFonts w:cs="Arial"/>
                <w:sz w:val="20"/>
                <w:lang w:val="pt-PT"/>
              </w:rPr>
              <w:t>4h</w:t>
            </w:r>
          </w:p>
        </w:tc>
        <w:tc>
          <w:tcPr>
            <w:tcW w:w="1901" w:type="dxa"/>
            <w:tcBorders>
              <w:top w:val="single" w:sz="4" w:space="0" w:color="auto"/>
              <w:left w:val="single" w:sz="4" w:space="0" w:color="auto"/>
              <w:bottom w:val="single" w:sz="4" w:space="0" w:color="auto"/>
            </w:tcBorders>
            <w:shd w:val="clear" w:color="auto" w:fill="D9D9D9"/>
          </w:tcPr>
          <w:p w:rsidR="00014F48" w:rsidRPr="0014459B" w:rsidRDefault="00014F48" w:rsidP="00014F48">
            <w:pPr>
              <w:spacing w:before="60" w:after="60"/>
              <w:jc w:val="center"/>
              <w:rPr>
                <w:rFonts w:cs="Arial"/>
                <w:i/>
                <w:sz w:val="20"/>
                <w:lang w:val="pt-PT"/>
              </w:rPr>
            </w:pPr>
            <w:r>
              <w:rPr>
                <w:sz w:val="20"/>
                <w:lang w:val="pt-BR"/>
              </w:rPr>
              <w:t>Laboratório Multidisciplinar</w:t>
            </w:r>
          </w:p>
        </w:tc>
      </w:tr>
      <w:tr w:rsidR="00014F48" w:rsidRPr="000F652E" w:rsidTr="004D2CF5">
        <w:tc>
          <w:tcPr>
            <w:tcW w:w="1121" w:type="dxa"/>
            <w:tcBorders>
              <w:top w:val="single" w:sz="4" w:space="0" w:color="auto"/>
              <w:bottom w:val="single" w:sz="4" w:space="0" w:color="auto"/>
              <w:right w:val="single" w:sz="4" w:space="0" w:color="auto"/>
            </w:tcBorders>
            <w:shd w:val="clear" w:color="auto" w:fill="FFFFFF"/>
          </w:tcPr>
          <w:p w:rsidR="00014F48" w:rsidRPr="00C37173" w:rsidRDefault="00014F48" w:rsidP="00014F48">
            <w:pPr>
              <w:spacing w:before="60" w:after="60"/>
              <w:rPr>
                <w:rFonts w:cs="Arial"/>
                <w:sz w:val="20"/>
                <w:lang w:val="pt-PT"/>
              </w:rPr>
            </w:pP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014F48" w:rsidRDefault="00014F48" w:rsidP="00014F48">
            <w:pPr>
              <w:spacing w:before="60" w:after="60"/>
              <w:jc w:val="center"/>
              <w:rPr>
                <w:rFonts w:cs="Arial"/>
                <w:sz w:val="20"/>
                <w:lang w:val="pt-PT"/>
              </w:rPr>
            </w:pPr>
          </w:p>
        </w:tc>
        <w:tc>
          <w:tcPr>
            <w:tcW w:w="4666" w:type="dxa"/>
            <w:tcBorders>
              <w:top w:val="single" w:sz="4" w:space="0" w:color="auto"/>
              <w:left w:val="single" w:sz="4" w:space="0" w:color="auto"/>
              <w:bottom w:val="single" w:sz="4" w:space="0" w:color="auto"/>
              <w:right w:val="single" w:sz="4" w:space="0" w:color="auto"/>
            </w:tcBorders>
            <w:shd w:val="clear" w:color="auto" w:fill="FFFFFF"/>
          </w:tcPr>
          <w:p w:rsidR="00014F48" w:rsidRPr="00E22197" w:rsidRDefault="00014F48" w:rsidP="00014F48">
            <w:pPr>
              <w:spacing w:before="60" w:after="60"/>
              <w:rPr>
                <w:rFonts w:cs="Arial"/>
                <w:b/>
                <w:sz w:val="20"/>
                <w:lang w:val="pt-BR"/>
              </w:rPr>
            </w:pPr>
            <w:r w:rsidRPr="00E22197">
              <w:rPr>
                <w:rFonts w:cs="Arial"/>
                <w:b/>
                <w:sz w:val="20"/>
                <w:lang w:val="pt-BR"/>
              </w:rPr>
              <w:t>Avaliação</w:t>
            </w:r>
          </w:p>
        </w:tc>
        <w:tc>
          <w:tcPr>
            <w:tcW w:w="1153" w:type="dxa"/>
            <w:tcBorders>
              <w:top w:val="single" w:sz="4" w:space="0" w:color="auto"/>
              <w:left w:val="single" w:sz="4" w:space="0" w:color="auto"/>
              <w:bottom w:val="single" w:sz="4" w:space="0" w:color="auto"/>
              <w:right w:val="single" w:sz="4" w:space="0" w:color="auto"/>
            </w:tcBorders>
            <w:shd w:val="clear" w:color="auto" w:fill="FFFFFF"/>
          </w:tcPr>
          <w:p w:rsidR="00014F48" w:rsidRPr="0014459B" w:rsidRDefault="00014F48" w:rsidP="00014F48">
            <w:pPr>
              <w:spacing w:before="60" w:after="60"/>
              <w:jc w:val="center"/>
              <w:rPr>
                <w:rFonts w:cs="Arial"/>
                <w:sz w:val="20"/>
                <w:lang w:val="pt-PT"/>
              </w:rPr>
            </w:pPr>
            <w:r>
              <w:rPr>
                <w:rFonts w:cs="Arial"/>
                <w:sz w:val="20"/>
                <w:lang w:val="pt-PT"/>
              </w:rPr>
              <w:t>2h</w:t>
            </w:r>
          </w:p>
        </w:tc>
        <w:tc>
          <w:tcPr>
            <w:tcW w:w="1901" w:type="dxa"/>
            <w:tcBorders>
              <w:top w:val="single" w:sz="4" w:space="0" w:color="auto"/>
              <w:left w:val="single" w:sz="4" w:space="0" w:color="auto"/>
              <w:bottom w:val="single" w:sz="4" w:space="0" w:color="auto"/>
            </w:tcBorders>
            <w:shd w:val="clear" w:color="auto" w:fill="FFFFFF"/>
          </w:tcPr>
          <w:p w:rsidR="00014F48" w:rsidRPr="0014459B" w:rsidRDefault="00014F48" w:rsidP="00014F48">
            <w:pPr>
              <w:spacing w:before="60" w:after="60"/>
              <w:jc w:val="center"/>
              <w:rPr>
                <w:rFonts w:cs="Arial"/>
                <w:i/>
                <w:sz w:val="20"/>
                <w:lang w:val="pt-PT"/>
              </w:rPr>
            </w:pPr>
          </w:p>
        </w:tc>
      </w:tr>
      <w:tr w:rsidR="00014F48" w:rsidRPr="000F652E" w:rsidTr="004D2CF5">
        <w:tc>
          <w:tcPr>
            <w:tcW w:w="1121" w:type="dxa"/>
            <w:tcBorders>
              <w:top w:val="single" w:sz="4" w:space="0" w:color="auto"/>
              <w:bottom w:val="single" w:sz="4" w:space="0" w:color="auto"/>
              <w:right w:val="single" w:sz="4" w:space="0" w:color="auto"/>
            </w:tcBorders>
            <w:shd w:val="clear" w:color="auto" w:fill="D9D9D9"/>
          </w:tcPr>
          <w:p w:rsidR="00014F48" w:rsidRPr="00C37173" w:rsidRDefault="00014F48" w:rsidP="00014F48">
            <w:pPr>
              <w:spacing w:before="60" w:after="60"/>
              <w:rPr>
                <w:rFonts w:cs="Arial"/>
                <w:sz w:val="20"/>
                <w:lang w:val="pt-PT"/>
              </w:rPr>
            </w:pPr>
          </w:p>
        </w:tc>
        <w:tc>
          <w:tcPr>
            <w:tcW w:w="1071" w:type="dxa"/>
            <w:tcBorders>
              <w:top w:val="single" w:sz="4" w:space="0" w:color="auto"/>
              <w:left w:val="single" w:sz="4" w:space="0" w:color="auto"/>
              <w:bottom w:val="single" w:sz="4" w:space="0" w:color="auto"/>
              <w:right w:val="single" w:sz="4" w:space="0" w:color="auto"/>
            </w:tcBorders>
            <w:shd w:val="clear" w:color="auto" w:fill="D9D9D9"/>
          </w:tcPr>
          <w:p w:rsidR="00014F48" w:rsidRDefault="00014F48" w:rsidP="00014F48">
            <w:pPr>
              <w:spacing w:before="60" w:after="60"/>
              <w:jc w:val="center"/>
              <w:rPr>
                <w:rFonts w:cs="Arial"/>
                <w:sz w:val="20"/>
                <w:lang w:val="pt-PT"/>
              </w:rPr>
            </w:pPr>
          </w:p>
        </w:tc>
        <w:tc>
          <w:tcPr>
            <w:tcW w:w="4666" w:type="dxa"/>
            <w:tcBorders>
              <w:top w:val="single" w:sz="4" w:space="0" w:color="auto"/>
              <w:left w:val="single" w:sz="4" w:space="0" w:color="auto"/>
              <w:bottom w:val="single" w:sz="4" w:space="0" w:color="auto"/>
              <w:right w:val="single" w:sz="4" w:space="0" w:color="auto"/>
            </w:tcBorders>
            <w:shd w:val="clear" w:color="auto" w:fill="D9D9D9"/>
          </w:tcPr>
          <w:p w:rsidR="00014F48" w:rsidRPr="007877DC" w:rsidRDefault="00014F48" w:rsidP="00014F48">
            <w:pPr>
              <w:spacing w:before="60" w:after="60"/>
              <w:rPr>
                <w:rFonts w:cs="Arial"/>
                <w:b/>
                <w:sz w:val="20"/>
                <w:lang w:val="pt-BR"/>
              </w:rPr>
            </w:pPr>
            <w:r w:rsidRPr="007877DC">
              <w:rPr>
                <w:rFonts w:cs="Arial"/>
                <w:b/>
                <w:sz w:val="20"/>
                <w:lang w:val="pt-BR"/>
              </w:rPr>
              <w:t>Total</w:t>
            </w:r>
          </w:p>
        </w:tc>
        <w:tc>
          <w:tcPr>
            <w:tcW w:w="1153" w:type="dxa"/>
            <w:tcBorders>
              <w:top w:val="single" w:sz="4" w:space="0" w:color="auto"/>
              <w:left w:val="single" w:sz="4" w:space="0" w:color="auto"/>
              <w:bottom w:val="single" w:sz="4" w:space="0" w:color="auto"/>
              <w:right w:val="single" w:sz="4" w:space="0" w:color="auto"/>
            </w:tcBorders>
            <w:shd w:val="clear" w:color="auto" w:fill="D9D9D9"/>
          </w:tcPr>
          <w:p w:rsidR="00014F48" w:rsidRDefault="00014F48" w:rsidP="00014F48">
            <w:pPr>
              <w:spacing w:before="60" w:after="60"/>
              <w:jc w:val="center"/>
              <w:rPr>
                <w:rFonts w:cs="Arial"/>
                <w:sz w:val="20"/>
                <w:lang w:val="pt-PT"/>
              </w:rPr>
            </w:pPr>
            <w:r>
              <w:rPr>
                <w:rFonts w:cs="Arial"/>
                <w:sz w:val="20"/>
                <w:lang w:val="pt-PT"/>
              </w:rPr>
              <w:t>59 h</w:t>
            </w:r>
          </w:p>
        </w:tc>
        <w:tc>
          <w:tcPr>
            <w:tcW w:w="1901" w:type="dxa"/>
            <w:tcBorders>
              <w:top w:val="single" w:sz="4" w:space="0" w:color="auto"/>
              <w:left w:val="single" w:sz="4" w:space="0" w:color="auto"/>
              <w:bottom w:val="single" w:sz="4" w:space="0" w:color="auto"/>
            </w:tcBorders>
            <w:shd w:val="clear" w:color="auto" w:fill="D9D9D9"/>
          </w:tcPr>
          <w:p w:rsidR="00014F48" w:rsidRPr="000F652E" w:rsidRDefault="00014F48" w:rsidP="00014F48">
            <w:pPr>
              <w:spacing w:before="60" w:after="60"/>
              <w:jc w:val="center"/>
              <w:rPr>
                <w:sz w:val="20"/>
                <w:lang w:val="pt-BR"/>
              </w:rPr>
            </w:pPr>
          </w:p>
        </w:tc>
      </w:tr>
    </w:tbl>
    <w:p w:rsidR="004D5B16" w:rsidRDefault="004D5B16" w:rsidP="00014F48">
      <w:pPr>
        <w:rPr>
          <w:rFonts w:cs="Arial"/>
          <w:b/>
          <w:lang w:val="pt-PT"/>
        </w:rPr>
      </w:pPr>
    </w:p>
    <w:p w:rsidR="00014F48" w:rsidRPr="00835168" w:rsidRDefault="00014F48" w:rsidP="00014F48">
      <w:pPr>
        <w:rPr>
          <w:rFonts w:cs="Arial"/>
          <w:b/>
          <w:lang w:val="pt-PT"/>
        </w:rPr>
      </w:pPr>
      <w:r w:rsidRPr="006F3A28">
        <w:rPr>
          <w:rFonts w:cs="Arial"/>
          <w:b/>
          <w:lang w:val="pt-PT"/>
        </w:rPr>
        <w:t>BIBLIOGRAFIA:</w:t>
      </w:r>
    </w:p>
    <w:p w:rsidR="00014F48" w:rsidRPr="004D5B16" w:rsidRDefault="00014F48" w:rsidP="004D5B16">
      <w:pPr>
        <w:spacing w:after="0" w:line="360" w:lineRule="auto"/>
        <w:contextualSpacing/>
        <w:rPr>
          <w:rFonts w:cs="Arial"/>
          <w:b/>
          <w:lang w:val="pt-PT"/>
        </w:rPr>
      </w:pPr>
      <w:r>
        <w:rPr>
          <w:rFonts w:cs="Arial"/>
          <w:b/>
          <w:lang w:val="pt-PT"/>
        </w:rPr>
        <w:t xml:space="preserve">A. </w:t>
      </w:r>
      <w:r w:rsidRPr="004D5B16">
        <w:rPr>
          <w:rFonts w:cs="Arial"/>
          <w:b/>
          <w:lang w:val="pt-PT"/>
        </w:rPr>
        <w:t>Texto principal da disciplina</w:t>
      </w:r>
    </w:p>
    <w:p w:rsidR="00014F48" w:rsidRPr="004D5B16" w:rsidRDefault="00014F48" w:rsidP="00A05CAA">
      <w:pPr>
        <w:pStyle w:val="ListParagraph"/>
        <w:numPr>
          <w:ilvl w:val="0"/>
          <w:numId w:val="5"/>
        </w:numPr>
        <w:spacing w:after="0"/>
        <w:rPr>
          <w:rFonts w:cs="Arial"/>
          <w:lang w:val="pt-BR"/>
        </w:rPr>
      </w:pPr>
      <w:r w:rsidRPr="004D5B16">
        <w:rPr>
          <w:rFonts w:cs="Arial"/>
          <w:lang w:val="pt-PT"/>
        </w:rPr>
        <w:t>Engelkirk PG, Burton GRW. “Microbiologia para as Ciências da Saúde”. 7ª edição. Guanabara Koogan. 2009</w:t>
      </w:r>
    </w:p>
    <w:p w:rsidR="00014F48" w:rsidRPr="004D5B16" w:rsidRDefault="00014F48" w:rsidP="00A05CAA">
      <w:pPr>
        <w:pStyle w:val="ListParagraph"/>
        <w:numPr>
          <w:ilvl w:val="0"/>
          <w:numId w:val="5"/>
        </w:numPr>
        <w:spacing w:after="0"/>
        <w:rPr>
          <w:rFonts w:cs="Arial"/>
          <w:lang w:val="pt-BR"/>
        </w:rPr>
      </w:pPr>
      <w:r w:rsidRPr="004D5B16">
        <w:rPr>
          <w:rFonts w:cs="Arial"/>
          <w:lang w:val="pt-PT"/>
        </w:rPr>
        <w:t>Jawetz, Melnick e Adelberg; MICROBIOLOGIA MÉDICA; 24ª edição, Lange, 2009</w:t>
      </w:r>
    </w:p>
    <w:p w:rsidR="00014F48" w:rsidRPr="004D5B16" w:rsidRDefault="00014F48" w:rsidP="004D5B16">
      <w:pPr>
        <w:spacing w:after="0" w:line="360" w:lineRule="auto"/>
        <w:contextualSpacing/>
        <w:jc w:val="both"/>
        <w:rPr>
          <w:rFonts w:cs="Arial"/>
          <w:b/>
          <w:lang w:val="pt-PT"/>
        </w:rPr>
      </w:pPr>
      <w:r w:rsidRPr="004D5B16">
        <w:rPr>
          <w:rFonts w:cs="Arial"/>
          <w:b/>
          <w:lang w:val="pt-PT"/>
        </w:rPr>
        <w:t>B. Livros de Referência para a disciplina</w:t>
      </w:r>
    </w:p>
    <w:p w:rsidR="00014F48" w:rsidRPr="004D5B16" w:rsidRDefault="00014F48" w:rsidP="00A05CAA">
      <w:pPr>
        <w:pStyle w:val="ListParagraph"/>
        <w:numPr>
          <w:ilvl w:val="0"/>
          <w:numId w:val="6"/>
        </w:numPr>
        <w:spacing w:after="0"/>
        <w:rPr>
          <w:rFonts w:cs="Arial"/>
          <w:lang w:val="pt-PT"/>
        </w:rPr>
      </w:pPr>
      <w:r w:rsidRPr="004D5B16">
        <w:rPr>
          <w:rFonts w:cs="Arial"/>
          <w:lang w:val="pt-PT"/>
        </w:rPr>
        <w:t>De Robertis EDP, De Robertis EMF. “Bases da Biologia Celular e Molecular”. 3ª edição. Guanabara, 2001</w:t>
      </w:r>
    </w:p>
    <w:p w:rsidR="00014F48" w:rsidRPr="004D5B16" w:rsidRDefault="00014F48" w:rsidP="00A05CAA">
      <w:pPr>
        <w:pStyle w:val="ListParagraph"/>
        <w:numPr>
          <w:ilvl w:val="0"/>
          <w:numId w:val="6"/>
        </w:numPr>
        <w:spacing w:after="0"/>
        <w:rPr>
          <w:rFonts w:cs="Arial"/>
        </w:rPr>
      </w:pPr>
      <w:r w:rsidRPr="004D5B16">
        <w:rPr>
          <w:rFonts w:cs="Arial"/>
          <w:lang w:val="it-IT"/>
        </w:rPr>
        <w:t xml:space="preserve">Roitt I, Brostoff J, Male D. “Imunologia”. </w:t>
      </w:r>
      <w:r w:rsidRPr="004D5B16">
        <w:rPr>
          <w:rFonts w:cs="Arial"/>
          <w:lang w:val="pt-PT"/>
        </w:rPr>
        <w:t>6ª edição. Manole Editora. 2002</w:t>
      </w:r>
    </w:p>
    <w:p w:rsidR="00014F48" w:rsidRPr="004D5B16" w:rsidRDefault="00014F48" w:rsidP="00A05CAA">
      <w:pPr>
        <w:pStyle w:val="ListParagraph"/>
        <w:numPr>
          <w:ilvl w:val="0"/>
          <w:numId w:val="6"/>
        </w:numPr>
        <w:spacing w:after="0"/>
        <w:rPr>
          <w:rFonts w:cs="Arial"/>
          <w:lang w:val="pt-PT"/>
        </w:rPr>
      </w:pPr>
      <w:r w:rsidRPr="004D5B16">
        <w:rPr>
          <w:rFonts w:cs="Arial"/>
          <w:lang w:val="pt-PT"/>
        </w:rPr>
        <w:t>Formulário Nacional de Medicamentos. 5ª edição. Ministério de Saúde da República de Moçambique. 2007</w:t>
      </w:r>
    </w:p>
    <w:p w:rsidR="00014F48" w:rsidRPr="004D5B16" w:rsidRDefault="00014F48" w:rsidP="004D5B16">
      <w:pPr>
        <w:tabs>
          <w:tab w:val="left" w:pos="424"/>
        </w:tabs>
        <w:spacing w:after="0" w:line="360" w:lineRule="auto"/>
        <w:contextualSpacing/>
        <w:rPr>
          <w:rFonts w:cs="Arial"/>
          <w:b/>
          <w:lang w:val="pt-PT"/>
        </w:rPr>
      </w:pPr>
      <w:r w:rsidRPr="004D5B16">
        <w:rPr>
          <w:rFonts w:cs="Arial"/>
          <w:b/>
          <w:lang w:val="pt-PT"/>
        </w:rPr>
        <w:t>C. Leituras para o docente aprofundar no tópico</w:t>
      </w:r>
    </w:p>
    <w:p w:rsidR="00014F48" w:rsidRPr="004D5B16" w:rsidRDefault="00014F48" w:rsidP="00A05CAA">
      <w:pPr>
        <w:pStyle w:val="ListParagraph"/>
        <w:numPr>
          <w:ilvl w:val="0"/>
          <w:numId w:val="7"/>
        </w:numPr>
        <w:spacing w:after="0"/>
        <w:rPr>
          <w:rFonts w:cs="Arial"/>
        </w:rPr>
      </w:pPr>
      <w:r w:rsidRPr="004D5B16">
        <w:rPr>
          <w:rFonts w:cs="Arial"/>
        </w:rPr>
        <w:t>Lehninger AL, Nelson DL, Cox MM. “Principles of Biochemistry”. 4</w:t>
      </w:r>
      <w:r w:rsidRPr="004D5B16">
        <w:rPr>
          <w:rFonts w:cs="Arial"/>
          <w:vertAlign w:val="superscript"/>
        </w:rPr>
        <w:t>th</w:t>
      </w:r>
      <w:r w:rsidRPr="004D5B16">
        <w:rPr>
          <w:rFonts w:cs="Arial"/>
        </w:rPr>
        <w:t xml:space="preserve"> edition. W.H. Freeman, 2005</w:t>
      </w:r>
    </w:p>
    <w:p w:rsidR="00014F48" w:rsidRPr="004D5B16" w:rsidRDefault="00014F48" w:rsidP="00A05CAA">
      <w:pPr>
        <w:pStyle w:val="ListParagraph"/>
        <w:numPr>
          <w:ilvl w:val="0"/>
          <w:numId w:val="7"/>
        </w:numPr>
        <w:spacing w:after="0"/>
        <w:rPr>
          <w:rFonts w:cs="Arial"/>
        </w:rPr>
      </w:pPr>
      <w:r w:rsidRPr="004D5B16">
        <w:rPr>
          <w:rFonts w:cs="Arial"/>
        </w:rPr>
        <w:t>Berg JM, Tymoczko, JL, Stryer L. “Bioquímica”. 5ª edição. Guanabara. 2004</w:t>
      </w:r>
    </w:p>
    <w:p w:rsidR="00014F48" w:rsidRPr="004D5B16" w:rsidRDefault="00014F48" w:rsidP="00A05CAA">
      <w:pPr>
        <w:pStyle w:val="ListParagraph"/>
        <w:numPr>
          <w:ilvl w:val="0"/>
          <w:numId w:val="7"/>
        </w:numPr>
        <w:spacing w:after="0"/>
        <w:rPr>
          <w:rFonts w:cs="Arial"/>
        </w:rPr>
      </w:pPr>
      <w:r w:rsidRPr="004D5B16">
        <w:rPr>
          <w:rFonts w:cs="Arial"/>
          <w:lang w:val="it-IT"/>
        </w:rPr>
        <w:t xml:space="preserve">Cassimeris L, Poppler G, Lingappa VR. </w:t>
      </w:r>
      <w:r w:rsidRPr="004D5B16">
        <w:rPr>
          <w:rFonts w:cs="Arial"/>
        </w:rPr>
        <w:t>“Lewin’s Cells”. 2</w:t>
      </w:r>
      <w:r w:rsidRPr="004D5B16">
        <w:rPr>
          <w:rFonts w:cs="Arial"/>
          <w:vertAlign w:val="superscript"/>
        </w:rPr>
        <w:t>nd</w:t>
      </w:r>
      <w:r w:rsidRPr="004D5B16">
        <w:rPr>
          <w:rFonts w:cs="Arial"/>
        </w:rPr>
        <w:t xml:space="preserve"> edition. Jones and Bartlett Publishers. 2010</w:t>
      </w:r>
    </w:p>
    <w:p w:rsidR="00014F48" w:rsidRPr="004D5B16" w:rsidRDefault="00014F48" w:rsidP="00A05CAA">
      <w:pPr>
        <w:pStyle w:val="ListParagraph"/>
        <w:numPr>
          <w:ilvl w:val="0"/>
          <w:numId w:val="7"/>
        </w:numPr>
        <w:spacing w:after="0"/>
        <w:rPr>
          <w:rFonts w:cs="Arial"/>
        </w:rPr>
      </w:pPr>
      <w:r w:rsidRPr="004D5B16">
        <w:rPr>
          <w:rFonts w:cs="Arial"/>
        </w:rPr>
        <w:t xml:space="preserve">Abbas AK, Lichtman AH, Pober JS. </w:t>
      </w:r>
      <w:r w:rsidRPr="004D5B16">
        <w:rPr>
          <w:rFonts w:cs="Arial"/>
          <w:lang w:val="es-ES"/>
        </w:rPr>
        <w:t xml:space="preserve">“Imunología celular y molecular”. </w:t>
      </w:r>
      <w:r w:rsidRPr="004D5B16">
        <w:rPr>
          <w:rFonts w:cs="Arial"/>
          <w:lang w:val="pt-PT"/>
        </w:rPr>
        <w:t>3ª edición. McGraw Hill – Interamericana. 1998</w:t>
      </w:r>
    </w:p>
    <w:p w:rsidR="00014F48" w:rsidRPr="004D5B16" w:rsidRDefault="00014F48" w:rsidP="00A05CAA">
      <w:pPr>
        <w:pStyle w:val="ListParagraph"/>
        <w:numPr>
          <w:ilvl w:val="0"/>
          <w:numId w:val="7"/>
        </w:numPr>
        <w:spacing w:after="0"/>
        <w:rPr>
          <w:rFonts w:cs="Arial"/>
        </w:rPr>
      </w:pPr>
      <w:r w:rsidRPr="004D5B16">
        <w:rPr>
          <w:rFonts w:cs="Arial"/>
        </w:rPr>
        <w:t xml:space="preserve">Brooks GF, Carroll KC, Butel JS, Morse SA. </w:t>
      </w:r>
      <w:r w:rsidRPr="004D5B16">
        <w:rPr>
          <w:rFonts w:cs="Arial"/>
          <w:lang w:val="pt-PT"/>
        </w:rPr>
        <w:t>“Jawetz, Melnick e Adelberg: Microbiologia médica”. 24ª edição. McGraw Hill. 2009</w:t>
      </w:r>
    </w:p>
    <w:p w:rsidR="00014F48" w:rsidRPr="004D5B16" w:rsidRDefault="00014F48" w:rsidP="00A05CAA">
      <w:pPr>
        <w:pStyle w:val="ListParagraph"/>
        <w:numPr>
          <w:ilvl w:val="0"/>
          <w:numId w:val="7"/>
        </w:numPr>
        <w:spacing w:after="0"/>
        <w:rPr>
          <w:rFonts w:cs="Arial"/>
        </w:rPr>
      </w:pPr>
      <w:r w:rsidRPr="004D5B16">
        <w:rPr>
          <w:rFonts w:cs="Arial"/>
        </w:rPr>
        <w:t>Kayser FH, Bienz KA, Eckert J, Zinkernagel RM. “Medical microbiology”, 1</w:t>
      </w:r>
      <w:r w:rsidRPr="004D5B16">
        <w:rPr>
          <w:rFonts w:cs="Arial"/>
          <w:vertAlign w:val="superscript"/>
        </w:rPr>
        <w:t>st</w:t>
      </w:r>
      <w:r w:rsidRPr="004D5B16">
        <w:rPr>
          <w:rFonts w:cs="Arial"/>
        </w:rPr>
        <w:t xml:space="preserve"> edition. Thieme. </w:t>
      </w:r>
      <w:r w:rsidRPr="00F47FAF">
        <w:rPr>
          <w:rFonts w:cs="Arial"/>
        </w:rPr>
        <w:t>2004</w:t>
      </w:r>
    </w:p>
    <w:p w:rsidR="00014F48" w:rsidRPr="004D5B16" w:rsidRDefault="00014F48" w:rsidP="00A05CAA">
      <w:pPr>
        <w:pStyle w:val="ListParagraph"/>
        <w:numPr>
          <w:ilvl w:val="0"/>
          <w:numId w:val="7"/>
        </w:numPr>
        <w:spacing w:after="0"/>
        <w:rPr>
          <w:rFonts w:cs="Arial"/>
        </w:rPr>
      </w:pPr>
      <w:r w:rsidRPr="004D5B16">
        <w:rPr>
          <w:rFonts w:cs="Arial"/>
          <w:lang w:val="pt-PT"/>
        </w:rPr>
        <w:t>Neves DP, De Melo AL, Linardi PM, Vitor RWA. “Parasitologia humana”. 11ª edição. Atheneu. 2005</w:t>
      </w:r>
    </w:p>
    <w:p w:rsidR="00014F48" w:rsidRPr="004D5B16" w:rsidRDefault="00014F48" w:rsidP="00A05CAA">
      <w:pPr>
        <w:pStyle w:val="ListParagraph"/>
        <w:numPr>
          <w:ilvl w:val="0"/>
          <w:numId w:val="7"/>
        </w:numPr>
        <w:spacing w:after="0"/>
        <w:rPr>
          <w:rFonts w:cs="Arial"/>
        </w:rPr>
      </w:pPr>
      <w:r w:rsidRPr="004D5B16">
        <w:rPr>
          <w:rFonts w:cs="Arial"/>
          <w:lang w:val="pt-PT"/>
        </w:rPr>
        <w:t>Hardman JG, Limbird LE, Goodman Gilman A. “As bases farmacológicas da terapéutica”. 10ª edição. McGraw Hill. 2001</w:t>
      </w:r>
    </w:p>
    <w:p w:rsidR="00014F48" w:rsidRPr="004D5B16" w:rsidRDefault="00014F48" w:rsidP="004D5B16">
      <w:pPr>
        <w:tabs>
          <w:tab w:val="left" w:pos="424"/>
        </w:tabs>
        <w:spacing w:after="0" w:line="360" w:lineRule="auto"/>
        <w:contextualSpacing/>
        <w:rPr>
          <w:rFonts w:cs="Arial"/>
          <w:b/>
          <w:lang w:val="pt-PT"/>
        </w:rPr>
      </w:pPr>
      <w:r w:rsidRPr="004D5B16">
        <w:rPr>
          <w:rFonts w:cs="Arial"/>
          <w:b/>
          <w:lang w:val="pt-PT"/>
        </w:rPr>
        <w:t>D. Leituras adicionais para o aluno (se necessário)</w:t>
      </w:r>
    </w:p>
    <w:p w:rsidR="00014F48" w:rsidRPr="004D5B16" w:rsidRDefault="00014F48" w:rsidP="00A05CAA">
      <w:pPr>
        <w:pStyle w:val="ListParagraph"/>
        <w:numPr>
          <w:ilvl w:val="0"/>
          <w:numId w:val="8"/>
        </w:numPr>
        <w:rPr>
          <w:rFonts w:cs="Arial"/>
        </w:rPr>
      </w:pPr>
      <w:r w:rsidRPr="004D5B16">
        <w:rPr>
          <w:rFonts w:cs="Arial"/>
          <w:lang w:val="pt-PT"/>
        </w:rPr>
        <w:t xml:space="preserve">UNICEF/OMS. </w:t>
      </w:r>
      <w:r w:rsidRPr="004D5B16">
        <w:rPr>
          <w:rFonts w:cs="Arial"/>
          <w:lang w:val="es-ES"/>
        </w:rPr>
        <w:t xml:space="preserve">“Tratamiento clínico de la diarrea aguda”. </w:t>
      </w:r>
      <w:r w:rsidRPr="004D5B16">
        <w:rPr>
          <w:rFonts w:cs="Arial"/>
          <w:lang w:val="pt-PT"/>
        </w:rPr>
        <w:t>UNICEF/OMS. 2004</w:t>
      </w:r>
    </w:p>
    <w:p w:rsidR="00014F48" w:rsidRPr="004D5B16" w:rsidRDefault="00014F48" w:rsidP="00A05CAA">
      <w:pPr>
        <w:pStyle w:val="ListParagraph"/>
        <w:numPr>
          <w:ilvl w:val="0"/>
          <w:numId w:val="8"/>
        </w:numPr>
        <w:spacing w:before="120" w:after="120" w:line="360" w:lineRule="auto"/>
        <w:jc w:val="both"/>
        <w:rPr>
          <w:lang w:val="pt-PT"/>
        </w:rPr>
      </w:pPr>
      <w:r w:rsidRPr="004D5B16">
        <w:rPr>
          <w:rFonts w:cs="Arial"/>
          <w:lang w:val="pt-PT"/>
        </w:rPr>
        <w:t>Rollback Malaria Partnership: Mozambique Malaria Profile 2005</w:t>
      </w:r>
    </w:p>
    <w:p w:rsidR="004D5B16" w:rsidRPr="004D5B16" w:rsidRDefault="004D5B16" w:rsidP="004D5B16">
      <w:pPr>
        <w:spacing w:before="120" w:after="120" w:line="360" w:lineRule="auto"/>
        <w:jc w:val="both"/>
        <w:rPr>
          <w:lang w:val="pt-PT"/>
        </w:rPr>
      </w:pPr>
    </w:p>
    <w:tbl>
      <w:tblPr>
        <w:tblW w:w="10240" w:type="dxa"/>
        <w:tblLayout w:type="fixed"/>
        <w:tblCellMar>
          <w:left w:w="70" w:type="dxa"/>
          <w:right w:w="70" w:type="dxa"/>
        </w:tblCellMar>
        <w:tblLook w:val="0020" w:firstRow="1" w:lastRow="0" w:firstColumn="0" w:lastColumn="0" w:noHBand="0" w:noVBand="0"/>
      </w:tblPr>
      <w:tblGrid>
        <w:gridCol w:w="1600"/>
        <w:gridCol w:w="5580"/>
        <w:gridCol w:w="1710"/>
        <w:gridCol w:w="1350"/>
      </w:tblGrid>
      <w:tr w:rsidR="004D5B16" w:rsidRPr="00134F89" w:rsidTr="004D5B16">
        <w:trPr>
          <w:cantSplit/>
          <w:trHeight w:val="413"/>
        </w:trPr>
        <w:tc>
          <w:tcPr>
            <w:tcW w:w="1600" w:type="dxa"/>
            <w:tcBorders>
              <w:top w:val="single" w:sz="6" w:space="0" w:color="000000"/>
              <w:left w:val="single" w:sz="6" w:space="0" w:color="000000"/>
              <w:bottom w:val="single" w:sz="6" w:space="0" w:color="000000"/>
              <w:right w:val="single" w:sz="6" w:space="0" w:color="000000"/>
            </w:tcBorders>
            <w:vAlign w:val="center"/>
          </w:tcPr>
          <w:p w:rsidR="004D5B16" w:rsidRPr="00134F89" w:rsidRDefault="004D5B16" w:rsidP="004D5B16">
            <w:pPr>
              <w:jc w:val="both"/>
              <w:rPr>
                <w:rFonts w:cs="Arial"/>
                <w:b/>
                <w:lang w:val="pt-PT"/>
              </w:rPr>
            </w:pPr>
            <w:r w:rsidRPr="00134F89">
              <w:rPr>
                <w:rFonts w:cs="Arial"/>
                <w:b/>
                <w:lang w:val="pt-PT"/>
              </w:rPr>
              <w:lastRenderedPageBreak/>
              <w:t>Disciplina</w:t>
            </w:r>
          </w:p>
        </w:tc>
        <w:tc>
          <w:tcPr>
            <w:tcW w:w="5580" w:type="dxa"/>
            <w:tcBorders>
              <w:top w:val="single" w:sz="6" w:space="0" w:color="000000"/>
              <w:left w:val="single" w:sz="6" w:space="0" w:color="000000"/>
              <w:bottom w:val="single" w:sz="6" w:space="0" w:color="000000"/>
              <w:right w:val="single" w:sz="6" w:space="0" w:color="000000"/>
            </w:tcBorders>
            <w:vAlign w:val="center"/>
          </w:tcPr>
          <w:p w:rsidR="004D5B16" w:rsidRPr="00F53619" w:rsidRDefault="004D5B16" w:rsidP="004D5B16">
            <w:pPr>
              <w:rPr>
                <w:rFonts w:cs="Arial"/>
              </w:rPr>
            </w:pPr>
            <w:r w:rsidRPr="00F53619">
              <w:rPr>
                <w:rFonts w:cs="Arial"/>
              </w:rPr>
              <w:t>Introdução às Ciências Médicas</w:t>
            </w:r>
          </w:p>
        </w:tc>
        <w:tc>
          <w:tcPr>
            <w:tcW w:w="1710" w:type="dxa"/>
            <w:tcBorders>
              <w:top w:val="single" w:sz="6" w:space="0" w:color="000000"/>
              <w:left w:val="single" w:sz="6" w:space="0" w:color="000000"/>
              <w:bottom w:val="single" w:sz="6" w:space="0" w:color="000000"/>
              <w:right w:val="single" w:sz="6" w:space="0" w:color="000000"/>
            </w:tcBorders>
            <w:vAlign w:val="center"/>
          </w:tcPr>
          <w:p w:rsidR="004D5B16" w:rsidRPr="00134F89" w:rsidRDefault="004D5B16" w:rsidP="004D5B16">
            <w:pPr>
              <w:jc w:val="both"/>
              <w:rPr>
                <w:rFonts w:cs="Arial"/>
                <w:b/>
                <w:lang w:val="pt-PT"/>
              </w:rPr>
            </w:pPr>
            <w:r w:rsidRPr="00134F89">
              <w:rPr>
                <w:rFonts w:cs="Arial"/>
                <w:b/>
                <w:lang w:val="pt-PT"/>
              </w:rPr>
              <w:t xml:space="preserve">N° da Aula </w:t>
            </w:r>
          </w:p>
        </w:tc>
        <w:tc>
          <w:tcPr>
            <w:tcW w:w="1350" w:type="dxa"/>
            <w:tcBorders>
              <w:top w:val="single" w:sz="6" w:space="0" w:color="000000"/>
              <w:left w:val="single" w:sz="6" w:space="0" w:color="000000"/>
              <w:bottom w:val="single" w:sz="6" w:space="0" w:color="000000"/>
              <w:right w:val="single" w:sz="6" w:space="0" w:color="000000"/>
            </w:tcBorders>
            <w:vAlign w:val="center"/>
          </w:tcPr>
          <w:p w:rsidR="004D5B16" w:rsidRPr="00ED3A9C" w:rsidRDefault="004D5B16" w:rsidP="004D5B16">
            <w:pPr>
              <w:jc w:val="center"/>
              <w:rPr>
                <w:rFonts w:cs="Arial"/>
                <w:lang w:val="pt-PT"/>
              </w:rPr>
            </w:pPr>
            <w:r w:rsidRPr="00ED3A9C">
              <w:rPr>
                <w:rFonts w:cs="Arial"/>
                <w:lang w:val="pt-PT"/>
              </w:rPr>
              <w:t>1</w:t>
            </w:r>
          </w:p>
        </w:tc>
      </w:tr>
      <w:tr w:rsidR="004D5B16" w:rsidRPr="00134F89" w:rsidTr="004D5B16">
        <w:trPr>
          <w:cantSplit/>
          <w:trHeight w:val="413"/>
        </w:trPr>
        <w:tc>
          <w:tcPr>
            <w:tcW w:w="1600" w:type="dxa"/>
            <w:tcBorders>
              <w:top w:val="single" w:sz="6" w:space="0" w:color="000000"/>
              <w:left w:val="single" w:sz="6" w:space="0" w:color="000000"/>
              <w:bottom w:val="single" w:sz="6" w:space="0" w:color="000000"/>
              <w:right w:val="single" w:sz="6" w:space="0" w:color="000000"/>
            </w:tcBorders>
            <w:vAlign w:val="center"/>
          </w:tcPr>
          <w:p w:rsidR="004D5B16" w:rsidRPr="00134F89" w:rsidRDefault="004D5B16" w:rsidP="004D5B16">
            <w:pPr>
              <w:jc w:val="both"/>
              <w:rPr>
                <w:rFonts w:cs="Arial"/>
                <w:b/>
                <w:lang w:val="pt-PT"/>
              </w:rPr>
            </w:pPr>
            <w:r w:rsidRPr="00134F89">
              <w:rPr>
                <w:rFonts w:cs="Arial"/>
                <w:b/>
                <w:lang w:val="pt-PT"/>
              </w:rPr>
              <w:t>Tópico</w:t>
            </w:r>
          </w:p>
        </w:tc>
        <w:tc>
          <w:tcPr>
            <w:tcW w:w="5580" w:type="dxa"/>
            <w:tcBorders>
              <w:top w:val="single" w:sz="6" w:space="0" w:color="000000"/>
              <w:left w:val="single" w:sz="6" w:space="0" w:color="000000"/>
              <w:bottom w:val="single" w:sz="6" w:space="0" w:color="000000"/>
              <w:right w:val="single" w:sz="6" w:space="0" w:color="000000"/>
            </w:tcBorders>
            <w:vAlign w:val="center"/>
          </w:tcPr>
          <w:p w:rsidR="004D5B16" w:rsidRPr="00134F89" w:rsidRDefault="004D5B16" w:rsidP="004D5B16">
            <w:pPr>
              <w:jc w:val="both"/>
              <w:rPr>
                <w:rFonts w:cs="Arial"/>
                <w:b/>
                <w:lang w:val="pt-PT"/>
              </w:rPr>
            </w:pPr>
            <w:r w:rsidRPr="00F53619">
              <w:rPr>
                <w:rFonts w:cs="Arial"/>
              </w:rPr>
              <w:t>Biologia</w:t>
            </w:r>
          </w:p>
        </w:tc>
        <w:tc>
          <w:tcPr>
            <w:tcW w:w="1710" w:type="dxa"/>
            <w:tcBorders>
              <w:top w:val="single" w:sz="6" w:space="0" w:color="000000"/>
              <w:left w:val="single" w:sz="6" w:space="0" w:color="000000"/>
              <w:bottom w:val="single" w:sz="6" w:space="0" w:color="000000"/>
              <w:right w:val="single" w:sz="6" w:space="0" w:color="000000"/>
            </w:tcBorders>
            <w:vAlign w:val="center"/>
          </w:tcPr>
          <w:p w:rsidR="004D5B16" w:rsidRPr="00134F89" w:rsidRDefault="004D5B16" w:rsidP="004D5B16">
            <w:pPr>
              <w:jc w:val="both"/>
              <w:rPr>
                <w:rFonts w:cs="Arial"/>
                <w:b/>
                <w:lang w:val="pt-PT"/>
              </w:rPr>
            </w:pPr>
            <w:r w:rsidRPr="00134F89">
              <w:rPr>
                <w:rFonts w:cs="Arial"/>
                <w:b/>
                <w:lang w:val="pt-PT"/>
              </w:rPr>
              <w:t xml:space="preserve">Tipo </w:t>
            </w:r>
          </w:p>
        </w:tc>
        <w:tc>
          <w:tcPr>
            <w:tcW w:w="1350" w:type="dxa"/>
            <w:tcBorders>
              <w:top w:val="single" w:sz="6" w:space="0" w:color="000000"/>
              <w:left w:val="single" w:sz="6" w:space="0" w:color="000000"/>
              <w:bottom w:val="single" w:sz="6" w:space="0" w:color="000000"/>
              <w:right w:val="single" w:sz="6" w:space="0" w:color="000000"/>
            </w:tcBorders>
            <w:vAlign w:val="center"/>
          </w:tcPr>
          <w:p w:rsidR="004D5B16" w:rsidRPr="00ED3A9C" w:rsidRDefault="004D5B16" w:rsidP="004D5B16">
            <w:pPr>
              <w:jc w:val="center"/>
              <w:rPr>
                <w:rFonts w:cs="Arial"/>
                <w:lang w:val="pt-PT"/>
              </w:rPr>
            </w:pPr>
            <w:r w:rsidRPr="00ED3A9C">
              <w:rPr>
                <w:rFonts w:cs="Arial"/>
                <w:lang w:val="pt-PT"/>
              </w:rPr>
              <w:t>Teórica</w:t>
            </w:r>
          </w:p>
        </w:tc>
      </w:tr>
      <w:tr w:rsidR="004D5B16" w:rsidRPr="00134F89" w:rsidTr="004D5B16">
        <w:trPr>
          <w:cantSplit/>
          <w:trHeight w:val="414"/>
        </w:trPr>
        <w:tc>
          <w:tcPr>
            <w:tcW w:w="1600" w:type="dxa"/>
            <w:tcBorders>
              <w:top w:val="single" w:sz="6" w:space="0" w:color="000000"/>
              <w:left w:val="single" w:sz="6" w:space="0" w:color="000000"/>
              <w:bottom w:val="single" w:sz="6" w:space="0" w:color="000000"/>
              <w:right w:val="single" w:sz="6" w:space="0" w:color="000000"/>
            </w:tcBorders>
            <w:vAlign w:val="center"/>
          </w:tcPr>
          <w:p w:rsidR="004D5B16" w:rsidRPr="00134F89" w:rsidRDefault="004D5B16" w:rsidP="004D5B16">
            <w:pPr>
              <w:jc w:val="both"/>
              <w:rPr>
                <w:rFonts w:cs="Arial"/>
                <w:b/>
                <w:lang w:val="pt-PT"/>
              </w:rPr>
            </w:pPr>
            <w:r w:rsidRPr="00134F89">
              <w:rPr>
                <w:rFonts w:cs="Arial"/>
                <w:b/>
                <w:lang w:val="pt-PT"/>
              </w:rPr>
              <w:t>Conteúdos</w:t>
            </w:r>
          </w:p>
        </w:tc>
        <w:tc>
          <w:tcPr>
            <w:tcW w:w="5580" w:type="dxa"/>
            <w:tcBorders>
              <w:top w:val="single" w:sz="6" w:space="0" w:color="000000"/>
              <w:left w:val="single" w:sz="6" w:space="0" w:color="000000"/>
              <w:bottom w:val="single" w:sz="6" w:space="0" w:color="000000"/>
              <w:right w:val="single" w:sz="6" w:space="0" w:color="000000"/>
            </w:tcBorders>
            <w:vAlign w:val="center"/>
          </w:tcPr>
          <w:p w:rsidR="004D5B16" w:rsidRPr="00ED3A9C" w:rsidRDefault="004D5B16" w:rsidP="004D5B16">
            <w:pPr>
              <w:pStyle w:val="Heading1"/>
              <w:rPr>
                <w:b w:val="0"/>
                <w:sz w:val="22"/>
                <w:szCs w:val="22"/>
                <w:lang w:val="pt-PT"/>
              </w:rPr>
            </w:pPr>
            <w:bookmarkStart w:id="5" w:name="_Toc329099749"/>
            <w:r w:rsidRPr="00ED3A9C">
              <w:rPr>
                <w:b w:val="0"/>
                <w:sz w:val="22"/>
                <w:szCs w:val="22"/>
                <w:lang w:val="pt-BR"/>
              </w:rPr>
              <w:t>A Célula e a Genética</w:t>
            </w:r>
            <w:bookmarkEnd w:id="5"/>
          </w:p>
        </w:tc>
        <w:tc>
          <w:tcPr>
            <w:tcW w:w="1710" w:type="dxa"/>
            <w:tcBorders>
              <w:top w:val="single" w:sz="6" w:space="0" w:color="000000"/>
              <w:left w:val="single" w:sz="6" w:space="0" w:color="000000"/>
              <w:bottom w:val="single" w:sz="6" w:space="0" w:color="000000"/>
              <w:right w:val="single" w:sz="6" w:space="0" w:color="000000"/>
            </w:tcBorders>
            <w:vAlign w:val="center"/>
          </w:tcPr>
          <w:p w:rsidR="004D5B16" w:rsidRPr="00134F89" w:rsidRDefault="004D5B16" w:rsidP="004D5B16">
            <w:pPr>
              <w:jc w:val="both"/>
              <w:rPr>
                <w:rFonts w:cs="Arial"/>
                <w:b/>
                <w:lang w:val="pt-PT"/>
              </w:rPr>
            </w:pPr>
            <w:r w:rsidRPr="00134F89">
              <w:rPr>
                <w:rFonts w:cs="Arial"/>
                <w:b/>
                <w:lang w:val="pt-PT"/>
              </w:rPr>
              <w:t>Duração</w:t>
            </w:r>
          </w:p>
        </w:tc>
        <w:tc>
          <w:tcPr>
            <w:tcW w:w="1350" w:type="dxa"/>
            <w:tcBorders>
              <w:top w:val="single" w:sz="6" w:space="0" w:color="000000"/>
              <w:left w:val="single" w:sz="6" w:space="0" w:color="000000"/>
              <w:bottom w:val="single" w:sz="6" w:space="0" w:color="000000"/>
              <w:right w:val="single" w:sz="6" w:space="0" w:color="000000"/>
            </w:tcBorders>
            <w:vAlign w:val="center"/>
          </w:tcPr>
          <w:p w:rsidR="004D5B16" w:rsidRPr="00ED3A9C" w:rsidRDefault="004D5B16" w:rsidP="004D5B16">
            <w:pPr>
              <w:jc w:val="center"/>
              <w:rPr>
                <w:rFonts w:cs="Arial"/>
                <w:lang w:val="pt-PT"/>
              </w:rPr>
            </w:pPr>
            <w:r w:rsidRPr="00ED3A9C">
              <w:rPr>
                <w:rFonts w:cs="Arial"/>
                <w:lang w:val="pt-PT"/>
              </w:rPr>
              <w:t>2h</w:t>
            </w:r>
          </w:p>
        </w:tc>
      </w:tr>
    </w:tbl>
    <w:p w:rsidR="004D5B16" w:rsidRPr="00134F89" w:rsidRDefault="004D5B16" w:rsidP="004D5B16">
      <w:pPr>
        <w:spacing w:line="120" w:lineRule="auto"/>
        <w:jc w:val="both"/>
        <w:rPr>
          <w:rFonts w:cs="Arial"/>
          <w:lang w:val="pt-PT"/>
        </w:rPr>
      </w:pPr>
    </w:p>
    <w:p w:rsidR="004D5B16" w:rsidRPr="0052785B" w:rsidRDefault="004D5B16" w:rsidP="0052785B">
      <w:pPr>
        <w:rPr>
          <w:b/>
          <w:lang w:val="pt-PT"/>
        </w:rPr>
      </w:pPr>
      <w:r w:rsidRPr="0052785B">
        <w:rPr>
          <w:b/>
          <w:lang w:val="pt-PT"/>
        </w:rPr>
        <w:t>Objectivos de Aprendizagem</w:t>
      </w:r>
    </w:p>
    <w:p w:rsidR="004D5B16" w:rsidRPr="00F53619" w:rsidRDefault="004D5B16" w:rsidP="004D5B16">
      <w:pPr>
        <w:spacing w:before="60"/>
        <w:jc w:val="both"/>
        <w:rPr>
          <w:rFonts w:cs="Arial"/>
          <w:lang w:val="pt-PT"/>
        </w:rPr>
      </w:pPr>
      <w:r w:rsidRPr="00F53619">
        <w:rPr>
          <w:rFonts w:cs="Arial"/>
          <w:lang w:val="pt-PT"/>
        </w:rPr>
        <w:t>Até ao fim da aula os alunos devem ser capazes de:</w:t>
      </w:r>
    </w:p>
    <w:p w:rsidR="004D5B16" w:rsidRPr="00F53619" w:rsidRDefault="004D5B16" w:rsidP="00A05CAA">
      <w:pPr>
        <w:pStyle w:val="ListParagraph"/>
        <w:numPr>
          <w:ilvl w:val="0"/>
          <w:numId w:val="13"/>
        </w:numPr>
        <w:spacing w:before="60" w:after="0"/>
        <w:contextualSpacing w:val="0"/>
        <w:jc w:val="both"/>
        <w:rPr>
          <w:rFonts w:cs="Arial"/>
          <w:lang w:val="pt-PT"/>
        </w:rPr>
      </w:pPr>
      <w:r w:rsidRPr="00F53619">
        <w:rPr>
          <w:rFonts w:cs="Arial"/>
          <w:lang w:val="pt-PT"/>
        </w:rPr>
        <w:t>Conhecer as características básicas das células e seus componentes</w:t>
      </w:r>
    </w:p>
    <w:p w:rsidR="004D5B16" w:rsidRPr="00F53619" w:rsidRDefault="004D5B16" w:rsidP="00A05CAA">
      <w:pPr>
        <w:pStyle w:val="ListParagraph"/>
        <w:numPr>
          <w:ilvl w:val="0"/>
          <w:numId w:val="13"/>
        </w:numPr>
        <w:spacing w:before="60" w:after="0"/>
        <w:contextualSpacing w:val="0"/>
        <w:jc w:val="both"/>
        <w:rPr>
          <w:rFonts w:cs="Arial"/>
          <w:lang w:val="pt-PT"/>
        </w:rPr>
      </w:pPr>
      <w:r w:rsidRPr="00F53619">
        <w:rPr>
          <w:rFonts w:cs="Arial"/>
          <w:lang w:val="pt-PT"/>
        </w:rPr>
        <w:t>Explicar o que são células procariontes e eucariontes</w:t>
      </w:r>
    </w:p>
    <w:p w:rsidR="004D5B16" w:rsidRPr="00F53619" w:rsidRDefault="004D5B16" w:rsidP="00A05CAA">
      <w:pPr>
        <w:numPr>
          <w:ilvl w:val="0"/>
          <w:numId w:val="13"/>
        </w:numPr>
        <w:spacing w:before="60" w:after="0"/>
        <w:rPr>
          <w:rFonts w:cs="Arial"/>
          <w:lang w:val="pt-PT"/>
        </w:rPr>
      </w:pPr>
      <w:r w:rsidRPr="00F53619">
        <w:rPr>
          <w:rFonts w:cs="Arial"/>
          <w:lang w:val="pt-PT"/>
        </w:rPr>
        <w:t>Explicar os conceitos básicos da herança</w:t>
      </w:r>
    </w:p>
    <w:p w:rsidR="004D5B16" w:rsidRPr="00F53619" w:rsidRDefault="004D5B16" w:rsidP="00A05CAA">
      <w:pPr>
        <w:numPr>
          <w:ilvl w:val="0"/>
          <w:numId w:val="13"/>
        </w:numPr>
        <w:spacing w:before="60" w:after="0"/>
        <w:rPr>
          <w:rFonts w:cs="Arial"/>
          <w:lang w:val="pt-PT"/>
        </w:rPr>
      </w:pPr>
      <w:r w:rsidRPr="00F53619">
        <w:rPr>
          <w:rFonts w:cs="Arial"/>
          <w:lang w:val="pt-PT"/>
        </w:rPr>
        <w:t>Definir mutações e a sua relação com doenças hereditárias, incluindo a discussão de árvores genealógicas</w:t>
      </w:r>
    </w:p>
    <w:p w:rsidR="004D5B16" w:rsidRPr="00341BE1" w:rsidRDefault="004D5B16" w:rsidP="00927EAF">
      <w:pPr>
        <w:rPr>
          <w:lang w:val="pt-BR"/>
        </w:rPr>
      </w:pPr>
      <w:r w:rsidRPr="00F53619">
        <w:rPr>
          <w:b/>
          <w:lang w:val="pt-BR"/>
        </w:rPr>
        <w:t xml:space="preserve">Nota para o Docente: </w:t>
      </w:r>
      <w:r w:rsidRPr="00341BE1">
        <w:rPr>
          <w:lang w:val="pt-BR"/>
        </w:rPr>
        <w:t>Esta aula deve ser lecionada depois de serem lecionadas as aulas 1 e 2 da disciplina de Anatomia e Fisiologia</w:t>
      </w:r>
    </w:p>
    <w:p w:rsidR="004D5B16" w:rsidRPr="00134F89" w:rsidRDefault="004D5B16" w:rsidP="004D5B16">
      <w:pPr>
        <w:tabs>
          <w:tab w:val="left" w:pos="394"/>
        </w:tabs>
        <w:spacing w:before="120" w:line="120" w:lineRule="auto"/>
        <w:contextualSpacing/>
        <w:jc w:val="both"/>
        <w:rPr>
          <w:rFonts w:cs="Arial"/>
          <w:lang w:val="pt-PT"/>
        </w:rPr>
      </w:pPr>
    </w:p>
    <w:p w:rsidR="004D5B16" w:rsidRPr="0052785B" w:rsidRDefault="004D5B16" w:rsidP="0052785B">
      <w:pPr>
        <w:rPr>
          <w:b/>
          <w:lang w:val="pt-PT"/>
        </w:rPr>
      </w:pPr>
      <w:r w:rsidRPr="0052785B">
        <w:rPr>
          <w:b/>
          <w:lang w:val="pt-PT"/>
        </w:rPr>
        <w:t>Estrutura da Aula</w:t>
      </w:r>
    </w:p>
    <w:tbl>
      <w:tblPr>
        <w:tblW w:w="10278" w:type="dxa"/>
        <w:tblBorders>
          <w:top w:val="single" w:sz="18" w:space="0" w:color="auto"/>
          <w:bottom w:val="single" w:sz="18" w:space="0" w:color="auto"/>
        </w:tblBorders>
        <w:tblLayout w:type="fixed"/>
        <w:tblLook w:val="0400" w:firstRow="0" w:lastRow="0" w:firstColumn="0" w:lastColumn="0" w:noHBand="0" w:noVBand="1"/>
      </w:tblPr>
      <w:tblGrid>
        <w:gridCol w:w="738"/>
        <w:gridCol w:w="3690"/>
        <w:gridCol w:w="4770"/>
        <w:gridCol w:w="1080"/>
      </w:tblGrid>
      <w:tr w:rsidR="004D5B16" w:rsidRPr="000D41F1" w:rsidTr="004D5B16">
        <w:trPr>
          <w:trHeight w:val="490"/>
        </w:trPr>
        <w:tc>
          <w:tcPr>
            <w:tcW w:w="738" w:type="dxa"/>
            <w:tcBorders>
              <w:top w:val="single" w:sz="18" w:space="0" w:color="auto"/>
              <w:bottom w:val="single" w:sz="18" w:space="0" w:color="auto"/>
              <w:right w:val="single" w:sz="4" w:space="0" w:color="auto"/>
            </w:tcBorders>
            <w:shd w:val="clear" w:color="auto" w:fill="B8CCE4"/>
          </w:tcPr>
          <w:p w:rsidR="004D5B16" w:rsidRPr="000D41F1" w:rsidRDefault="004D5B16" w:rsidP="004D5B16">
            <w:pPr>
              <w:spacing w:before="60" w:after="60" w:line="360" w:lineRule="auto"/>
              <w:ind w:left="-110" w:right="-108"/>
              <w:jc w:val="center"/>
              <w:rPr>
                <w:rFonts w:cs="Arial"/>
                <w:b/>
                <w:sz w:val="20"/>
                <w:szCs w:val="20"/>
                <w:lang w:val="pt-PT"/>
              </w:rPr>
            </w:pPr>
            <w:r w:rsidRPr="000D41F1">
              <w:rPr>
                <w:rFonts w:cs="Arial"/>
                <w:b/>
                <w:sz w:val="20"/>
                <w:szCs w:val="20"/>
                <w:lang w:val="pt-PT"/>
              </w:rPr>
              <w:t>Bloco</w:t>
            </w:r>
          </w:p>
        </w:tc>
        <w:tc>
          <w:tcPr>
            <w:tcW w:w="3690" w:type="dxa"/>
            <w:tcBorders>
              <w:top w:val="single" w:sz="18" w:space="0" w:color="auto"/>
              <w:left w:val="single" w:sz="4" w:space="0" w:color="auto"/>
              <w:bottom w:val="single" w:sz="18" w:space="0" w:color="auto"/>
              <w:right w:val="single" w:sz="4" w:space="0" w:color="auto"/>
            </w:tcBorders>
            <w:shd w:val="clear" w:color="auto" w:fill="B8CCE4"/>
          </w:tcPr>
          <w:p w:rsidR="004D5B16" w:rsidRPr="000D41F1" w:rsidRDefault="004D5B16" w:rsidP="004D5B16">
            <w:pPr>
              <w:spacing w:before="60" w:after="60" w:line="360" w:lineRule="auto"/>
              <w:jc w:val="center"/>
              <w:rPr>
                <w:rFonts w:cs="Arial"/>
                <w:b/>
                <w:sz w:val="20"/>
                <w:szCs w:val="20"/>
                <w:lang w:val="pt-PT"/>
              </w:rPr>
            </w:pPr>
            <w:r w:rsidRPr="000D41F1">
              <w:rPr>
                <w:rFonts w:cs="Arial"/>
                <w:b/>
                <w:sz w:val="20"/>
                <w:szCs w:val="20"/>
                <w:lang w:val="pt-PT"/>
              </w:rPr>
              <w:t>Título do Bloco</w:t>
            </w:r>
          </w:p>
        </w:tc>
        <w:tc>
          <w:tcPr>
            <w:tcW w:w="4770" w:type="dxa"/>
            <w:tcBorders>
              <w:top w:val="single" w:sz="18" w:space="0" w:color="auto"/>
              <w:left w:val="single" w:sz="4" w:space="0" w:color="auto"/>
              <w:bottom w:val="single" w:sz="18" w:space="0" w:color="auto"/>
              <w:right w:val="single" w:sz="4" w:space="0" w:color="auto"/>
            </w:tcBorders>
            <w:shd w:val="clear" w:color="auto" w:fill="B8CCE4"/>
          </w:tcPr>
          <w:p w:rsidR="004D5B16" w:rsidRPr="000D41F1" w:rsidRDefault="004D5B16" w:rsidP="004D5B16">
            <w:pPr>
              <w:tabs>
                <w:tab w:val="left" w:pos="244"/>
              </w:tabs>
              <w:spacing w:before="60" w:after="60" w:line="360" w:lineRule="auto"/>
              <w:jc w:val="center"/>
              <w:rPr>
                <w:rFonts w:cs="Arial"/>
                <w:b/>
                <w:sz w:val="20"/>
                <w:szCs w:val="20"/>
                <w:lang w:val="pt-BR"/>
              </w:rPr>
            </w:pPr>
            <w:r w:rsidRPr="000D41F1">
              <w:rPr>
                <w:rFonts w:cs="Arial"/>
                <w:b/>
                <w:sz w:val="20"/>
                <w:szCs w:val="20"/>
                <w:lang w:val="pt-PT"/>
              </w:rPr>
              <w:t>M</w:t>
            </w:r>
            <w:r w:rsidRPr="000D41F1">
              <w:rPr>
                <w:rFonts w:cs="Arial"/>
                <w:b/>
                <w:sz w:val="20"/>
                <w:szCs w:val="20"/>
                <w:lang w:val="pt-BR"/>
              </w:rPr>
              <w:t>étodo de Ensino</w:t>
            </w:r>
          </w:p>
        </w:tc>
        <w:tc>
          <w:tcPr>
            <w:tcW w:w="1080" w:type="dxa"/>
            <w:tcBorders>
              <w:top w:val="single" w:sz="18" w:space="0" w:color="auto"/>
              <w:left w:val="single" w:sz="4" w:space="0" w:color="auto"/>
              <w:bottom w:val="single" w:sz="18" w:space="0" w:color="auto"/>
            </w:tcBorders>
            <w:shd w:val="clear" w:color="auto" w:fill="B8CCE4"/>
          </w:tcPr>
          <w:p w:rsidR="004D5B16" w:rsidRPr="000D41F1" w:rsidRDefault="004D5B16" w:rsidP="004D5B16">
            <w:pPr>
              <w:tabs>
                <w:tab w:val="left" w:pos="244"/>
              </w:tabs>
              <w:spacing w:before="60" w:after="60" w:line="360" w:lineRule="auto"/>
              <w:jc w:val="center"/>
              <w:rPr>
                <w:rFonts w:cs="Arial"/>
                <w:b/>
                <w:sz w:val="20"/>
                <w:szCs w:val="20"/>
                <w:lang w:val="pt-BR"/>
              </w:rPr>
            </w:pPr>
            <w:r w:rsidRPr="000D41F1">
              <w:rPr>
                <w:rFonts w:cs="Arial"/>
                <w:b/>
                <w:sz w:val="20"/>
                <w:szCs w:val="20"/>
                <w:lang w:val="pt-PT"/>
              </w:rPr>
              <w:t>Duração</w:t>
            </w:r>
          </w:p>
        </w:tc>
      </w:tr>
      <w:tr w:rsidR="004D5B16" w:rsidRPr="000D41F1" w:rsidTr="004D5B16">
        <w:tc>
          <w:tcPr>
            <w:tcW w:w="738" w:type="dxa"/>
            <w:tcBorders>
              <w:top w:val="single" w:sz="18" w:space="0" w:color="auto"/>
              <w:bottom w:val="single" w:sz="4" w:space="0" w:color="auto"/>
              <w:right w:val="single" w:sz="4" w:space="0" w:color="auto"/>
            </w:tcBorders>
            <w:shd w:val="clear" w:color="auto" w:fill="FFFFFF"/>
          </w:tcPr>
          <w:p w:rsidR="004D5B16" w:rsidRPr="000D41F1" w:rsidRDefault="004D5B16" w:rsidP="004D5B16">
            <w:pPr>
              <w:spacing w:before="60" w:after="60" w:line="360" w:lineRule="auto"/>
              <w:ind w:left="-110" w:right="-108"/>
              <w:jc w:val="center"/>
              <w:rPr>
                <w:rFonts w:cs="Arial"/>
                <w:sz w:val="20"/>
                <w:szCs w:val="20"/>
                <w:lang w:val="pt-PT"/>
              </w:rPr>
            </w:pPr>
            <w:r w:rsidRPr="000D41F1">
              <w:rPr>
                <w:rFonts w:cs="Arial"/>
                <w:sz w:val="20"/>
                <w:szCs w:val="20"/>
                <w:lang w:val="pt-PT"/>
              </w:rPr>
              <w:t>1</w:t>
            </w:r>
          </w:p>
        </w:tc>
        <w:tc>
          <w:tcPr>
            <w:tcW w:w="3690" w:type="dxa"/>
            <w:tcBorders>
              <w:top w:val="single" w:sz="18" w:space="0" w:color="auto"/>
              <w:left w:val="single" w:sz="4" w:space="0" w:color="auto"/>
              <w:bottom w:val="single" w:sz="4" w:space="0" w:color="auto"/>
              <w:right w:val="single" w:sz="4" w:space="0" w:color="auto"/>
            </w:tcBorders>
            <w:shd w:val="clear" w:color="auto" w:fill="FFFFFF"/>
          </w:tcPr>
          <w:p w:rsidR="004D5B16" w:rsidRPr="000D41F1" w:rsidRDefault="004D5B16" w:rsidP="004D5B16">
            <w:pPr>
              <w:tabs>
                <w:tab w:val="left" w:pos="244"/>
              </w:tabs>
              <w:spacing w:before="60" w:after="60" w:line="480" w:lineRule="auto"/>
              <w:rPr>
                <w:rFonts w:cs="Arial"/>
                <w:sz w:val="20"/>
                <w:szCs w:val="20"/>
              </w:rPr>
            </w:pPr>
            <w:r w:rsidRPr="000D41F1">
              <w:rPr>
                <w:rFonts w:cs="Arial"/>
                <w:sz w:val="20"/>
                <w:szCs w:val="20"/>
              </w:rPr>
              <w:t xml:space="preserve">Introdução à Disciplina </w:t>
            </w:r>
          </w:p>
          <w:p w:rsidR="004D5B16" w:rsidRPr="000D41F1" w:rsidRDefault="004D5B16" w:rsidP="004D5B16">
            <w:pPr>
              <w:spacing w:before="60" w:after="60" w:line="360" w:lineRule="auto"/>
              <w:ind w:left="270" w:hanging="270"/>
              <w:jc w:val="both"/>
              <w:rPr>
                <w:rFonts w:cs="Arial"/>
                <w:sz w:val="20"/>
                <w:szCs w:val="20"/>
                <w:lang w:val="pt-PT"/>
              </w:rPr>
            </w:pPr>
          </w:p>
        </w:tc>
        <w:tc>
          <w:tcPr>
            <w:tcW w:w="4770" w:type="dxa"/>
            <w:tcBorders>
              <w:top w:val="single" w:sz="18" w:space="0" w:color="auto"/>
              <w:left w:val="single" w:sz="4" w:space="0" w:color="auto"/>
              <w:bottom w:val="single" w:sz="4" w:space="0" w:color="auto"/>
              <w:right w:val="single" w:sz="4" w:space="0" w:color="auto"/>
            </w:tcBorders>
            <w:shd w:val="clear" w:color="auto" w:fill="FFFFFF"/>
          </w:tcPr>
          <w:p w:rsidR="004D5B16" w:rsidRPr="000D41F1" w:rsidRDefault="004D5B16" w:rsidP="004D5B16">
            <w:pPr>
              <w:tabs>
                <w:tab w:val="left" w:pos="244"/>
              </w:tabs>
              <w:spacing w:before="60" w:after="60" w:line="360" w:lineRule="auto"/>
              <w:jc w:val="both"/>
              <w:rPr>
                <w:rFonts w:cs="Arial"/>
                <w:sz w:val="20"/>
                <w:szCs w:val="20"/>
                <w:lang w:val="pt-PT"/>
              </w:rPr>
            </w:pPr>
          </w:p>
          <w:p w:rsidR="004D5B16" w:rsidRPr="000D41F1" w:rsidRDefault="004D5B16" w:rsidP="004D5B16">
            <w:pPr>
              <w:tabs>
                <w:tab w:val="left" w:pos="244"/>
              </w:tabs>
              <w:spacing w:before="60" w:after="60" w:line="360" w:lineRule="auto"/>
              <w:jc w:val="both"/>
              <w:rPr>
                <w:rFonts w:cs="Arial"/>
                <w:sz w:val="20"/>
                <w:szCs w:val="20"/>
                <w:lang w:val="pt-PT"/>
              </w:rPr>
            </w:pPr>
          </w:p>
        </w:tc>
        <w:tc>
          <w:tcPr>
            <w:tcW w:w="1080" w:type="dxa"/>
            <w:tcBorders>
              <w:top w:val="single" w:sz="18" w:space="0" w:color="auto"/>
              <w:left w:val="single" w:sz="4" w:space="0" w:color="auto"/>
              <w:bottom w:val="single" w:sz="4" w:space="0" w:color="auto"/>
            </w:tcBorders>
            <w:shd w:val="clear" w:color="auto" w:fill="FFFFFF"/>
          </w:tcPr>
          <w:p w:rsidR="004D5B16" w:rsidRPr="000D41F1" w:rsidRDefault="004D5B16" w:rsidP="004D5B16">
            <w:pPr>
              <w:tabs>
                <w:tab w:val="left" w:pos="244"/>
              </w:tabs>
              <w:spacing w:before="60" w:after="60" w:line="360" w:lineRule="auto"/>
              <w:jc w:val="both"/>
              <w:rPr>
                <w:rFonts w:cs="Arial"/>
                <w:sz w:val="20"/>
                <w:szCs w:val="20"/>
                <w:lang w:val="pt-PT"/>
              </w:rPr>
            </w:pPr>
          </w:p>
        </w:tc>
      </w:tr>
      <w:tr w:rsidR="004D5B16" w:rsidRPr="000D41F1" w:rsidTr="004D5B16">
        <w:tc>
          <w:tcPr>
            <w:tcW w:w="738" w:type="dxa"/>
            <w:tcBorders>
              <w:top w:val="single" w:sz="4" w:space="0" w:color="auto"/>
              <w:bottom w:val="single" w:sz="4" w:space="0" w:color="auto"/>
              <w:right w:val="single" w:sz="4" w:space="0" w:color="auto"/>
            </w:tcBorders>
            <w:shd w:val="clear" w:color="auto" w:fill="D9D9D9"/>
          </w:tcPr>
          <w:p w:rsidR="004D5B16" w:rsidRPr="000D41F1" w:rsidRDefault="004D5B16" w:rsidP="004D5B16">
            <w:pPr>
              <w:spacing w:before="60" w:after="60" w:line="360" w:lineRule="auto"/>
              <w:ind w:left="-110" w:right="-108"/>
              <w:jc w:val="center"/>
              <w:rPr>
                <w:rFonts w:cs="Arial"/>
                <w:sz w:val="20"/>
                <w:szCs w:val="20"/>
                <w:lang w:val="pt-PT"/>
              </w:rPr>
            </w:pPr>
            <w:r w:rsidRPr="000D41F1">
              <w:rPr>
                <w:rFonts w:cs="Arial"/>
                <w:sz w:val="20"/>
                <w:szCs w:val="20"/>
                <w:lang w:val="pt-PT"/>
              </w:rPr>
              <w:t>2</w:t>
            </w:r>
          </w:p>
        </w:tc>
        <w:tc>
          <w:tcPr>
            <w:tcW w:w="3690" w:type="dxa"/>
            <w:tcBorders>
              <w:top w:val="single" w:sz="4" w:space="0" w:color="auto"/>
              <w:left w:val="single" w:sz="4" w:space="0" w:color="auto"/>
              <w:bottom w:val="single" w:sz="4" w:space="0" w:color="auto"/>
              <w:right w:val="single" w:sz="4" w:space="0" w:color="auto"/>
            </w:tcBorders>
            <w:shd w:val="clear" w:color="auto" w:fill="D9D9D9"/>
          </w:tcPr>
          <w:p w:rsidR="004D5B16" w:rsidRPr="000D41F1" w:rsidRDefault="004D5B16" w:rsidP="004D5B16">
            <w:pPr>
              <w:spacing w:before="60" w:after="60" w:line="360" w:lineRule="auto"/>
              <w:ind w:left="270" w:hanging="270"/>
              <w:jc w:val="both"/>
              <w:rPr>
                <w:rFonts w:cs="Arial"/>
                <w:sz w:val="20"/>
                <w:szCs w:val="20"/>
                <w:lang w:val="pt-PT"/>
              </w:rPr>
            </w:pPr>
            <w:r w:rsidRPr="000D41F1">
              <w:rPr>
                <w:rFonts w:cs="Arial"/>
                <w:sz w:val="20"/>
                <w:szCs w:val="20"/>
              </w:rPr>
              <w:t>Introdução à Aula</w:t>
            </w:r>
          </w:p>
        </w:tc>
        <w:tc>
          <w:tcPr>
            <w:tcW w:w="4770" w:type="dxa"/>
            <w:tcBorders>
              <w:top w:val="single" w:sz="4" w:space="0" w:color="auto"/>
              <w:left w:val="single" w:sz="4" w:space="0" w:color="auto"/>
              <w:bottom w:val="single" w:sz="4" w:space="0" w:color="auto"/>
              <w:right w:val="single" w:sz="4" w:space="0" w:color="auto"/>
            </w:tcBorders>
            <w:shd w:val="clear" w:color="auto" w:fill="D9D9D9"/>
          </w:tcPr>
          <w:p w:rsidR="004D5B16" w:rsidRPr="000D41F1" w:rsidRDefault="004D5B16" w:rsidP="004D5B16">
            <w:pPr>
              <w:tabs>
                <w:tab w:val="left" w:pos="244"/>
              </w:tabs>
              <w:spacing w:before="60" w:after="60" w:line="360" w:lineRule="auto"/>
              <w:jc w:val="both"/>
              <w:rPr>
                <w:rFonts w:cs="Arial"/>
                <w:sz w:val="20"/>
                <w:szCs w:val="20"/>
                <w:lang w:val="pt-PT"/>
              </w:rPr>
            </w:pPr>
          </w:p>
          <w:p w:rsidR="004D5B16" w:rsidRPr="000D41F1" w:rsidRDefault="004D5B16" w:rsidP="004D5B16">
            <w:pPr>
              <w:tabs>
                <w:tab w:val="left" w:pos="244"/>
              </w:tabs>
              <w:spacing w:before="60" w:after="60" w:line="360" w:lineRule="auto"/>
              <w:jc w:val="both"/>
              <w:rPr>
                <w:rFonts w:cs="Arial"/>
                <w:sz w:val="20"/>
                <w:szCs w:val="20"/>
                <w:lang w:val="pt-PT"/>
              </w:rPr>
            </w:pPr>
          </w:p>
        </w:tc>
        <w:tc>
          <w:tcPr>
            <w:tcW w:w="1080" w:type="dxa"/>
            <w:tcBorders>
              <w:top w:val="single" w:sz="4" w:space="0" w:color="auto"/>
              <w:left w:val="single" w:sz="4" w:space="0" w:color="auto"/>
              <w:bottom w:val="single" w:sz="4" w:space="0" w:color="auto"/>
            </w:tcBorders>
            <w:shd w:val="clear" w:color="auto" w:fill="D9D9D9"/>
          </w:tcPr>
          <w:p w:rsidR="004D5B16" w:rsidRPr="000D41F1" w:rsidRDefault="004D5B16" w:rsidP="004D5B16">
            <w:pPr>
              <w:tabs>
                <w:tab w:val="left" w:pos="244"/>
              </w:tabs>
              <w:spacing w:before="60" w:after="60" w:line="360" w:lineRule="auto"/>
              <w:jc w:val="both"/>
              <w:rPr>
                <w:rFonts w:cs="Arial"/>
                <w:sz w:val="20"/>
                <w:szCs w:val="20"/>
                <w:lang w:val="pt-PT"/>
              </w:rPr>
            </w:pPr>
          </w:p>
        </w:tc>
      </w:tr>
      <w:tr w:rsidR="004D5B16" w:rsidRPr="000D41F1" w:rsidTr="004D5B16">
        <w:tc>
          <w:tcPr>
            <w:tcW w:w="738" w:type="dxa"/>
            <w:tcBorders>
              <w:top w:val="single" w:sz="4" w:space="0" w:color="auto"/>
              <w:bottom w:val="single" w:sz="4" w:space="0" w:color="auto"/>
              <w:right w:val="single" w:sz="4" w:space="0" w:color="auto"/>
            </w:tcBorders>
          </w:tcPr>
          <w:p w:rsidR="004D5B16" w:rsidRPr="000D41F1" w:rsidRDefault="004D5B16" w:rsidP="004D5B16">
            <w:pPr>
              <w:spacing w:before="60" w:after="60" w:line="360" w:lineRule="auto"/>
              <w:ind w:left="-110" w:right="-108"/>
              <w:jc w:val="center"/>
              <w:rPr>
                <w:rFonts w:cs="Arial"/>
                <w:sz w:val="20"/>
                <w:szCs w:val="20"/>
                <w:lang w:val="pt-PT"/>
              </w:rPr>
            </w:pPr>
            <w:r w:rsidRPr="000D41F1">
              <w:rPr>
                <w:rFonts w:cs="Arial"/>
                <w:sz w:val="20"/>
                <w:szCs w:val="20"/>
                <w:lang w:val="pt-PT"/>
              </w:rPr>
              <w:t>3</w:t>
            </w:r>
          </w:p>
        </w:tc>
        <w:tc>
          <w:tcPr>
            <w:tcW w:w="3690" w:type="dxa"/>
            <w:tcBorders>
              <w:top w:val="single" w:sz="4" w:space="0" w:color="auto"/>
              <w:left w:val="single" w:sz="4" w:space="0" w:color="auto"/>
              <w:bottom w:val="single" w:sz="4" w:space="0" w:color="auto"/>
              <w:right w:val="single" w:sz="4" w:space="0" w:color="auto"/>
            </w:tcBorders>
          </w:tcPr>
          <w:p w:rsidR="004D5B16" w:rsidRPr="000D41F1" w:rsidRDefault="004D5B16" w:rsidP="004D5B16">
            <w:pPr>
              <w:spacing w:before="60" w:after="60" w:line="360" w:lineRule="auto"/>
              <w:jc w:val="both"/>
              <w:rPr>
                <w:rFonts w:cs="Arial"/>
                <w:sz w:val="20"/>
                <w:szCs w:val="20"/>
              </w:rPr>
            </w:pPr>
            <w:r w:rsidRPr="000D41F1">
              <w:rPr>
                <w:rFonts w:cs="Arial"/>
                <w:sz w:val="20"/>
                <w:szCs w:val="20"/>
              </w:rPr>
              <w:t>Generalidades sobre a Célula</w:t>
            </w:r>
          </w:p>
          <w:p w:rsidR="004D5B16" w:rsidRPr="000D41F1" w:rsidRDefault="004D5B16" w:rsidP="004D5B16">
            <w:pPr>
              <w:spacing w:before="60" w:after="60" w:line="360" w:lineRule="auto"/>
              <w:jc w:val="both"/>
              <w:rPr>
                <w:rFonts w:cs="Arial"/>
                <w:sz w:val="20"/>
                <w:szCs w:val="20"/>
                <w:lang w:val="pt-PT"/>
              </w:rPr>
            </w:pPr>
          </w:p>
        </w:tc>
        <w:tc>
          <w:tcPr>
            <w:tcW w:w="4770" w:type="dxa"/>
            <w:tcBorders>
              <w:top w:val="single" w:sz="4" w:space="0" w:color="auto"/>
              <w:left w:val="single" w:sz="4" w:space="0" w:color="auto"/>
              <w:bottom w:val="single" w:sz="4" w:space="0" w:color="auto"/>
              <w:right w:val="single" w:sz="4" w:space="0" w:color="auto"/>
            </w:tcBorders>
          </w:tcPr>
          <w:p w:rsidR="004D5B16" w:rsidRPr="000D41F1" w:rsidRDefault="004D5B16" w:rsidP="004D5B16">
            <w:pPr>
              <w:tabs>
                <w:tab w:val="left" w:pos="244"/>
              </w:tabs>
              <w:spacing w:before="60" w:after="60" w:line="360" w:lineRule="auto"/>
              <w:jc w:val="both"/>
              <w:rPr>
                <w:rFonts w:cs="Arial"/>
                <w:sz w:val="20"/>
                <w:szCs w:val="20"/>
                <w:lang w:val="pt-PT"/>
              </w:rPr>
            </w:pPr>
          </w:p>
        </w:tc>
        <w:tc>
          <w:tcPr>
            <w:tcW w:w="1080" w:type="dxa"/>
            <w:tcBorders>
              <w:top w:val="single" w:sz="4" w:space="0" w:color="auto"/>
              <w:left w:val="single" w:sz="4" w:space="0" w:color="auto"/>
              <w:bottom w:val="single" w:sz="4" w:space="0" w:color="auto"/>
            </w:tcBorders>
          </w:tcPr>
          <w:p w:rsidR="004D5B16" w:rsidRPr="000D41F1" w:rsidRDefault="004D5B16" w:rsidP="004D5B16">
            <w:pPr>
              <w:tabs>
                <w:tab w:val="left" w:pos="244"/>
              </w:tabs>
              <w:spacing w:before="60" w:after="60" w:line="360" w:lineRule="auto"/>
              <w:jc w:val="both"/>
              <w:rPr>
                <w:rFonts w:cs="Arial"/>
                <w:sz w:val="20"/>
                <w:szCs w:val="20"/>
                <w:lang w:val="pt-PT"/>
              </w:rPr>
            </w:pPr>
          </w:p>
        </w:tc>
      </w:tr>
      <w:tr w:rsidR="004D5B16" w:rsidRPr="000D41F1" w:rsidTr="004D5B16">
        <w:tc>
          <w:tcPr>
            <w:tcW w:w="738" w:type="dxa"/>
            <w:tcBorders>
              <w:top w:val="single" w:sz="4" w:space="0" w:color="auto"/>
              <w:bottom w:val="single" w:sz="4" w:space="0" w:color="auto"/>
              <w:right w:val="single" w:sz="4" w:space="0" w:color="auto"/>
            </w:tcBorders>
            <w:shd w:val="clear" w:color="auto" w:fill="D8D8D8"/>
          </w:tcPr>
          <w:p w:rsidR="004D5B16" w:rsidRPr="000D41F1" w:rsidRDefault="004D5B16" w:rsidP="004D5B16">
            <w:pPr>
              <w:spacing w:before="60" w:after="60" w:line="360" w:lineRule="auto"/>
              <w:ind w:left="-110" w:right="-108"/>
              <w:jc w:val="center"/>
              <w:rPr>
                <w:rFonts w:cs="Arial"/>
                <w:sz w:val="20"/>
                <w:szCs w:val="20"/>
                <w:lang w:val="pt-PT"/>
              </w:rPr>
            </w:pPr>
            <w:r w:rsidRPr="000D41F1">
              <w:rPr>
                <w:rFonts w:cs="Arial"/>
                <w:sz w:val="20"/>
                <w:szCs w:val="20"/>
                <w:lang w:val="pt-PT"/>
              </w:rPr>
              <w:t>4</w:t>
            </w:r>
          </w:p>
        </w:tc>
        <w:tc>
          <w:tcPr>
            <w:tcW w:w="3690" w:type="dxa"/>
            <w:tcBorders>
              <w:top w:val="single" w:sz="4" w:space="0" w:color="auto"/>
              <w:left w:val="single" w:sz="4" w:space="0" w:color="auto"/>
              <w:bottom w:val="single" w:sz="4" w:space="0" w:color="auto"/>
              <w:right w:val="single" w:sz="4" w:space="0" w:color="auto"/>
            </w:tcBorders>
            <w:shd w:val="clear" w:color="auto" w:fill="D8D8D8"/>
          </w:tcPr>
          <w:p w:rsidR="004D5B16" w:rsidRPr="000D41F1" w:rsidRDefault="004D5B16" w:rsidP="004D5B16">
            <w:pPr>
              <w:spacing w:line="480" w:lineRule="auto"/>
              <w:rPr>
                <w:rFonts w:cs="Arial"/>
                <w:color w:val="000000"/>
                <w:sz w:val="20"/>
                <w:szCs w:val="20"/>
                <w:lang w:val="pt-PT"/>
              </w:rPr>
            </w:pPr>
            <w:r w:rsidRPr="000D41F1">
              <w:rPr>
                <w:rFonts w:cs="Arial"/>
                <w:color w:val="000000"/>
                <w:sz w:val="20"/>
                <w:szCs w:val="20"/>
                <w:lang w:val="pt-PT"/>
              </w:rPr>
              <w:t>Conceitos Básicos sobre Genética</w:t>
            </w:r>
          </w:p>
          <w:p w:rsidR="004D5B16" w:rsidRPr="000D41F1" w:rsidRDefault="004D5B16" w:rsidP="004D5B16">
            <w:pPr>
              <w:spacing w:before="60" w:after="60" w:line="360" w:lineRule="auto"/>
              <w:ind w:left="-18" w:firstLine="18"/>
              <w:jc w:val="both"/>
              <w:rPr>
                <w:rFonts w:cs="Arial"/>
                <w:sz w:val="20"/>
                <w:szCs w:val="20"/>
                <w:lang w:val="pt-PT"/>
              </w:rPr>
            </w:pPr>
          </w:p>
        </w:tc>
        <w:tc>
          <w:tcPr>
            <w:tcW w:w="4770" w:type="dxa"/>
            <w:tcBorders>
              <w:top w:val="single" w:sz="4" w:space="0" w:color="auto"/>
              <w:left w:val="single" w:sz="4" w:space="0" w:color="auto"/>
              <w:bottom w:val="single" w:sz="4" w:space="0" w:color="auto"/>
              <w:right w:val="single" w:sz="4" w:space="0" w:color="auto"/>
            </w:tcBorders>
            <w:shd w:val="clear" w:color="auto" w:fill="D8D8D8"/>
          </w:tcPr>
          <w:p w:rsidR="004D5B16" w:rsidRPr="000D41F1" w:rsidRDefault="004D5B16" w:rsidP="004D5B16">
            <w:pPr>
              <w:spacing w:before="60" w:after="60" w:line="360" w:lineRule="auto"/>
              <w:ind w:left="-18" w:firstLine="18"/>
              <w:jc w:val="both"/>
              <w:rPr>
                <w:rFonts w:cs="Arial"/>
                <w:sz w:val="20"/>
                <w:szCs w:val="20"/>
                <w:lang w:val="pt-PT"/>
              </w:rPr>
            </w:pPr>
          </w:p>
          <w:p w:rsidR="004D5B16" w:rsidRPr="000D41F1" w:rsidRDefault="004D5B16" w:rsidP="004D5B16">
            <w:pPr>
              <w:spacing w:before="60" w:after="60" w:line="360" w:lineRule="auto"/>
              <w:ind w:left="-18" w:firstLine="18"/>
              <w:jc w:val="both"/>
              <w:rPr>
                <w:rFonts w:cs="Arial"/>
                <w:sz w:val="20"/>
                <w:szCs w:val="20"/>
                <w:lang w:val="pt-PT"/>
              </w:rPr>
            </w:pPr>
          </w:p>
        </w:tc>
        <w:tc>
          <w:tcPr>
            <w:tcW w:w="1080" w:type="dxa"/>
            <w:tcBorders>
              <w:top w:val="single" w:sz="4" w:space="0" w:color="auto"/>
              <w:left w:val="single" w:sz="4" w:space="0" w:color="auto"/>
              <w:bottom w:val="single" w:sz="4" w:space="0" w:color="auto"/>
            </w:tcBorders>
            <w:shd w:val="clear" w:color="auto" w:fill="D8D8D8"/>
          </w:tcPr>
          <w:p w:rsidR="004D5B16" w:rsidRPr="000D41F1" w:rsidRDefault="004D5B16" w:rsidP="004D5B16">
            <w:pPr>
              <w:spacing w:before="60" w:after="60" w:line="360" w:lineRule="auto"/>
              <w:ind w:left="-18" w:firstLine="18"/>
              <w:jc w:val="both"/>
              <w:rPr>
                <w:rFonts w:cs="Arial"/>
                <w:sz w:val="20"/>
                <w:szCs w:val="20"/>
                <w:lang w:val="pt-PT"/>
              </w:rPr>
            </w:pPr>
          </w:p>
        </w:tc>
      </w:tr>
      <w:tr w:rsidR="004D5B16" w:rsidRPr="000D41F1" w:rsidTr="004D5B16">
        <w:tc>
          <w:tcPr>
            <w:tcW w:w="738" w:type="dxa"/>
            <w:tcBorders>
              <w:top w:val="single" w:sz="4" w:space="0" w:color="auto"/>
              <w:bottom w:val="single" w:sz="4" w:space="0" w:color="auto"/>
              <w:right w:val="single" w:sz="4" w:space="0" w:color="auto"/>
            </w:tcBorders>
          </w:tcPr>
          <w:p w:rsidR="004D5B16" w:rsidRPr="000D41F1" w:rsidRDefault="004D5B16" w:rsidP="004D5B16">
            <w:pPr>
              <w:spacing w:before="60" w:after="60" w:line="360" w:lineRule="auto"/>
              <w:ind w:left="-110" w:right="-108"/>
              <w:jc w:val="center"/>
              <w:rPr>
                <w:rFonts w:cs="Arial"/>
                <w:sz w:val="20"/>
                <w:szCs w:val="20"/>
                <w:lang w:val="pt-PT"/>
              </w:rPr>
            </w:pPr>
            <w:r w:rsidRPr="000D41F1">
              <w:rPr>
                <w:rFonts w:cs="Arial"/>
                <w:sz w:val="20"/>
                <w:szCs w:val="20"/>
                <w:lang w:val="pt-PT"/>
              </w:rPr>
              <w:t>5</w:t>
            </w:r>
          </w:p>
        </w:tc>
        <w:tc>
          <w:tcPr>
            <w:tcW w:w="3690" w:type="dxa"/>
            <w:tcBorders>
              <w:top w:val="single" w:sz="4" w:space="0" w:color="auto"/>
              <w:left w:val="single" w:sz="4" w:space="0" w:color="auto"/>
              <w:bottom w:val="single" w:sz="4" w:space="0" w:color="auto"/>
              <w:right w:val="single" w:sz="4" w:space="0" w:color="auto"/>
            </w:tcBorders>
          </w:tcPr>
          <w:p w:rsidR="004D5B16" w:rsidRPr="000D41F1" w:rsidRDefault="004D5B16" w:rsidP="004D5B16">
            <w:pPr>
              <w:spacing w:before="60" w:after="60" w:line="360" w:lineRule="auto"/>
              <w:ind w:left="-18" w:firstLine="18"/>
              <w:rPr>
                <w:rFonts w:cs="Arial"/>
                <w:sz w:val="20"/>
                <w:szCs w:val="20"/>
                <w:lang w:val="pt-PT"/>
              </w:rPr>
            </w:pPr>
            <w:r w:rsidRPr="000D41F1">
              <w:rPr>
                <w:rFonts w:cs="Arial"/>
                <w:sz w:val="20"/>
                <w:szCs w:val="20"/>
                <w:lang w:val="pt-BR"/>
              </w:rPr>
              <w:t>As Leis de Mendel</w:t>
            </w:r>
          </w:p>
        </w:tc>
        <w:tc>
          <w:tcPr>
            <w:tcW w:w="4770" w:type="dxa"/>
            <w:tcBorders>
              <w:top w:val="single" w:sz="4" w:space="0" w:color="auto"/>
              <w:left w:val="single" w:sz="4" w:space="0" w:color="auto"/>
              <w:bottom w:val="single" w:sz="4" w:space="0" w:color="auto"/>
              <w:right w:val="single" w:sz="4" w:space="0" w:color="auto"/>
            </w:tcBorders>
          </w:tcPr>
          <w:p w:rsidR="004D5B16" w:rsidRPr="000D41F1" w:rsidRDefault="004D5B16" w:rsidP="004D5B16">
            <w:pPr>
              <w:spacing w:before="60" w:after="60" w:line="360" w:lineRule="auto"/>
              <w:ind w:left="-18" w:firstLine="18"/>
              <w:jc w:val="both"/>
              <w:rPr>
                <w:rFonts w:cs="Arial"/>
                <w:sz w:val="20"/>
                <w:szCs w:val="20"/>
                <w:lang w:val="pt-PT"/>
              </w:rPr>
            </w:pPr>
          </w:p>
        </w:tc>
        <w:tc>
          <w:tcPr>
            <w:tcW w:w="1080" w:type="dxa"/>
            <w:tcBorders>
              <w:top w:val="single" w:sz="4" w:space="0" w:color="auto"/>
              <w:left w:val="single" w:sz="4" w:space="0" w:color="auto"/>
              <w:bottom w:val="single" w:sz="4" w:space="0" w:color="auto"/>
            </w:tcBorders>
          </w:tcPr>
          <w:p w:rsidR="004D5B16" w:rsidRPr="000D41F1" w:rsidRDefault="004D5B16" w:rsidP="004D5B16">
            <w:pPr>
              <w:spacing w:before="60" w:after="60" w:line="360" w:lineRule="auto"/>
              <w:ind w:left="-18" w:firstLine="18"/>
              <w:jc w:val="both"/>
              <w:rPr>
                <w:rFonts w:cs="Arial"/>
                <w:sz w:val="20"/>
                <w:szCs w:val="20"/>
                <w:lang w:val="pt-PT"/>
              </w:rPr>
            </w:pPr>
          </w:p>
        </w:tc>
      </w:tr>
      <w:tr w:rsidR="004D5B16" w:rsidRPr="000D41F1" w:rsidTr="004D5B16">
        <w:tc>
          <w:tcPr>
            <w:tcW w:w="738" w:type="dxa"/>
            <w:tcBorders>
              <w:top w:val="single" w:sz="4" w:space="0" w:color="auto"/>
              <w:bottom w:val="single" w:sz="4" w:space="0" w:color="auto"/>
              <w:right w:val="single" w:sz="4" w:space="0" w:color="auto"/>
            </w:tcBorders>
            <w:shd w:val="clear" w:color="auto" w:fill="D8D8D8"/>
          </w:tcPr>
          <w:p w:rsidR="004D5B16" w:rsidRPr="000D41F1" w:rsidRDefault="004D5B16" w:rsidP="004D5B16">
            <w:pPr>
              <w:spacing w:before="60" w:after="60" w:line="360" w:lineRule="auto"/>
              <w:ind w:left="-110" w:right="-108"/>
              <w:jc w:val="center"/>
              <w:rPr>
                <w:rFonts w:cs="Arial"/>
                <w:sz w:val="20"/>
                <w:szCs w:val="20"/>
                <w:lang w:val="pt-PT"/>
              </w:rPr>
            </w:pPr>
            <w:r w:rsidRPr="000D41F1">
              <w:rPr>
                <w:rFonts w:cs="Arial"/>
                <w:sz w:val="20"/>
                <w:szCs w:val="20"/>
                <w:lang w:val="pt-PT"/>
              </w:rPr>
              <w:t>6</w:t>
            </w:r>
          </w:p>
        </w:tc>
        <w:tc>
          <w:tcPr>
            <w:tcW w:w="3690" w:type="dxa"/>
            <w:tcBorders>
              <w:top w:val="single" w:sz="4" w:space="0" w:color="auto"/>
              <w:left w:val="single" w:sz="4" w:space="0" w:color="auto"/>
              <w:bottom w:val="single" w:sz="4" w:space="0" w:color="auto"/>
              <w:right w:val="single" w:sz="4" w:space="0" w:color="auto"/>
            </w:tcBorders>
            <w:shd w:val="clear" w:color="auto" w:fill="D8D8D8"/>
          </w:tcPr>
          <w:p w:rsidR="004D5B16" w:rsidRPr="000D41F1" w:rsidRDefault="004D5B16" w:rsidP="004D5B16">
            <w:pPr>
              <w:tabs>
                <w:tab w:val="left" w:pos="244"/>
              </w:tabs>
              <w:spacing w:before="60" w:after="60" w:line="480" w:lineRule="auto"/>
              <w:rPr>
                <w:rFonts w:cs="Arial"/>
                <w:sz w:val="20"/>
                <w:szCs w:val="20"/>
                <w:lang w:val="pt-BR"/>
              </w:rPr>
            </w:pPr>
            <w:r w:rsidRPr="000D41F1">
              <w:rPr>
                <w:rFonts w:cs="Arial"/>
                <w:sz w:val="20"/>
                <w:szCs w:val="20"/>
                <w:lang w:val="pt-BR"/>
              </w:rPr>
              <w:t>Mutações e Doenças Hereditárias</w:t>
            </w:r>
          </w:p>
          <w:p w:rsidR="004D5B16" w:rsidRPr="000D41F1" w:rsidRDefault="004D5B16" w:rsidP="004D5B16">
            <w:pPr>
              <w:spacing w:before="60" w:after="60" w:line="360" w:lineRule="auto"/>
              <w:ind w:left="-18" w:firstLine="18"/>
              <w:jc w:val="both"/>
              <w:rPr>
                <w:rFonts w:cs="Arial"/>
                <w:sz w:val="20"/>
                <w:szCs w:val="20"/>
                <w:lang w:val="pt-PT"/>
              </w:rPr>
            </w:pPr>
          </w:p>
        </w:tc>
        <w:tc>
          <w:tcPr>
            <w:tcW w:w="4770" w:type="dxa"/>
            <w:tcBorders>
              <w:top w:val="single" w:sz="4" w:space="0" w:color="auto"/>
              <w:left w:val="single" w:sz="4" w:space="0" w:color="auto"/>
              <w:bottom w:val="single" w:sz="4" w:space="0" w:color="auto"/>
              <w:right w:val="single" w:sz="4" w:space="0" w:color="auto"/>
            </w:tcBorders>
            <w:shd w:val="clear" w:color="auto" w:fill="D8D8D8"/>
          </w:tcPr>
          <w:p w:rsidR="004D5B16" w:rsidRPr="000D41F1" w:rsidRDefault="004D5B16" w:rsidP="004D5B16">
            <w:pPr>
              <w:spacing w:before="60" w:after="60" w:line="360" w:lineRule="auto"/>
              <w:ind w:left="-18" w:firstLine="18"/>
              <w:jc w:val="both"/>
              <w:rPr>
                <w:rFonts w:cs="Arial"/>
                <w:sz w:val="20"/>
                <w:szCs w:val="20"/>
                <w:lang w:val="pt-PT"/>
              </w:rPr>
            </w:pPr>
          </w:p>
        </w:tc>
        <w:tc>
          <w:tcPr>
            <w:tcW w:w="1080" w:type="dxa"/>
            <w:tcBorders>
              <w:top w:val="single" w:sz="4" w:space="0" w:color="auto"/>
              <w:left w:val="single" w:sz="4" w:space="0" w:color="auto"/>
              <w:bottom w:val="single" w:sz="4" w:space="0" w:color="auto"/>
            </w:tcBorders>
            <w:shd w:val="clear" w:color="auto" w:fill="D8D8D8"/>
          </w:tcPr>
          <w:p w:rsidR="004D5B16" w:rsidRPr="000D41F1" w:rsidRDefault="004D5B16" w:rsidP="004D5B16">
            <w:pPr>
              <w:spacing w:before="60" w:after="60" w:line="360" w:lineRule="auto"/>
              <w:ind w:left="-18" w:firstLine="18"/>
              <w:jc w:val="both"/>
              <w:rPr>
                <w:rFonts w:cs="Arial"/>
                <w:sz w:val="20"/>
                <w:szCs w:val="20"/>
                <w:lang w:val="pt-PT"/>
              </w:rPr>
            </w:pPr>
          </w:p>
        </w:tc>
      </w:tr>
      <w:tr w:rsidR="004D5B16" w:rsidRPr="000D41F1" w:rsidTr="004D5B16">
        <w:tc>
          <w:tcPr>
            <w:tcW w:w="738" w:type="dxa"/>
            <w:tcBorders>
              <w:top w:val="single" w:sz="4" w:space="0" w:color="auto"/>
              <w:bottom w:val="single" w:sz="18" w:space="0" w:color="auto"/>
              <w:right w:val="single" w:sz="4" w:space="0" w:color="auto"/>
            </w:tcBorders>
          </w:tcPr>
          <w:p w:rsidR="004D5B16" w:rsidRPr="000D41F1" w:rsidRDefault="004D5B16" w:rsidP="004D5B16">
            <w:pPr>
              <w:spacing w:before="60" w:after="60" w:line="360" w:lineRule="auto"/>
              <w:ind w:left="-110" w:right="-108"/>
              <w:jc w:val="center"/>
              <w:rPr>
                <w:rFonts w:cs="Arial"/>
                <w:sz w:val="20"/>
                <w:szCs w:val="20"/>
                <w:lang w:val="pt-PT"/>
              </w:rPr>
            </w:pPr>
            <w:r w:rsidRPr="000D41F1">
              <w:rPr>
                <w:rFonts w:cs="Arial"/>
                <w:sz w:val="20"/>
                <w:szCs w:val="20"/>
                <w:lang w:val="pt-PT"/>
              </w:rPr>
              <w:t>7</w:t>
            </w:r>
          </w:p>
        </w:tc>
        <w:tc>
          <w:tcPr>
            <w:tcW w:w="3690" w:type="dxa"/>
            <w:tcBorders>
              <w:top w:val="single" w:sz="4" w:space="0" w:color="auto"/>
              <w:left w:val="single" w:sz="4" w:space="0" w:color="auto"/>
              <w:bottom w:val="single" w:sz="18" w:space="0" w:color="auto"/>
              <w:right w:val="single" w:sz="4" w:space="0" w:color="auto"/>
            </w:tcBorders>
          </w:tcPr>
          <w:p w:rsidR="004D5B16" w:rsidRPr="000D41F1" w:rsidRDefault="004D5B16" w:rsidP="004D5B16">
            <w:pPr>
              <w:spacing w:before="60" w:after="60" w:line="360" w:lineRule="auto"/>
              <w:ind w:left="-18" w:firstLine="18"/>
              <w:jc w:val="both"/>
              <w:rPr>
                <w:rFonts w:cs="Arial"/>
                <w:sz w:val="20"/>
                <w:szCs w:val="20"/>
                <w:lang w:val="pt-PT"/>
              </w:rPr>
            </w:pPr>
            <w:r w:rsidRPr="000D41F1">
              <w:rPr>
                <w:rFonts w:cs="Arial"/>
                <w:sz w:val="20"/>
                <w:szCs w:val="20"/>
                <w:lang w:val="pt-PT"/>
              </w:rPr>
              <w:t>Pontos-Chave</w:t>
            </w:r>
          </w:p>
        </w:tc>
        <w:tc>
          <w:tcPr>
            <w:tcW w:w="4770" w:type="dxa"/>
            <w:tcBorders>
              <w:top w:val="single" w:sz="4" w:space="0" w:color="auto"/>
              <w:left w:val="single" w:sz="4" w:space="0" w:color="auto"/>
              <w:bottom w:val="single" w:sz="18" w:space="0" w:color="auto"/>
              <w:right w:val="single" w:sz="4" w:space="0" w:color="auto"/>
            </w:tcBorders>
          </w:tcPr>
          <w:p w:rsidR="004D5B16" w:rsidRPr="000D41F1" w:rsidRDefault="004D5B16" w:rsidP="004D5B16">
            <w:pPr>
              <w:spacing w:before="60" w:after="60" w:line="360" w:lineRule="auto"/>
              <w:ind w:left="-18" w:firstLine="18"/>
              <w:jc w:val="both"/>
              <w:rPr>
                <w:rFonts w:cs="Arial"/>
                <w:sz w:val="20"/>
                <w:szCs w:val="20"/>
                <w:lang w:val="pt-PT"/>
              </w:rPr>
            </w:pPr>
          </w:p>
          <w:p w:rsidR="004D5B16" w:rsidRPr="000D41F1" w:rsidRDefault="004D5B16" w:rsidP="004D5B16">
            <w:pPr>
              <w:spacing w:before="60" w:after="60" w:line="360" w:lineRule="auto"/>
              <w:ind w:left="-18" w:firstLine="18"/>
              <w:jc w:val="both"/>
              <w:rPr>
                <w:rFonts w:cs="Arial"/>
                <w:sz w:val="20"/>
                <w:szCs w:val="20"/>
                <w:lang w:val="pt-PT"/>
              </w:rPr>
            </w:pPr>
          </w:p>
        </w:tc>
        <w:tc>
          <w:tcPr>
            <w:tcW w:w="1080" w:type="dxa"/>
            <w:tcBorders>
              <w:top w:val="single" w:sz="4" w:space="0" w:color="auto"/>
              <w:left w:val="single" w:sz="4" w:space="0" w:color="auto"/>
              <w:bottom w:val="single" w:sz="18" w:space="0" w:color="auto"/>
            </w:tcBorders>
          </w:tcPr>
          <w:p w:rsidR="004D5B16" w:rsidRPr="000D41F1" w:rsidRDefault="004D5B16" w:rsidP="004D5B16">
            <w:pPr>
              <w:spacing w:before="60" w:after="60" w:line="360" w:lineRule="auto"/>
              <w:ind w:left="-18" w:firstLine="18"/>
              <w:jc w:val="both"/>
              <w:rPr>
                <w:rFonts w:cs="Arial"/>
                <w:sz w:val="20"/>
                <w:szCs w:val="20"/>
                <w:lang w:val="pt-PT"/>
              </w:rPr>
            </w:pPr>
          </w:p>
        </w:tc>
      </w:tr>
    </w:tbl>
    <w:p w:rsidR="00F831DC" w:rsidRDefault="00F831DC" w:rsidP="004D5B16">
      <w:pPr>
        <w:tabs>
          <w:tab w:val="left" w:pos="424"/>
        </w:tabs>
        <w:jc w:val="both"/>
        <w:rPr>
          <w:rFonts w:cs="Arial"/>
          <w:b/>
          <w:lang w:val="pt-BR"/>
        </w:rPr>
      </w:pPr>
    </w:p>
    <w:p w:rsidR="005630DE" w:rsidRDefault="005630DE" w:rsidP="004D5B16">
      <w:pPr>
        <w:tabs>
          <w:tab w:val="left" w:pos="424"/>
        </w:tabs>
        <w:jc w:val="both"/>
        <w:rPr>
          <w:rFonts w:cs="Arial"/>
          <w:b/>
          <w:lang w:val="pt-BR"/>
        </w:rPr>
      </w:pPr>
    </w:p>
    <w:p w:rsidR="005630DE" w:rsidRDefault="005630DE" w:rsidP="004D5B16">
      <w:pPr>
        <w:tabs>
          <w:tab w:val="left" w:pos="424"/>
        </w:tabs>
        <w:jc w:val="both"/>
        <w:rPr>
          <w:rFonts w:cs="Arial"/>
          <w:b/>
          <w:lang w:val="pt-BR"/>
        </w:rPr>
      </w:pPr>
    </w:p>
    <w:p w:rsidR="005630DE" w:rsidRDefault="005630DE" w:rsidP="004D5B16">
      <w:pPr>
        <w:tabs>
          <w:tab w:val="left" w:pos="424"/>
        </w:tabs>
        <w:jc w:val="both"/>
        <w:rPr>
          <w:rFonts w:cs="Arial"/>
          <w:b/>
          <w:lang w:val="pt-BR"/>
        </w:rPr>
      </w:pPr>
    </w:p>
    <w:p w:rsidR="004D5B16" w:rsidRPr="00F53619" w:rsidRDefault="004D5B16" w:rsidP="004D5B16">
      <w:pPr>
        <w:tabs>
          <w:tab w:val="left" w:pos="424"/>
        </w:tabs>
        <w:jc w:val="both"/>
        <w:rPr>
          <w:rFonts w:cs="Arial"/>
          <w:b/>
          <w:lang w:val="pt-BR"/>
        </w:rPr>
      </w:pPr>
      <w:r w:rsidRPr="00F53619">
        <w:rPr>
          <w:rFonts w:cs="Arial"/>
          <w:b/>
          <w:lang w:val="pt-BR"/>
        </w:rPr>
        <w:lastRenderedPageBreak/>
        <w:t>Equipamentos e meios audiovisuais necessários:</w:t>
      </w:r>
    </w:p>
    <w:p w:rsidR="004D5B16" w:rsidRDefault="004D5B16" w:rsidP="004D5B16">
      <w:pPr>
        <w:tabs>
          <w:tab w:val="left" w:pos="424"/>
        </w:tabs>
        <w:jc w:val="both"/>
        <w:rPr>
          <w:rFonts w:cs="Arial"/>
          <w:lang w:val="pt-BR"/>
        </w:rPr>
      </w:pPr>
    </w:p>
    <w:p w:rsidR="00120046" w:rsidRPr="00F53619" w:rsidRDefault="00120046" w:rsidP="004D5B16">
      <w:pPr>
        <w:tabs>
          <w:tab w:val="left" w:pos="424"/>
        </w:tabs>
        <w:jc w:val="both"/>
        <w:rPr>
          <w:rFonts w:cs="Arial"/>
          <w:lang w:val="pt-BR"/>
        </w:rPr>
      </w:pPr>
    </w:p>
    <w:p w:rsidR="00ED3A9C" w:rsidRDefault="00ED3A9C" w:rsidP="004D5B16">
      <w:pPr>
        <w:tabs>
          <w:tab w:val="left" w:pos="424"/>
        </w:tabs>
        <w:jc w:val="both"/>
        <w:rPr>
          <w:rFonts w:cs="Arial"/>
          <w:b/>
          <w:lang w:val="pt-BR"/>
        </w:rPr>
      </w:pPr>
    </w:p>
    <w:p w:rsidR="005630DE" w:rsidRDefault="005630DE" w:rsidP="004D5B16">
      <w:pPr>
        <w:tabs>
          <w:tab w:val="left" w:pos="424"/>
        </w:tabs>
        <w:jc w:val="both"/>
        <w:rPr>
          <w:rFonts w:cs="Arial"/>
          <w:b/>
          <w:lang w:val="pt-BR"/>
        </w:rPr>
      </w:pPr>
    </w:p>
    <w:p w:rsidR="005630DE" w:rsidRDefault="005630DE" w:rsidP="004D5B16">
      <w:pPr>
        <w:tabs>
          <w:tab w:val="left" w:pos="424"/>
        </w:tabs>
        <w:jc w:val="both"/>
        <w:rPr>
          <w:rFonts w:cs="Arial"/>
          <w:b/>
          <w:lang w:val="pt-BR"/>
        </w:rPr>
      </w:pPr>
    </w:p>
    <w:p w:rsidR="005630DE" w:rsidRDefault="005630DE" w:rsidP="004D5B16">
      <w:pPr>
        <w:tabs>
          <w:tab w:val="left" w:pos="424"/>
        </w:tabs>
        <w:jc w:val="both"/>
        <w:rPr>
          <w:rFonts w:cs="Arial"/>
          <w:b/>
          <w:lang w:val="pt-BR"/>
        </w:rPr>
      </w:pPr>
    </w:p>
    <w:p w:rsidR="004D5B16" w:rsidRPr="00F53619" w:rsidRDefault="004D5B16" w:rsidP="004D5B16">
      <w:pPr>
        <w:tabs>
          <w:tab w:val="left" w:pos="424"/>
        </w:tabs>
        <w:jc w:val="both"/>
        <w:rPr>
          <w:rFonts w:cs="Arial"/>
          <w:lang w:val="pt-BR"/>
        </w:rPr>
      </w:pPr>
      <w:r w:rsidRPr="00F53619">
        <w:rPr>
          <w:rFonts w:cs="Arial"/>
          <w:b/>
          <w:lang w:val="pt-BR"/>
        </w:rPr>
        <w:t>Trabalhos para casa (TPC), Exercícios e textos para leitura – incluir data a ser entregue:</w:t>
      </w:r>
      <w:r w:rsidRPr="00F53619">
        <w:rPr>
          <w:rFonts w:cs="Arial"/>
          <w:lang w:val="pt-BR"/>
        </w:rPr>
        <w:t xml:space="preserve"> </w:t>
      </w:r>
    </w:p>
    <w:p w:rsidR="004D5B16" w:rsidRPr="00F53619" w:rsidRDefault="004D5B16" w:rsidP="004D5B16">
      <w:pPr>
        <w:tabs>
          <w:tab w:val="left" w:pos="424"/>
        </w:tabs>
        <w:jc w:val="both"/>
        <w:rPr>
          <w:rFonts w:cs="Arial"/>
          <w:lang w:val="pt-BR"/>
        </w:rPr>
      </w:pPr>
    </w:p>
    <w:p w:rsidR="004D5B16" w:rsidRPr="00F53619" w:rsidRDefault="004D5B16" w:rsidP="004D5B16">
      <w:pPr>
        <w:tabs>
          <w:tab w:val="left" w:pos="424"/>
        </w:tabs>
        <w:jc w:val="both"/>
        <w:rPr>
          <w:rFonts w:cs="Arial"/>
          <w:lang w:val="pt-BR"/>
        </w:rPr>
      </w:pPr>
    </w:p>
    <w:p w:rsidR="004D5B16" w:rsidRDefault="004D5B16" w:rsidP="004D5B16">
      <w:pPr>
        <w:tabs>
          <w:tab w:val="left" w:pos="424"/>
        </w:tabs>
        <w:jc w:val="both"/>
        <w:rPr>
          <w:rFonts w:cs="Arial"/>
          <w:lang w:val="pt-BR"/>
        </w:rPr>
      </w:pPr>
    </w:p>
    <w:p w:rsidR="004D5B16" w:rsidRDefault="004D5B16" w:rsidP="004D5B16">
      <w:pPr>
        <w:tabs>
          <w:tab w:val="left" w:pos="424"/>
        </w:tabs>
        <w:jc w:val="both"/>
        <w:rPr>
          <w:rFonts w:cs="Arial"/>
          <w:lang w:val="pt-BR"/>
        </w:rPr>
      </w:pPr>
    </w:p>
    <w:p w:rsidR="004D5B16" w:rsidRDefault="004D5B16" w:rsidP="004D5B16">
      <w:pPr>
        <w:tabs>
          <w:tab w:val="left" w:pos="424"/>
        </w:tabs>
        <w:jc w:val="both"/>
        <w:rPr>
          <w:rFonts w:cs="Arial"/>
          <w:lang w:val="pt-BR"/>
        </w:rPr>
      </w:pPr>
    </w:p>
    <w:p w:rsidR="004D5B16" w:rsidRDefault="004D5B16" w:rsidP="004D5B16">
      <w:pPr>
        <w:tabs>
          <w:tab w:val="left" w:pos="424"/>
        </w:tabs>
        <w:jc w:val="both"/>
        <w:rPr>
          <w:rFonts w:cs="Arial"/>
          <w:lang w:val="pt-BR"/>
        </w:rPr>
      </w:pPr>
    </w:p>
    <w:p w:rsidR="005630DE" w:rsidRDefault="005630DE" w:rsidP="004D5B16">
      <w:pPr>
        <w:tabs>
          <w:tab w:val="left" w:pos="424"/>
        </w:tabs>
        <w:jc w:val="both"/>
        <w:rPr>
          <w:rFonts w:cs="Arial"/>
          <w:lang w:val="pt-BR"/>
        </w:rPr>
      </w:pPr>
    </w:p>
    <w:p w:rsidR="005630DE" w:rsidRDefault="005630DE" w:rsidP="004D5B16">
      <w:pPr>
        <w:tabs>
          <w:tab w:val="left" w:pos="424"/>
        </w:tabs>
        <w:jc w:val="both"/>
        <w:rPr>
          <w:rFonts w:cs="Arial"/>
          <w:lang w:val="pt-BR"/>
        </w:rPr>
      </w:pPr>
    </w:p>
    <w:p w:rsidR="005630DE" w:rsidRDefault="005630DE" w:rsidP="004D5B16">
      <w:pPr>
        <w:tabs>
          <w:tab w:val="left" w:pos="424"/>
        </w:tabs>
        <w:jc w:val="both"/>
        <w:rPr>
          <w:rFonts w:cs="Arial"/>
          <w:lang w:val="pt-BR"/>
        </w:rPr>
      </w:pPr>
    </w:p>
    <w:p w:rsidR="005630DE" w:rsidRDefault="005630DE" w:rsidP="004D5B16">
      <w:pPr>
        <w:tabs>
          <w:tab w:val="left" w:pos="424"/>
        </w:tabs>
        <w:jc w:val="both"/>
        <w:rPr>
          <w:rFonts w:cs="Arial"/>
          <w:lang w:val="pt-BR"/>
        </w:rPr>
      </w:pPr>
    </w:p>
    <w:p w:rsidR="005630DE" w:rsidRDefault="005630DE" w:rsidP="004D5B16">
      <w:pPr>
        <w:tabs>
          <w:tab w:val="left" w:pos="424"/>
        </w:tabs>
        <w:jc w:val="both"/>
        <w:rPr>
          <w:rFonts w:cs="Arial"/>
          <w:lang w:val="pt-BR"/>
        </w:rPr>
      </w:pPr>
    </w:p>
    <w:p w:rsidR="005630DE" w:rsidRDefault="005630DE" w:rsidP="004D5B16">
      <w:pPr>
        <w:tabs>
          <w:tab w:val="left" w:pos="424"/>
        </w:tabs>
        <w:jc w:val="both"/>
        <w:rPr>
          <w:rFonts w:cs="Arial"/>
          <w:lang w:val="pt-BR"/>
        </w:rPr>
      </w:pPr>
    </w:p>
    <w:p w:rsidR="005630DE" w:rsidRPr="00F53619" w:rsidRDefault="005630DE" w:rsidP="004D5B16">
      <w:pPr>
        <w:tabs>
          <w:tab w:val="left" w:pos="424"/>
        </w:tabs>
        <w:jc w:val="both"/>
        <w:rPr>
          <w:rFonts w:cs="Arial"/>
          <w:lang w:val="pt-BR"/>
        </w:rPr>
      </w:pPr>
    </w:p>
    <w:p w:rsidR="004D5B16" w:rsidRPr="00F53619" w:rsidRDefault="004D5B16" w:rsidP="004D5B16">
      <w:pPr>
        <w:tabs>
          <w:tab w:val="left" w:pos="424"/>
        </w:tabs>
        <w:jc w:val="both"/>
        <w:rPr>
          <w:rFonts w:cs="Arial"/>
          <w:lang w:val="pt-BR"/>
        </w:rPr>
      </w:pPr>
    </w:p>
    <w:p w:rsidR="004D5B16" w:rsidRPr="00F53619" w:rsidRDefault="004D5B16" w:rsidP="004D5B16">
      <w:pPr>
        <w:tabs>
          <w:tab w:val="left" w:pos="424"/>
        </w:tabs>
        <w:jc w:val="both"/>
        <w:rPr>
          <w:rFonts w:cs="Arial"/>
          <w:b/>
          <w:lang w:val="pt-BR"/>
        </w:rPr>
      </w:pPr>
      <w:r w:rsidRPr="00F53619">
        <w:rPr>
          <w:rFonts w:cs="Arial"/>
          <w:b/>
          <w:lang w:val="pt-BR"/>
        </w:rPr>
        <w:t>Bibliografia (referências usadas para o desenvolvimento do conteúdo):</w:t>
      </w:r>
    </w:p>
    <w:p w:rsidR="004D5B16" w:rsidRPr="00F53619" w:rsidRDefault="004D5B16" w:rsidP="004D5B16">
      <w:r w:rsidRPr="00F53619">
        <w:rPr>
          <w:lang w:val="pt-PT"/>
        </w:rPr>
        <w:t xml:space="preserve">De Robertis, E. D. P. Biologia Celular e Molecular (Cell &amp; Molecular Biology). </w:t>
      </w:r>
      <w:r w:rsidRPr="00F53619">
        <w:rPr>
          <w:color w:val="000000"/>
        </w:rPr>
        <w:t>Paperback, 1997</w:t>
      </w:r>
    </w:p>
    <w:p w:rsidR="004D5B16" w:rsidRPr="00F53619" w:rsidRDefault="004D5B16" w:rsidP="004D5B16">
      <w:r w:rsidRPr="00F53619">
        <w:t xml:space="preserve">Lewin, B. Cassimeris, L. Lingappa, V.R. Plopper, G. Células (Cells).1a. Ed.  </w:t>
      </w:r>
      <w:proofErr w:type="gramStart"/>
      <w:r w:rsidRPr="00F53619">
        <w:rPr>
          <w:color w:val="000000"/>
        </w:rPr>
        <w:t>Jones &amp; Bartlett, 2006.</w:t>
      </w:r>
      <w:proofErr w:type="gramEnd"/>
    </w:p>
    <w:p w:rsidR="004D5B16" w:rsidRPr="00F47FAF" w:rsidRDefault="004D5B16" w:rsidP="004D5B16">
      <w:r w:rsidRPr="00F47FAF">
        <w:t xml:space="preserve">Nelson, David L. Cox, Michael M. Princípios da Bioquímica (Lehninger Principles of Biochemistry) 4a. Ed. </w:t>
      </w:r>
      <w:r w:rsidRPr="00F53619">
        <w:t>W. H. Freeman, 2004</w:t>
      </w:r>
    </w:p>
    <w:p w:rsidR="00ED3A9C" w:rsidRDefault="004D5B16" w:rsidP="004D5B16">
      <w:pPr>
        <w:rPr>
          <w:lang w:val="pt-BR"/>
        </w:rPr>
      </w:pPr>
      <w:r w:rsidRPr="00F53619">
        <w:rPr>
          <w:lang w:val="pt-BR"/>
        </w:rPr>
        <w:t>Stryer, L. Bioquímica. Guanabara Kogan, 2007</w:t>
      </w:r>
    </w:p>
    <w:p w:rsidR="00ED3A9C" w:rsidRDefault="00ED3A9C">
      <w:pPr>
        <w:rPr>
          <w:lang w:val="pt-BR"/>
        </w:rPr>
      </w:pPr>
      <w:r>
        <w:rPr>
          <w:lang w:val="pt-BR"/>
        </w:rPr>
        <w:br w:type="page"/>
      </w:r>
    </w:p>
    <w:p w:rsidR="004D5B16" w:rsidRPr="00F53619" w:rsidRDefault="004D5B16" w:rsidP="004D5B16">
      <w:pPr>
        <w:shd w:val="clear" w:color="auto" w:fill="B8CCE4"/>
        <w:tabs>
          <w:tab w:val="left" w:pos="1276"/>
          <w:tab w:val="right" w:pos="8550"/>
        </w:tabs>
        <w:spacing w:before="120" w:after="120"/>
        <w:ind w:right="-43"/>
        <w:jc w:val="both"/>
        <w:rPr>
          <w:rFonts w:cs="Arial"/>
          <w:b/>
        </w:rPr>
      </w:pPr>
      <w:r w:rsidRPr="00F53619">
        <w:rPr>
          <w:rFonts w:cs="Arial"/>
          <w:b/>
        </w:rPr>
        <w:lastRenderedPageBreak/>
        <w:t>BLOCO 1: INTRODUÇÃO À DISCIPLINA</w:t>
      </w:r>
      <w:r w:rsidRPr="00F53619">
        <w:rPr>
          <w:rFonts w:cs="Arial"/>
          <w:b/>
        </w:rPr>
        <w:tab/>
      </w:r>
    </w:p>
    <w:p w:rsidR="004D5B16" w:rsidRPr="00F53619" w:rsidRDefault="004D5B16" w:rsidP="00A05CAA">
      <w:pPr>
        <w:numPr>
          <w:ilvl w:val="0"/>
          <w:numId w:val="14"/>
        </w:numPr>
        <w:spacing w:before="120" w:after="0"/>
        <w:ind w:left="450" w:right="-43" w:hanging="450"/>
        <w:jc w:val="both"/>
        <w:rPr>
          <w:rFonts w:cs="Arial"/>
        </w:rPr>
      </w:pPr>
      <w:r w:rsidRPr="00F53619">
        <w:rPr>
          <w:rFonts w:cs="Arial"/>
        </w:rPr>
        <w:t>Apresentação do docente/s</w:t>
      </w:r>
    </w:p>
    <w:p w:rsidR="004D5B16" w:rsidRPr="00F53619" w:rsidRDefault="004D5B16" w:rsidP="00A05CAA">
      <w:pPr>
        <w:numPr>
          <w:ilvl w:val="0"/>
          <w:numId w:val="14"/>
        </w:numPr>
        <w:spacing w:before="120" w:after="0"/>
        <w:ind w:left="450" w:right="-43" w:hanging="450"/>
        <w:jc w:val="both"/>
        <w:rPr>
          <w:rFonts w:cs="Arial"/>
        </w:rPr>
      </w:pPr>
      <w:r w:rsidRPr="00F53619">
        <w:rPr>
          <w:rFonts w:cs="Arial"/>
        </w:rPr>
        <w:t>Apresentação dos alunos</w:t>
      </w:r>
    </w:p>
    <w:p w:rsidR="004D5B16" w:rsidRPr="00F53619" w:rsidRDefault="004D5B16" w:rsidP="00A05CAA">
      <w:pPr>
        <w:numPr>
          <w:ilvl w:val="0"/>
          <w:numId w:val="14"/>
        </w:numPr>
        <w:spacing w:before="120" w:after="0"/>
        <w:ind w:left="450" w:right="-43" w:hanging="450"/>
        <w:jc w:val="both"/>
        <w:rPr>
          <w:rFonts w:cs="Arial"/>
          <w:lang w:val="pt-BR"/>
        </w:rPr>
      </w:pPr>
      <w:r w:rsidRPr="00F53619">
        <w:rPr>
          <w:rFonts w:cs="Arial"/>
          <w:lang w:val="pt-BR"/>
        </w:rPr>
        <w:t>Introdução breve a disciplina, incluindo a importância para os Técnicos de Medicina</w:t>
      </w:r>
    </w:p>
    <w:p w:rsidR="004D5B16" w:rsidRPr="00F53619" w:rsidRDefault="004D5B16" w:rsidP="00A05CAA">
      <w:pPr>
        <w:numPr>
          <w:ilvl w:val="0"/>
          <w:numId w:val="14"/>
        </w:numPr>
        <w:spacing w:before="120" w:after="0"/>
        <w:ind w:left="450" w:right="-43" w:hanging="450"/>
        <w:jc w:val="both"/>
        <w:rPr>
          <w:rFonts w:cs="Arial"/>
          <w:lang w:val="pt-BR"/>
        </w:rPr>
      </w:pPr>
      <w:r w:rsidRPr="00F53619">
        <w:rPr>
          <w:rFonts w:cs="Arial"/>
          <w:lang w:val="pt-BR"/>
        </w:rPr>
        <w:t>Apresentação do plano temático e analítico: tópicos, conteúdos e laboratórios</w:t>
      </w:r>
    </w:p>
    <w:p w:rsidR="004D5B16" w:rsidRPr="00F53619" w:rsidRDefault="004D5B16" w:rsidP="00A05CAA">
      <w:pPr>
        <w:numPr>
          <w:ilvl w:val="0"/>
          <w:numId w:val="14"/>
        </w:numPr>
        <w:spacing w:before="120" w:after="0"/>
        <w:ind w:left="450" w:right="-43" w:hanging="450"/>
        <w:jc w:val="both"/>
        <w:rPr>
          <w:rFonts w:cs="Arial"/>
          <w:lang w:val="pt-BR"/>
        </w:rPr>
      </w:pPr>
      <w:r w:rsidRPr="00F53619">
        <w:rPr>
          <w:rFonts w:cs="Arial"/>
          <w:lang w:val="pt-BR"/>
        </w:rPr>
        <w:t>Apresentação da estrutura da disciplina com o correspondente cronograma e inter-relações com estágios e outras disciplinas teóricas.</w:t>
      </w:r>
    </w:p>
    <w:p w:rsidR="004D5B16" w:rsidRPr="00F53619" w:rsidRDefault="004D5B16" w:rsidP="00A05CAA">
      <w:pPr>
        <w:numPr>
          <w:ilvl w:val="0"/>
          <w:numId w:val="14"/>
        </w:numPr>
        <w:spacing w:before="120" w:after="0"/>
        <w:ind w:left="450" w:right="-43" w:hanging="450"/>
        <w:jc w:val="both"/>
        <w:rPr>
          <w:rFonts w:cs="Arial"/>
          <w:lang w:val="pt-BR"/>
        </w:rPr>
      </w:pPr>
      <w:r w:rsidRPr="00F53619">
        <w:rPr>
          <w:rFonts w:cs="Arial"/>
          <w:lang w:val="pt-BR"/>
        </w:rPr>
        <w:t>Explicar o que se espera dos alunos para esta disciplina e os métodos de avaliação</w:t>
      </w:r>
    </w:p>
    <w:p w:rsidR="004D5B16" w:rsidRPr="00F53619" w:rsidRDefault="004D5B16" w:rsidP="005630DE">
      <w:pPr>
        <w:spacing w:after="0" w:line="240" w:lineRule="auto"/>
        <w:jc w:val="both"/>
        <w:rPr>
          <w:rFonts w:cs="Arial"/>
          <w:b/>
          <w:bCs/>
          <w:lang w:val="pt-BR"/>
        </w:rPr>
      </w:pPr>
    </w:p>
    <w:p w:rsidR="004D5B16" w:rsidRPr="00F53619" w:rsidRDefault="004D5B16" w:rsidP="004D5B16">
      <w:pPr>
        <w:shd w:val="clear" w:color="auto" w:fill="B8CCE4"/>
        <w:tabs>
          <w:tab w:val="left" w:pos="1276"/>
          <w:tab w:val="right" w:pos="8550"/>
        </w:tabs>
        <w:spacing w:before="120" w:after="120"/>
        <w:ind w:right="-43"/>
        <w:jc w:val="both"/>
        <w:rPr>
          <w:rFonts w:cs="Arial"/>
          <w:b/>
        </w:rPr>
      </w:pPr>
      <w:r w:rsidRPr="00F53619">
        <w:rPr>
          <w:rFonts w:cs="Arial"/>
          <w:b/>
          <w:lang w:val="pt-PT"/>
        </w:rPr>
        <w:t>BLOCO 2: INTRODUÇÃO À AULA</w:t>
      </w:r>
      <w:r w:rsidRPr="00F53619">
        <w:rPr>
          <w:rFonts w:cs="Arial"/>
          <w:b/>
        </w:rPr>
        <w:tab/>
      </w:r>
    </w:p>
    <w:p w:rsidR="0096537C" w:rsidRDefault="004D5B16" w:rsidP="00C52E09">
      <w:pPr>
        <w:pStyle w:val="ListParagraph"/>
        <w:numPr>
          <w:ilvl w:val="1"/>
          <w:numId w:val="282"/>
        </w:numPr>
        <w:spacing w:before="120" w:after="0"/>
        <w:ind w:left="450" w:right="-43" w:hanging="450"/>
        <w:jc w:val="both"/>
        <w:rPr>
          <w:rFonts w:cs="Arial"/>
          <w:lang w:val="pt-BR"/>
        </w:rPr>
      </w:pPr>
      <w:r w:rsidRPr="0096537C">
        <w:rPr>
          <w:rFonts w:cs="Arial"/>
          <w:lang w:val="pt-BR"/>
        </w:rPr>
        <w:t>Apresentação do tópico, conteúdos e objectivos de aprendizagem.</w:t>
      </w:r>
    </w:p>
    <w:p w:rsidR="0096537C" w:rsidRDefault="004D5B16" w:rsidP="00C52E09">
      <w:pPr>
        <w:pStyle w:val="ListParagraph"/>
        <w:numPr>
          <w:ilvl w:val="1"/>
          <w:numId w:val="282"/>
        </w:numPr>
        <w:spacing w:before="120" w:after="0"/>
        <w:ind w:left="450" w:right="-43" w:hanging="450"/>
        <w:jc w:val="both"/>
        <w:rPr>
          <w:rFonts w:cs="Arial"/>
          <w:lang w:val="pt-BR"/>
        </w:rPr>
      </w:pPr>
      <w:r w:rsidRPr="0096537C">
        <w:rPr>
          <w:rFonts w:cs="Arial"/>
          <w:lang w:val="pt-BR"/>
        </w:rPr>
        <w:t>Apresentação da estrutura da aula.</w:t>
      </w:r>
    </w:p>
    <w:p w:rsidR="004D5B16" w:rsidRPr="0096537C" w:rsidRDefault="004D5B16" w:rsidP="00C52E09">
      <w:pPr>
        <w:pStyle w:val="ListParagraph"/>
        <w:numPr>
          <w:ilvl w:val="1"/>
          <w:numId w:val="282"/>
        </w:numPr>
        <w:spacing w:before="120" w:after="0"/>
        <w:ind w:left="450" w:right="-43" w:hanging="450"/>
        <w:jc w:val="both"/>
        <w:rPr>
          <w:rFonts w:cs="Arial"/>
          <w:lang w:val="pt-BR"/>
        </w:rPr>
      </w:pPr>
      <w:r w:rsidRPr="0096537C">
        <w:rPr>
          <w:rFonts w:cs="Arial"/>
          <w:lang w:val="pt-BR"/>
        </w:rPr>
        <w:t>Apresentação da bibliografia que o aluno deverá manejar para ampliar os  conhecimentos.</w:t>
      </w:r>
    </w:p>
    <w:p w:rsidR="004D5B16" w:rsidRPr="00F53619" w:rsidRDefault="004D5B16" w:rsidP="005630DE">
      <w:pPr>
        <w:pStyle w:val="TM-0"/>
        <w:spacing w:after="0"/>
        <w:rPr>
          <w:lang w:val="pt-BR"/>
        </w:rPr>
      </w:pPr>
    </w:p>
    <w:p w:rsidR="004D5B16" w:rsidRPr="00F53619" w:rsidRDefault="004D5B16" w:rsidP="004D5B16">
      <w:pPr>
        <w:shd w:val="clear" w:color="auto" w:fill="B8CCE4"/>
        <w:spacing w:before="120" w:after="120"/>
        <w:ind w:right="-43"/>
        <w:jc w:val="both"/>
        <w:rPr>
          <w:rFonts w:cs="Arial"/>
          <w:b/>
          <w:bCs/>
          <w:lang w:val="pt-BR"/>
        </w:rPr>
      </w:pPr>
      <w:r w:rsidRPr="00F53619">
        <w:rPr>
          <w:rFonts w:cs="Arial"/>
          <w:b/>
          <w:bCs/>
          <w:lang w:val="pt-PT" w:eastAsia="es-ES"/>
        </w:rPr>
        <w:t>BLOCO 3. GENERALIDADES SOBRE A CÉLULA</w:t>
      </w:r>
    </w:p>
    <w:p w:rsidR="004D5B16" w:rsidRPr="00F53619" w:rsidRDefault="004D5B16" w:rsidP="004D5B16">
      <w:pPr>
        <w:pStyle w:val="TM-2n"/>
        <w:numPr>
          <w:ilvl w:val="0"/>
          <w:numId w:val="0"/>
        </w:numPr>
        <w:spacing w:before="120" w:after="0"/>
        <w:ind w:left="284" w:hanging="284"/>
      </w:pPr>
      <w:r w:rsidRPr="00F53619">
        <w:t>Nota para o aluno: Ler o conteúdo da aula 1 e 2 da disciplina de Anatomia e Fisiologia.</w:t>
      </w:r>
    </w:p>
    <w:p w:rsidR="004D5B16" w:rsidRPr="00F53619" w:rsidRDefault="004D5B16" w:rsidP="00A05CAA">
      <w:pPr>
        <w:pStyle w:val="TM-2n"/>
        <w:numPr>
          <w:ilvl w:val="1"/>
          <w:numId w:val="16"/>
        </w:numPr>
        <w:spacing w:before="120" w:after="0" w:line="276" w:lineRule="auto"/>
      </w:pPr>
      <w:r w:rsidRPr="00F53619">
        <w:rPr>
          <w:b/>
        </w:rPr>
        <w:t>As “células” são as unidades individuais básicas, estruturais e funcionais que compõem os seres vivos</w:t>
      </w:r>
      <w:r w:rsidRPr="00F53619">
        <w:t>. Têm certa autonomia e são capazes de desenvolver as funções vitais (alimentação, crescimento estrutural, manutenção energética, reprodução).</w:t>
      </w:r>
    </w:p>
    <w:p w:rsidR="004D5B16" w:rsidRPr="00F53619" w:rsidRDefault="004D5B16" w:rsidP="00A05CAA">
      <w:pPr>
        <w:pStyle w:val="TM-2n"/>
        <w:numPr>
          <w:ilvl w:val="1"/>
          <w:numId w:val="16"/>
        </w:numPr>
        <w:spacing w:before="120" w:after="0" w:line="276" w:lineRule="auto"/>
      </w:pPr>
      <w:r w:rsidRPr="00F53619">
        <w:t>Todos os organismos vivos são compostos de células, que tem basicamente a mesma estrutura, mas com diferenças peculiares entre os diferentes grupos. Os vírus não são organismos vivos, pelo que são acelulares.</w:t>
      </w:r>
    </w:p>
    <w:p w:rsidR="004D5B16" w:rsidRPr="00F53619" w:rsidRDefault="004D5B16" w:rsidP="00A05CAA">
      <w:pPr>
        <w:pStyle w:val="TM-2n"/>
        <w:numPr>
          <w:ilvl w:val="1"/>
          <w:numId w:val="16"/>
        </w:numPr>
        <w:spacing w:before="120" w:after="0" w:line="276" w:lineRule="auto"/>
        <w:rPr>
          <w:b/>
        </w:rPr>
      </w:pPr>
      <w:r w:rsidRPr="00F53619">
        <w:rPr>
          <w:b/>
        </w:rPr>
        <w:t>Classificação das células</w:t>
      </w:r>
    </w:p>
    <w:p w:rsidR="004D5B16" w:rsidRPr="00F53619" w:rsidRDefault="004D5B16" w:rsidP="006C62EE">
      <w:pPr>
        <w:pStyle w:val="TM-2n"/>
        <w:numPr>
          <w:ilvl w:val="2"/>
          <w:numId w:val="16"/>
        </w:numPr>
        <w:spacing w:before="120" w:after="0" w:line="276" w:lineRule="auto"/>
        <w:ind w:hanging="90"/>
      </w:pPr>
      <w:r w:rsidRPr="00F53619">
        <w:t>As células podem ser classificadas em células eucariontes e células procariontes</w:t>
      </w:r>
    </w:p>
    <w:p w:rsidR="004D5B16" w:rsidRPr="00F53619" w:rsidRDefault="004D5B16" w:rsidP="006C62EE">
      <w:pPr>
        <w:pStyle w:val="TM-2n"/>
        <w:numPr>
          <w:ilvl w:val="2"/>
          <w:numId w:val="16"/>
        </w:numPr>
        <w:spacing w:before="120" w:after="0" w:line="276" w:lineRule="auto"/>
        <w:ind w:hanging="90"/>
      </w:pPr>
      <w:r w:rsidRPr="00F53619">
        <w:rPr>
          <w:b/>
        </w:rPr>
        <w:t>Células eucariontes</w:t>
      </w:r>
      <w:r w:rsidRPr="00F53619">
        <w:t xml:space="preserve"> - </w:t>
      </w:r>
      <w:r w:rsidRPr="00F53619">
        <w:rPr>
          <w:bCs/>
        </w:rPr>
        <w:t>são células nas quais o material genético (DNA) que constitui o núcleo está envolvido por uma membrana nuclear, como as células de protozoários, fungos, plantas e animais.</w:t>
      </w:r>
      <w:r w:rsidRPr="00F53619">
        <w:t xml:space="preserve"> Os eucariontes reproduzem-se por divisão celular, através de mecanismos mais complicados dos encontrados em procariotas. A divisão celular em eucariotas envolve os processos de mitose e meiose (vide aula 1 da disciplina de Anatomia e Fisiologia).</w:t>
      </w:r>
    </w:p>
    <w:p w:rsidR="004D5B16" w:rsidRPr="00F53619" w:rsidRDefault="004D5B16" w:rsidP="006C62EE">
      <w:pPr>
        <w:pStyle w:val="TM-2n"/>
        <w:numPr>
          <w:ilvl w:val="2"/>
          <w:numId w:val="16"/>
        </w:numPr>
        <w:spacing w:before="120" w:after="0" w:line="276" w:lineRule="auto"/>
        <w:ind w:hanging="90"/>
      </w:pPr>
      <w:r w:rsidRPr="00F53619">
        <w:rPr>
          <w:b/>
          <w:bCs/>
        </w:rPr>
        <w:t>Células procariontes</w:t>
      </w:r>
      <w:r w:rsidRPr="00F53619">
        <w:rPr>
          <w:bCs/>
        </w:rPr>
        <w:t xml:space="preserve"> - são células nas quais o material genético (DNA) que constitui o núcleo não está envolvido por uma membrana nuclear, como as bactérias.</w:t>
      </w:r>
      <w:r w:rsidRPr="00F53619">
        <w:t xml:space="preserve"> Os organismos procariontes são unicelulares (tem uma única célula) e a sua reprodução se realiza por fissão binária, que consiste na simples divisão da célula em duas metades originando duas células filhas.</w:t>
      </w:r>
    </w:p>
    <w:p w:rsidR="004D5B16" w:rsidRPr="00F53619" w:rsidRDefault="004D5B16" w:rsidP="004D5B16">
      <w:pPr>
        <w:pStyle w:val="TM-2n"/>
        <w:numPr>
          <w:ilvl w:val="0"/>
          <w:numId w:val="0"/>
        </w:numPr>
        <w:spacing w:before="120" w:after="0"/>
        <w:ind w:left="720"/>
        <w:rPr>
          <w:noProof/>
        </w:rPr>
      </w:pPr>
      <w:r>
        <w:rPr>
          <w:noProof/>
          <w:lang w:val="en-ZW" w:eastAsia="en-ZW"/>
        </w:rPr>
        <w:lastRenderedPageBreak/>
        <w:drawing>
          <wp:inline distT="0" distB="0" distL="0" distR="0" wp14:anchorId="0F89A9D0" wp14:editId="2F4444B7">
            <wp:extent cx="4414453" cy="2705100"/>
            <wp:effectExtent l="19050" t="0" r="5147"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4416290" cy="2706226"/>
                    </a:xfrm>
                    <a:prstGeom prst="rect">
                      <a:avLst/>
                    </a:prstGeom>
                    <a:noFill/>
                    <a:ln w="9525">
                      <a:noFill/>
                      <a:miter lim="800000"/>
                      <a:headEnd/>
                      <a:tailEnd/>
                    </a:ln>
                  </pic:spPr>
                </pic:pic>
              </a:graphicData>
            </a:graphic>
          </wp:inline>
        </w:drawing>
      </w:r>
    </w:p>
    <w:p w:rsidR="004D5B16" w:rsidRDefault="004D5B16" w:rsidP="004D5B16">
      <w:pPr>
        <w:pStyle w:val="TM-2n"/>
        <w:numPr>
          <w:ilvl w:val="0"/>
          <w:numId w:val="0"/>
        </w:numPr>
        <w:spacing w:before="120" w:after="0"/>
        <w:ind w:left="720"/>
        <w:jc w:val="center"/>
        <w:rPr>
          <w:noProof/>
        </w:rPr>
      </w:pPr>
      <w:r w:rsidRPr="005630DE">
        <w:rPr>
          <w:b/>
          <w:noProof/>
        </w:rPr>
        <w:t>Figura 1:</w:t>
      </w:r>
      <w:r>
        <w:rPr>
          <w:noProof/>
        </w:rPr>
        <w:t xml:space="preserve"> Célula Procarionte e seus componentes</w:t>
      </w:r>
    </w:p>
    <w:p w:rsidR="005630DE" w:rsidRPr="00F53619" w:rsidRDefault="005630DE" w:rsidP="004D5B16">
      <w:pPr>
        <w:pStyle w:val="TM-2n"/>
        <w:numPr>
          <w:ilvl w:val="0"/>
          <w:numId w:val="0"/>
        </w:numPr>
        <w:spacing w:before="120" w:after="0"/>
        <w:ind w:left="720"/>
        <w:jc w:val="center"/>
        <w:rPr>
          <w:noProof/>
        </w:rPr>
      </w:pPr>
    </w:p>
    <w:p w:rsidR="004D5B16" w:rsidRPr="00F53619" w:rsidRDefault="004D5B16" w:rsidP="004D5B16">
      <w:pPr>
        <w:pStyle w:val="TM-2n"/>
        <w:numPr>
          <w:ilvl w:val="0"/>
          <w:numId w:val="0"/>
        </w:numPr>
        <w:spacing w:before="120" w:after="0"/>
        <w:ind w:left="720"/>
        <w:jc w:val="center"/>
        <w:rPr>
          <w:bCs/>
        </w:rPr>
      </w:pPr>
      <w:r>
        <w:rPr>
          <w:noProof/>
          <w:lang w:val="en-ZW" w:eastAsia="en-ZW"/>
        </w:rPr>
        <w:drawing>
          <wp:inline distT="0" distB="0" distL="0" distR="0" wp14:anchorId="690CE423" wp14:editId="2E9913BE">
            <wp:extent cx="4756150" cy="2952750"/>
            <wp:effectExtent l="0" t="57150" r="0" b="0"/>
            <wp:docPr id="20" name="Diagram 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p>
    <w:p w:rsidR="004D5B16" w:rsidRDefault="004D5B16" w:rsidP="004D5B16">
      <w:pPr>
        <w:pStyle w:val="TM-2n"/>
        <w:numPr>
          <w:ilvl w:val="0"/>
          <w:numId w:val="0"/>
        </w:numPr>
        <w:spacing w:before="120" w:after="0"/>
        <w:jc w:val="center"/>
      </w:pPr>
      <w:r w:rsidRPr="005630DE">
        <w:rPr>
          <w:b/>
        </w:rPr>
        <w:t>Figura 2:</w:t>
      </w:r>
      <w:r>
        <w:t xml:space="preserve"> Classificação das células</w:t>
      </w:r>
    </w:p>
    <w:p w:rsidR="005630DE" w:rsidRPr="00F53619" w:rsidRDefault="005630DE" w:rsidP="004D5B16">
      <w:pPr>
        <w:pStyle w:val="TM-2n"/>
        <w:numPr>
          <w:ilvl w:val="0"/>
          <w:numId w:val="0"/>
        </w:numPr>
        <w:spacing w:before="120" w:after="0"/>
        <w:jc w:val="center"/>
      </w:pPr>
    </w:p>
    <w:p w:rsidR="004D5B16" w:rsidRPr="00F53619" w:rsidRDefault="004D5B16" w:rsidP="00A05CAA">
      <w:pPr>
        <w:pStyle w:val="TM-2n"/>
        <w:numPr>
          <w:ilvl w:val="1"/>
          <w:numId w:val="16"/>
        </w:numPr>
        <w:spacing w:before="120" w:after="0" w:line="276" w:lineRule="auto"/>
        <w:rPr>
          <w:b/>
        </w:rPr>
      </w:pPr>
      <w:r w:rsidRPr="00F53619">
        <w:rPr>
          <w:b/>
        </w:rPr>
        <w:t>Componentes Principais das células humanas</w:t>
      </w:r>
    </w:p>
    <w:p w:rsidR="004D5B16" w:rsidRPr="00F53619" w:rsidRDefault="004D5B16" w:rsidP="004D5B16">
      <w:pPr>
        <w:spacing w:before="120"/>
        <w:jc w:val="both"/>
        <w:rPr>
          <w:rFonts w:cs="Arial"/>
          <w:lang w:val="pt-BR"/>
        </w:rPr>
      </w:pPr>
      <w:r w:rsidRPr="00F53619">
        <w:rPr>
          <w:rFonts w:cs="Arial"/>
          <w:lang w:val="pt-BR"/>
        </w:rPr>
        <w:t xml:space="preserve">Os </w:t>
      </w:r>
      <w:r w:rsidRPr="00F53619">
        <w:rPr>
          <w:rFonts w:cs="Arial"/>
          <w:b/>
          <w:lang w:val="pt-BR"/>
        </w:rPr>
        <w:t>componentes principais</w:t>
      </w:r>
      <w:r w:rsidRPr="00F53619">
        <w:rPr>
          <w:rFonts w:cs="Arial"/>
          <w:lang w:val="pt-BR"/>
        </w:rPr>
        <w:t xml:space="preserve"> das células humanas são (não diferem fundamentalmente das de outros animais superiores): membrana celular (também chamada de membrana plasmática), citoplasma (com retículo endoplasmático liso e rugoso, ribossomas, aparelho de golgi, lisossomas, mitocôndrias) e núcleo (onde se encontra a informação genética) - vide aula 1 da disciplina de Anatomia e Fisiologia.</w:t>
      </w:r>
    </w:p>
    <w:p w:rsidR="004D5B16" w:rsidRDefault="004D5B16" w:rsidP="004D5B16">
      <w:pPr>
        <w:pStyle w:val="NormalWeb"/>
        <w:jc w:val="center"/>
        <w:rPr>
          <w:rFonts w:ascii="Arial" w:eastAsia="Calibri" w:hAnsi="Arial" w:cs="Arial"/>
          <w:noProof/>
          <w:sz w:val="22"/>
          <w:szCs w:val="22"/>
        </w:rPr>
      </w:pPr>
      <w:r>
        <w:rPr>
          <w:rFonts w:ascii="Arial" w:eastAsia="Calibri" w:hAnsi="Arial" w:cs="Arial"/>
          <w:noProof/>
          <w:sz w:val="22"/>
          <w:szCs w:val="22"/>
          <w:lang w:val="en-ZW" w:eastAsia="en-ZW"/>
        </w:rPr>
        <w:lastRenderedPageBreak/>
        <w:drawing>
          <wp:inline distT="0" distB="0" distL="0" distR="0" wp14:anchorId="4197319F" wp14:editId="6057732E">
            <wp:extent cx="4619625" cy="2600325"/>
            <wp:effectExtent l="0" t="0" r="9525" b="0"/>
            <wp:docPr id="2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srcRect r="7352"/>
                    <a:stretch>
                      <a:fillRect/>
                    </a:stretch>
                  </pic:blipFill>
                  <pic:spPr bwMode="auto">
                    <a:xfrm>
                      <a:off x="0" y="0"/>
                      <a:ext cx="4619625" cy="2600325"/>
                    </a:xfrm>
                    <a:prstGeom prst="rect">
                      <a:avLst/>
                    </a:prstGeom>
                    <a:noFill/>
                    <a:ln w="9525">
                      <a:noFill/>
                      <a:miter lim="800000"/>
                      <a:headEnd/>
                      <a:tailEnd/>
                    </a:ln>
                  </pic:spPr>
                </pic:pic>
              </a:graphicData>
            </a:graphic>
          </wp:inline>
        </w:drawing>
      </w:r>
    </w:p>
    <w:p w:rsidR="004D5B16" w:rsidRPr="000D41F1" w:rsidRDefault="004D5B16" w:rsidP="004D5B16">
      <w:pPr>
        <w:pStyle w:val="NormalWeb"/>
        <w:jc w:val="center"/>
        <w:rPr>
          <w:rFonts w:ascii="Arial" w:eastAsia="Calibri" w:hAnsi="Arial" w:cs="Arial"/>
          <w:noProof/>
          <w:sz w:val="22"/>
          <w:szCs w:val="22"/>
          <w:lang w:val="pt-BR"/>
        </w:rPr>
      </w:pPr>
      <w:r w:rsidRPr="005630DE">
        <w:rPr>
          <w:rFonts w:ascii="Arial" w:eastAsia="Calibri" w:hAnsi="Arial" w:cs="Arial"/>
          <w:b/>
          <w:noProof/>
          <w:sz w:val="22"/>
          <w:szCs w:val="22"/>
          <w:lang w:val="pt-BR"/>
        </w:rPr>
        <w:t>Figura 3:</w:t>
      </w:r>
      <w:r w:rsidRPr="00F53619">
        <w:rPr>
          <w:rFonts w:ascii="Arial" w:eastAsia="Calibri" w:hAnsi="Arial" w:cs="Arial"/>
          <w:noProof/>
          <w:sz w:val="22"/>
          <w:szCs w:val="22"/>
          <w:lang w:val="pt-BR"/>
        </w:rPr>
        <w:t xml:space="preserve"> Célula Eucarionte e seus componentes</w:t>
      </w:r>
    </w:p>
    <w:p w:rsidR="004D5B16" w:rsidRPr="00F53619" w:rsidRDefault="004D5B16" w:rsidP="004D5B16">
      <w:pPr>
        <w:shd w:val="clear" w:color="auto" w:fill="B8CCE4"/>
        <w:tabs>
          <w:tab w:val="left" w:pos="1276"/>
          <w:tab w:val="right" w:pos="8550"/>
        </w:tabs>
        <w:spacing w:before="120" w:after="120"/>
        <w:ind w:right="-43"/>
        <w:jc w:val="both"/>
        <w:rPr>
          <w:rFonts w:cs="Arial"/>
          <w:b/>
          <w:lang w:val="pt-PT"/>
        </w:rPr>
      </w:pPr>
      <w:r w:rsidRPr="00F53619">
        <w:rPr>
          <w:rFonts w:cs="Arial"/>
          <w:b/>
          <w:lang w:val="pt-PT"/>
        </w:rPr>
        <w:t>BLOCO 4. CONCEITOS BÁSICOS SOBRE GENÉTICA</w:t>
      </w:r>
    </w:p>
    <w:p w:rsidR="006C62EE" w:rsidRDefault="004D5B16" w:rsidP="00C52E09">
      <w:pPr>
        <w:pStyle w:val="TM-2n"/>
        <w:numPr>
          <w:ilvl w:val="1"/>
          <w:numId w:val="283"/>
        </w:numPr>
        <w:tabs>
          <w:tab w:val="left" w:pos="450"/>
          <w:tab w:val="left" w:pos="540"/>
        </w:tabs>
        <w:spacing w:before="120" w:after="0" w:line="276" w:lineRule="auto"/>
      </w:pPr>
      <w:r w:rsidRPr="00F53619">
        <w:t>A genética é uma ciência que estuda os mecanismos da transmissão da informação genética.</w:t>
      </w:r>
    </w:p>
    <w:p w:rsidR="006C62EE" w:rsidRDefault="004D5B16" w:rsidP="00C52E09">
      <w:pPr>
        <w:pStyle w:val="TM-2n"/>
        <w:numPr>
          <w:ilvl w:val="1"/>
          <w:numId w:val="283"/>
        </w:numPr>
        <w:tabs>
          <w:tab w:val="left" w:pos="450"/>
        </w:tabs>
        <w:spacing w:before="120" w:after="0" w:line="276" w:lineRule="auto"/>
      </w:pPr>
      <w:r w:rsidRPr="00F53619">
        <w:t>Todos os seres vivos transmitem as suas características biológicas de geração para geração através da transmissão da informação genética contida nos genes.</w:t>
      </w:r>
    </w:p>
    <w:p w:rsidR="004D5B16" w:rsidRPr="00F53619" w:rsidRDefault="004D5B16" w:rsidP="00C52E09">
      <w:pPr>
        <w:pStyle w:val="TM-2n"/>
        <w:numPr>
          <w:ilvl w:val="1"/>
          <w:numId w:val="283"/>
        </w:numPr>
        <w:tabs>
          <w:tab w:val="left" w:pos="450"/>
        </w:tabs>
        <w:spacing w:before="120" w:after="0" w:line="276" w:lineRule="auto"/>
      </w:pPr>
      <w:r w:rsidRPr="00F53619">
        <w:t>Os genes são segmentos de ADN de comprimento variável que contêm na sua sequência a informação necessária para a síntese de proteínas. Nos cromossomas dum ser humano calcula-se que existem aproximadamente 25.000 genes.</w:t>
      </w:r>
    </w:p>
    <w:p w:rsidR="004D5B16" w:rsidRPr="00F53619" w:rsidRDefault="004D5B16" w:rsidP="004D5B16">
      <w:pPr>
        <w:jc w:val="center"/>
        <w:rPr>
          <w:rFonts w:cs="Arial"/>
        </w:rPr>
      </w:pPr>
      <w:r>
        <w:rPr>
          <w:rFonts w:cs="Arial"/>
          <w:noProof/>
          <w:lang w:val="en-ZW" w:eastAsia="en-ZW"/>
        </w:rPr>
        <w:drawing>
          <wp:inline distT="0" distB="0" distL="0" distR="0" wp14:anchorId="15EAA46C" wp14:editId="65B28E9C">
            <wp:extent cx="4197985" cy="2981960"/>
            <wp:effectExtent l="19050" t="0" r="0" b="0"/>
            <wp:docPr id="2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srcRect/>
                    <a:stretch>
                      <a:fillRect/>
                    </a:stretch>
                  </pic:blipFill>
                  <pic:spPr bwMode="auto">
                    <a:xfrm>
                      <a:off x="0" y="0"/>
                      <a:ext cx="4197985" cy="2981960"/>
                    </a:xfrm>
                    <a:prstGeom prst="rect">
                      <a:avLst/>
                    </a:prstGeom>
                    <a:noFill/>
                    <a:ln w="9525">
                      <a:noFill/>
                      <a:miter lim="800000"/>
                      <a:headEnd/>
                      <a:tailEnd/>
                    </a:ln>
                  </pic:spPr>
                </pic:pic>
              </a:graphicData>
            </a:graphic>
          </wp:inline>
        </w:drawing>
      </w:r>
    </w:p>
    <w:p w:rsidR="004D5B16" w:rsidRPr="00F53619" w:rsidRDefault="004D5B16" w:rsidP="004D5B16">
      <w:pPr>
        <w:jc w:val="center"/>
        <w:rPr>
          <w:rFonts w:cs="Arial"/>
          <w:lang w:val="pt-PT"/>
        </w:rPr>
      </w:pPr>
      <w:r>
        <w:rPr>
          <w:rFonts w:cs="Arial"/>
          <w:b/>
          <w:lang w:val="pt-PT"/>
        </w:rPr>
        <w:t>Figura 4</w:t>
      </w:r>
      <w:r w:rsidR="005630DE">
        <w:rPr>
          <w:rFonts w:cs="Arial"/>
          <w:b/>
          <w:lang w:val="pt-PT"/>
        </w:rPr>
        <w:t>:</w:t>
      </w:r>
      <w:r w:rsidRPr="00F53619">
        <w:rPr>
          <w:rFonts w:cs="Arial"/>
          <w:lang w:val="pt-PT"/>
        </w:rPr>
        <w:t xml:space="preserve"> Um gene como parte do cromossoma.</w:t>
      </w:r>
    </w:p>
    <w:p w:rsidR="006C62EE" w:rsidRDefault="004D5B16" w:rsidP="00C52E09">
      <w:pPr>
        <w:pStyle w:val="TM-2n"/>
        <w:numPr>
          <w:ilvl w:val="1"/>
          <w:numId w:val="283"/>
        </w:numPr>
        <w:tabs>
          <w:tab w:val="left" w:pos="540"/>
          <w:tab w:val="left" w:pos="990"/>
          <w:tab w:val="left" w:pos="1170"/>
        </w:tabs>
        <w:spacing w:before="120" w:after="0" w:line="276" w:lineRule="auto"/>
      </w:pPr>
      <w:r w:rsidRPr="00F53619">
        <w:t>O conjunto do ADN contido nos cromossomas dum indivíduo é chamado genoma. O genoma inclui tanto os genes, como outros segmentos de ADN que não são expressados em forma de proteínas.</w:t>
      </w:r>
    </w:p>
    <w:p w:rsidR="004D5B16" w:rsidRPr="00F53619" w:rsidRDefault="004D5B16" w:rsidP="00C52E09">
      <w:pPr>
        <w:pStyle w:val="TM-2n"/>
        <w:numPr>
          <w:ilvl w:val="1"/>
          <w:numId w:val="283"/>
        </w:numPr>
        <w:tabs>
          <w:tab w:val="left" w:pos="540"/>
          <w:tab w:val="left" w:pos="990"/>
          <w:tab w:val="left" w:pos="1170"/>
        </w:tabs>
        <w:spacing w:before="120" w:after="0" w:line="276" w:lineRule="auto"/>
      </w:pPr>
      <w:r w:rsidRPr="00F53619">
        <w:t xml:space="preserve">Um gene pode ter várias formas ou sequências alternativas. Por exemplo, o sistema de grupos sanguíneos pode ter as formas A, B, e O. Cada uma das formas dum gene é chamada </w:t>
      </w:r>
      <w:r w:rsidRPr="006C62EE">
        <w:rPr>
          <w:i/>
        </w:rPr>
        <w:t>alelo</w:t>
      </w:r>
      <w:r w:rsidRPr="00F53619">
        <w:t>.</w:t>
      </w:r>
    </w:p>
    <w:p w:rsidR="004D5B16" w:rsidRPr="00F53619" w:rsidRDefault="004D5B16" w:rsidP="00C52E09">
      <w:pPr>
        <w:pStyle w:val="TM-2n"/>
        <w:numPr>
          <w:ilvl w:val="1"/>
          <w:numId w:val="283"/>
        </w:numPr>
        <w:tabs>
          <w:tab w:val="left" w:pos="630"/>
        </w:tabs>
        <w:spacing w:before="120" w:after="0" w:line="276" w:lineRule="auto"/>
        <w:ind w:left="180" w:hanging="7"/>
      </w:pPr>
      <w:r w:rsidRPr="00F53619">
        <w:lastRenderedPageBreak/>
        <w:t xml:space="preserve">As células humanas têm duas cópias de cada cromossoma no seu núcleo, com um total de 23 pares de cromossomas. O conjunto de cromossomas de uma célula, caracterizado pelo número, tamanho e forma desses mesmos cromossomas recebe o nome de </w:t>
      </w:r>
      <w:r w:rsidRPr="00F53619">
        <w:rPr>
          <w:b/>
        </w:rPr>
        <w:t>cariótipo</w:t>
      </w:r>
      <w:r w:rsidRPr="00F53619">
        <w:t>. Por tanto, existirão dois alelos de cada gene, um proveniente do pai, e outro proveniente da mãe.</w:t>
      </w:r>
    </w:p>
    <w:p w:rsidR="004D5B16" w:rsidRPr="00F53619" w:rsidRDefault="004D5B16" w:rsidP="004D5B16">
      <w:pPr>
        <w:jc w:val="center"/>
        <w:rPr>
          <w:rFonts w:cs="Arial"/>
        </w:rPr>
      </w:pPr>
      <w:r>
        <w:rPr>
          <w:rFonts w:cs="Arial"/>
          <w:noProof/>
          <w:lang w:val="en-ZW" w:eastAsia="en-ZW"/>
        </w:rPr>
        <w:drawing>
          <wp:inline distT="0" distB="0" distL="0" distR="0" wp14:anchorId="0E15EC8A" wp14:editId="7A2012E4">
            <wp:extent cx="4858385" cy="3291840"/>
            <wp:effectExtent l="19050" t="0" r="0" b="0"/>
            <wp:docPr id="2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4858385" cy="3291840"/>
                    </a:xfrm>
                    <a:prstGeom prst="rect">
                      <a:avLst/>
                    </a:prstGeom>
                    <a:noFill/>
                    <a:ln w="9525">
                      <a:noFill/>
                      <a:miter lim="800000"/>
                      <a:headEnd/>
                      <a:tailEnd/>
                    </a:ln>
                  </pic:spPr>
                </pic:pic>
              </a:graphicData>
            </a:graphic>
          </wp:inline>
        </w:drawing>
      </w:r>
    </w:p>
    <w:p w:rsidR="004D5B16" w:rsidRPr="00F53619" w:rsidRDefault="004D5B16" w:rsidP="004D5B16">
      <w:pPr>
        <w:jc w:val="center"/>
        <w:rPr>
          <w:rFonts w:cs="Arial"/>
        </w:rPr>
      </w:pPr>
      <w:r>
        <w:rPr>
          <w:rFonts w:cs="Arial"/>
          <w:b/>
        </w:rPr>
        <w:t>Figura 5</w:t>
      </w:r>
      <w:r w:rsidR="005630DE">
        <w:rPr>
          <w:rFonts w:cs="Arial"/>
          <w:b/>
        </w:rPr>
        <w:t>:</w:t>
      </w:r>
      <w:r>
        <w:rPr>
          <w:rFonts w:cs="Arial"/>
        </w:rPr>
        <w:t xml:space="preserve"> Um cariotipo </w:t>
      </w:r>
      <w:r w:rsidRPr="00F53619">
        <w:rPr>
          <w:rFonts w:cs="Arial"/>
        </w:rPr>
        <w:t>humano.</w:t>
      </w:r>
    </w:p>
    <w:p w:rsidR="004D5B16" w:rsidRPr="00F53619" w:rsidRDefault="004D5B16" w:rsidP="00C52E09">
      <w:pPr>
        <w:pStyle w:val="TM-2n"/>
        <w:numPr>
          <w:ilvl w:val="1"/>
          <w:numId w:val="283"/>
        </w:numPr>
        <w:tabs>
          <w:tab w:val="left" w:pos="360"/>
          <w:tab w:val="left" w:pos="1080"/>
        </w:tabs>
        <w:spacing w:before="120" w:after="0" w:line="276" w:lineRule="auto"/>
        <w:ind w:left="450" w:hanging="450"/>
      </w:pPr>
      <w:r w:rsidRPr="00F53619">
        <w:t xml:space="preserve">Os dois alelos dum determinado gene podem ser iguais. Nesse caso, diz-se que o indivíduo é </w:t>
      </w:r>
      <w:r w:rsidRPr="00F53619">
        <w:rPr>
          <w:i/>
        </w:rPr>
        <w:t>homozigótico</w:t>
      </w:r>
      <w:r w:rsidRPr="00F53619">
        <w:t xml:space="preserve"> para esse gene. Porem, outras vezes os dois alelos são diferentes, neste caso, diz-se que o indivíduo é </w:t>
      </w:r>
      <w:r w:rsidRPr="00F53619">
        <w:rPr>
          <w:i/>
        </w:rPr>
        <w:t>heterozigótico</w:t>
      </w:r>
      <w:r w:rsidRPr="00F53619">
        <w:t xml:space="preserve"> para esse gene.</w:t>
      </w:r>
    </w:p>
    <w:p w:rsidR="004D5B16" w:rsidRPr="00F53619" w:rsidRDefault="004D5B16" w:rsidP="00C52E09">
      <w:pPr>
        <w:pStyle w:val="TM-2n"/>
        <w:numPr>
          <w:ilvl w:val="1"/>
          <w:numId w:val="283"/>
        </w:numPr>
        <w:tabs>
          <w:tab w:val="left" w:pos="450"/>
          <w:tab w:val="left" w:pos="1080"/>
        </w:tabs>
        <w:spacing w:before="120" w:after="0" w:line="276" w:lineRule="auto"/>
        <w:ind w:left="0" w:hanging="7"/>
      </w:pPr>
      <w:r w:rsidRPr="00F53619">
        <w:t>A expressão duma característica genética num indivíduo vai depender da capacidade de manifestação dos dois alelos que a determinam. Assim, os alelos dum gene podem ter capacidades diferentes de se expressar.</w:t>
      </w:r>
    </w:p>
    <w:p w:rsidR="004D5B16" w:rsidRPr="00F53619" w:rsidRDefault="004D5B16" w:rsidP="00C52E09">
      <w:pPr>
        <w:pStyle w:val="TM-3n"/>
        <w:numPr>
          <w:ilvl w:val="2"/>
          <w:numId w:val="283"/>
        </w:numPr>
        <w:tabs>
          <w:tab w:val="clear" w:pos="1276"/>
          <w:tab w:val="left" w:pos="1170"/>
        </w:tabs>
        <w:spacing w:before="120" w:after="0" w:line="276" w:lineRule="auto"/>
        <w:ind w:left="1170" w:hanging="630"/>
      </w:pPr>
      <w:r w:rsidRPr="00F53619">
        <w:t>Fala-se dum alelo dominante quando a presença dele determina a característica que o indivíduo apresenta.</w:t>
      </w:r>
    </w:p>
    <w:p w:rsidR="004D5B16" w:rsidRPr="00F53619" w:rsidRDefault="004D5B16" w:rsidP="00C52E09">
      <w:pPr>
        <w:pStyle w:val="TM-3n"/>
        <w:numPr>
          <w:ilvl w:val="2"/>
          <w:numId w:val="283"/>
        </w:numPr>
        <w:tabs>
          <w:tab w:val="clear" w:pos="1276"/>
          <w:tab w:val="left" w:pos="1170"/>
        </w:tabs>
        <w:spacing w:before="120" w:after="0" w:line="276" w:lineRule="auto"/>
        <w:ind w:left="1170" w:hanging="630"/>
      </w:pPr>
      <w:r w:rsidRPr="00F53619">
        <w:t>Pelo contrário, alelo recessivo é aquele que só se expressa em estado homozigoto; qualquer outro alelo terá dominância sobre ele.</w:t>
      </w:r>
    </w:p>
    <w:p w:rsidR="004D5B16" w:rsidRPr="00F53619" w:rsidRDefault="004D5B16" w:rsidP="00C52E09">
      <w:pPr>
        <w:pStyle w:val="TM-3n"/>
        <w:numPr>
          <w:ilvl w:val="2"/>
          <w:numId w:val="283"/>
        </w:numPr>
        <w:tabs>
          <w:tab w:val="clear" w:pos="1276"/>
          <w:tab w:val="left" w:pos="1170"/>
        </w:tabs>
        <w:spacing w:before="120" w:after="0" w:line="276" w:lineRule="auto"/>
        <w:ind w:left="1170" w:hanging="630"/>
      </w:pPr>
      <w:r w:rsidRPr="00F53619">
        <w:t>Muitas vezes, a dominância dum alelo pode ser incompleta. Nestes casos, a característica vai se expressar como uma mistura das características determinadas por cada um dos dois alelos presentes no indivíduo.</w:t>
      </w:r>
    </w:p>
    <w:p w:rsidR="004D5B16" w:rsidRPr="00F53619" w:rsidRDefault="004D5B16" w:rsidP="00C52E09">
      <w:pPr>
        <w:pStyle w:val="TM-3n"/>
        <w:numPr>
          <w:ilvl w:val="2"/>
          <w:numId w:val="283"/>
        </w:numPr>
        <w:tabs>
          <w:tab w:val="clear" w:pos="1276"/>
          <w:tab w:val="left" w:pos="1170"/>
        </w:tabs>
        <w:spacing w:before="120" w:after="0" w:line="276" w:lineRule="auto"/>
        <w:ind w:left="1170" w:hanging="630"/>
      </w:pPr>
      <w:r w:rsidRPr="00F53619">
        <w:t>Outras vezes, os alelos são co-dominantes, e conseguem-se expressar simultaneamente. Em tal caso, o indivíduo apresentará as características determinadas pelos dois alelos.</w:t>
      </w:r>
    </w:p>
    <w:p w:rsidR="004D5B16" w:rsidRPr="00F53619" w:rsidRDefault="004D5B16" w:rsidP="004D5B16">
      <w:pPr>
        <w:pStyle w:val="TM-0"/>
        <w:spacing w:before="120" w:after="0" w:line="276" w:lineRule="auto"/>
      </w:pPr>
    </w:p>
    <w:p w:rsidR="004D5B16" w:rsidRPr="00F53619" w:rsidRDefault="004D5B16" w:rsidP="004D5B16">
      <w:pPr>
        <w:shd w:val="clear" w:color="auto" w:fill="B8CCE4"/>
        <w:tabs>
          <w:tab w:val="left" w:pos="1276"/>
          <w:tab w:val="right" w:pos="8550"/>
        </w:tabs>
        <w:spacing w:before="120"/>
        <w:ind w:right="-43"/>
        <w:jc w:val="both"/>
        <w:rPr>
          <w:rFonts w:cs="Arial"/>
          <w:lang w:val="pt-BR"/>
        </w:rPr>
      </w:pPr>
      <w:r w:rsidRPr="00F53619">
        <w:rPr>
          <w:rFonts w:cs="Arial"/>
          <w:b/>
          <w:lang w:val="pt-PT"/>
        </w:rPr>
        <w:t>BLOCO 5. AS LEIS DE MENDEL</w:t>
      </w:r>
      <w:r w:rsidRPr="00F53619">
        <w:rPr>
          <w:rFonts w:cs="Arial"/>
          <w:lang w:val="pt-BR"/>
        </w:rPr>
        <w:tab/>
      </w:r>
    </w:p>
    <w:p w:rsidR="004D5B16" w:rsidRPr="00F53619" w:rsidRDefault="004D5B16" w:rsidP="004D5B16">
      <w:pPr>
        <w:pStyle w:val="TM-2n"/>
        <w:numPr>
          <w:ilvl w:val="0"/>
          <w:numId w:val="0"/>
        </w:numPr>
        <w:spacing w:before="120" w:after="0"/>
        <w:ind w:left="284" w:hanging="284"/>
      </w:pPr>
      <w:r w:rsidRPr="006C62EE">
        <w:rPr>
          <w:b/>
          <w:lang w:val="pt-BR"/>
        </w:rPr>
        <w:t>5.1</w:t>
      </w:r>
      <w:r w:rsidRPr="00F53619">
        <w:rPr>
          <w:lang w:val="pt-BR"/>
        </w:rPr>
        <w:t xml:space="preserve"> </w:t>
      </w:r>
      <w:r w:rsidRPr="00F53619">
        <w:t>As leis de Mendel são princípios básicos relacionados com a transmissão das características hereditárias de geração a geração.</w:t>
      </w:r>
    </w:p>
    <w:p w:rsidR="004D5B16" w:rsidRPr="00F53619" w:rsidRDefault="004D5B16" w:rsidP="00A05CAA">
      <w:pPr>
        <w:pStyle w:val="TM-2n"/>
        <w:numPr>
          <w:ilvl w:val="1"/>
          <w:numId w:val="17"/>
        </w:numPr>
        <w:spacing w:before="120" w:after="0" w:line="276" w:lineRule="auto"/>
      </w:pPr>
      <w:r w:rsidRPr="00F53619">
        <w:t>Estas leis foram enunciadas pelo cientista austríaco Gregor Mendel, que realizou uma série de experiências com ervilhas, misturando plantas com características simples.</w:t>
      </w:r>
    </w:p>
    <w:p w:rsidR="004D5B16" w:rsidRPr="00F53619" w:rsidRDefault="004D5B16" w:rsidP="00A05CAA">
      <w:pPr>
        <w:pStyle w:val="TM-2n"/>
        <w:numPr>
          <w:ilvl w:val="1"/>
          <w:numId w:val="17"/>
        </w:numPr>
        <w:spacing w:before="120" w:after="0" w:line="276" w:lineRule="auto"/>
      </w:pPr>
      <w:r w:rsidRPr="00F53619">
        <w:lastRenderedPageBreak/>
        <w:t>Mendel escolheu ervilhas de cor verde ou amarela, e com a pele lisa ou rugosa. A análise matemática da combinação de características nas plantas de gerações sucessivas lhe permitiu definir as leis que iriam conformar as bases da genética.</w:t>
      </w:r>
    </w:p>
    <w:p w:rsidR="004D5B16" w:rsidRPr="00F53619" w:rsidRDefault="004D5B16" w:rsidP="00A05CAA">
      <w:pPr>
        <w:pStyle w:val="TM-2n"/>
        <w:numPr>
          <w:ilvl w:val="1"/>
          <w:numId w:val="17"/>
        </w:numPr>
        <w:spacing w:before="120" w:after="0" w:line="276" w:lineRule="auto"/>
        <w:ind w:left="540" w:hanging="522"/>
      </w:pPr>
      <w:r w:rsidRPr="00F53619">
        <w:t>Primeira lei de Mendel, ou lei da segregação.</w:t>
      </w:r>
    </w:p>
    <w:p w:rsidR="004D5B16" w:rsidRPr="00F53619" w:rsidRDefault="004D5B16" w:rsidP="00A05CAA">
      <w:pPr>
        <w:pStyle w:val="TM-3n"/>
        <w:numPr>
          <w:ilvl w:val="2"/>
          <w:numId w:val="17"/>
        </w:numPr>
        <w:tabs>
          <w:tab w:val="clear" w:pos="1276"/>
          <w:tab w:val="left" w:pos="1170"/>
        </w:tabs>
        <w:spacing w:before="120" w:after="0" w:line="276" w:lineRule="auto"/>
        <w:ind w:left="1170" w:hanging="630"/>
      </w:pPr>
      <w:r w:rsidRPr="00F53619">
        <w:t>A primeira lei de Mendel diz que na produção de gâmetas, os dois alelos dum gene separam-se, de maneira que cada gâmeta recebe só um deles.</w:t>
      </w:r>
    </w:p>
    <w:p w:rsidR="004D5B16" w:rsidRPr="00F53619" w:rsidRDefault="004D5B16" w:rsidP="00A05CAA">
      <w:pPr>
        <w:pStyle w:val="TM-3n"/>
        <w:numPr>
          <w:ilvl w:val="2"/>
          <w:numId w:val="17"/>
        </w:numPr>
        <w:tabs>
          <w:tab w:val="clear" w:pos="1276"/>
          <w:tab w:val="left" w:pos="1170"/>
        </w:tabs>
        <w:spacing w:before="120" w:after="0" w:line="276" w:lineRule="auto"/>
        <w:ind w:left="1170" w:hanging="630"/>
      </w:pPr>
      <w:r w:rsidRPr="00F53619">
        <w:t>Esta lei é evidenciada durante a meiose, onde o conteúdo genético duma célula é reduzido à metade, para dar lugar as células reprodutoras.</w:t>
      </w:r>
    </w:p>
    <w:p w:rsidR="004D5B16" w:rsidRPr="00F53619" w:rsidRDefault="004D5B16" w:rsidP="00A05CAA">
      <w:pPr>
        <w:pStyle w:val="TM-3n"/>
        <w:numPr>
          <w:ilvl w:val="2"/>
          <w:numId w:val="17"/>
        </w:numPr>
        <w:tabs>
          <w:tab w:val="clear" w:pos="1276"/>
          <w:tab w:val="left" w:pos="1170"/>
        </w:tabs>
        <w:spacing w:before="120" w:after="0" w:line="276" w:lineRule="auto"/>
        <w:ind w:left="1170" w:hanging="630"/>
      </w:pPr>
      <w:r w:rsidRPr="00F53619">
        <w:t>Quando se representa a herança duma característica em três gerações, a primeira lei de Mendel pode ser compreendida facilmente, por exemplo:</w:t>
      </w:r>
    </w:p>
    <w:p w:rsidR="004D5B16" w:rsidRPr="00F53619" w:rsidRDefault="004D5B16" w:rsidP="00A05CAA">
      <w:pPr>
        <w:pStyle w:val="TM-4n"/>
        <w:numPr>
          <w:ilvl w:val="0"/>
          <w:numId w:val="15"/>
        </w:numPr>
        <w:tabs>
          <w:tab w:val="clear" w:pos="720"/>
          <w:tab w:val="clear" w:pos="1134"/>
        </w:tabs>
        <w:spacing w:before="120" w:after="0" w:line="276" w:lineRule="auto"/>
        <w:ind w:left="1440" w:hanging="270"/>
      </w:pPr>
      <w:r w:rsidRPr="00F53619">
        <w:t>Considerem-se dois alelos, V e v, que definem as seguintes cores: “V” -- verde, e “v” - amarelo, sendo que V domina sobre v.</w:t>
      </w:r>
    </w:p>
    <w:p w:rsidR="004D5B16" w:rsidRPr="00F53619" w:rsidRDefault="004D5B16" w:rsidP="00A05CAA">
      <w:pPr>
        <w:pStyle w:val="TM-4n"/>
        <w:numPr>
          <w:ilvl w:val="0"/>
          <w:numId w:val="15"/>
        </w:numPr>
        <w:tabs>
          <w:tab w:val="clear" w:pos="720"/>
          <w:tab w:val="clear" w:pos="1134"/>
        </w:tabs>
        <w:spacing w:before="120" w:after="0" w:line="276" w:lineRule="auto"/>
        <w:ind w:left="1440" w:hanging="270"/>
      </w:pPr>
      <w:r w:rsidRPr="00F53619">
        <w:t>Uma geração parental de tipos homozigóticos puros origina uma primeira geração de heterozigotos iguais, todos verdes já que V domina sobre v:</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58"/>
        <w:gridCol w:w="1021"/>
        <w:gridCol w:w="1021"/>
      </w:tblGrid>
      <w:tr w:rsidR="004D5B16" w:rsidRPr="00F53619" w:rsidTr="004D5B16">
        <w:trPr>
          <w:trHeight w:val="445"/>
          <w:jc w:val="center"/>
        </w:trPr>
        <w:tc>
          <w:tcPr>
            <w:tcW w:w="3200" w:type="dxa"/>
            <w:gridSpan w:val="3"/>
            <w:tcBorders>
              <w:top w:val="nil"/>
              <w:left w:val="nil"/>
              <w:right w:val="nil"/>
            </w:tcBorders>
            <w:vAlign w:val="center"/>
          </w:tcPr>
          <w:p w:rsidR="004D5B16" w:rsidRPr="00F53619" w:rsidRDefault="004D5B16" w:rsidP="004D5B16">
            <w:pPr>
              <w:pStyle w:val="TM-3n"/>
              <w:numPr>
                <w:ilvl w:val="0"/>
                <w:numId w:val="0"/>
              </w:numPr>
              <w:spacing w:before="120" w:after="0"/>
              <w:jc w:val="center"/>
            </w:pPr>
            <w:r w:rsidRPr="00F53619">
              <w:rPr>
                <w:b/>
              </w:rPr>
              <w:t>VV x vv</w:t>
            </w:r>
          </w:p>
        </w:tc>
      </w:tr>
      <w:tr w:rsidR="004D5B16" w:rsidRPr="00F53619" w:rsidTr="004D5B16">
        <w:trPr>
          <w:trHeight w:val="1021"/>
          <w:jc w:val="center"/>
        </w:trPr>
        <w:tc>
          <w:tcPr>
            <w:tcW w:w="1158" w:type="dxa"/>
            <w:vAlign w:val="center"/>
          </w:tcPr>
          <w:p w:rsidR="004D5B16" w:rsidRPr="00F53619" w:rsidRDefault="004D5B16" w:rsidP="004D5B16">
            <w:pPr>
              <w:pStyle w:val="TM-3n"/>
              <w:numPr>
                <w:ilvl w:val="0"/>
                <w:numId w:val="0"/>
              </w:numPr>
              <w:spacing w:before="120" w:after="0"/>
              <w:jc w:val="center"/>
            </w:pPr>
          </w:p>
        </w:tc>
        <w:tc>
          <w:tcPr>
            <w:tcW w:w="1021" w:type="dxa"/>
            <w:vAlign w:val="center"/>
          </w:tcPr>
          <w:p w:rsidR="004D5B16" w:rsidRPr="00F53619" w:rsidRDefault="004D5B16" w:rsidP="004D5B16">
            <w:pPr>
              <w:pStyle w:val="TM-3n"/>
              <w:numPr>
                <w:ilvl w:val="0"/>
                <w:numId w:val="0"/>
              </w:numPr>
              <w:spacing w:before="120" w:after="0"/>
              <w:jc w:val="center"/>
            </w:pPr>
            <w:r w:rsidRPr="00F53619">
              <w:t>V</w:t>
            </w:r>
          </w:p>
          <w:p w:rsidR="004D5B16" w:rsidRPr="00F53619" w:rsidRDefault="004D5B16" w:rsidP="004D5B16">
            <w:pPr>
              <w:pStyle w:val="TM-3n"/>
              <w:numPr>
                <w:ilvl w:val="0"/>
                <w:numId w:val="0"/>
              </w:numPr>
              <w:spacing w:before="120" w:after="0"/>
              <w:jc w:val="center"/>
            </w:pPr>
            <w:r w:rsidRPr="00F53619">
              <w:t>(verde)</w:t>
            </w:r>
          </w:p>
        </w:tc>
        <w:tc>
          <w:tcPr>
            <w:tcW w:w="1021" w:type="dxa"/>
            <w:vAlign w:val="center"/>
          </w:tcPr>
          <w:p w:rsidR="004D5B16" w:rsidRPr="00F53619" w:rsidRDefault="004D5B16" w:rsidP="004D5B16">
            <w:pPr>
              <w:pStyle w:val="TM-3n"/>
              <w:numPr>
                <w:ilvl w:val="0"/>
                <w:numId w:val="0"/>
              </w:numPr>
              <w:spacing w:before="120" w:after="0"/>
              <w:jc w:val="center"/>
            </w:pPr>
            <w:r w:rsidRPr="00F53619">
              <w:t>V</w:t>
            </w:r>
          </w:p>
          <w:p w:rsidR="004D5B16" w:rsidRPr="00F53619" w:rsidRDefault="004D5B16" w:rsidP="004D5B16">
            <w:pPr>
              <w:pStyle w:val="TM-3n"/>
              <w:numPr>
                <w:ilvl w:val="0"/>
                <w:numId w:val="0"/>
              </w:numPr>
              <w:spacing w:before="120" w:after="0"/>
              <w:jc w:val="center"/>
            </w:pPr>
            <w:r w:rsidRPr="00F53619">
              <w:t>(verde)</w:t>
            </w:r>
          </w:p>
        </w:tc>
      </w:tr>
      <w:tr w:rsidR="004D5B16" w:rsidRPr="00F53619" w:rsidTr="004D5B16">
        <w:trPr>
          <w:trHeight w:val="1021"/>
          <w:jc w:val="center"/>
        </w:trPr>
        <w:tc>
          <w:tcPr>
            <w:tcW w:w="1158" w:type="dxa"/>
            <w:vAlign w:val="center"/>
          </w:tcPr>
          <w:p w:rsidR="004D5B16" w:rsidRPr="00F53619" w:rsidRDefault="004D5B16" w:rsidP="004D5B16">
            <w:pPr>
              <w:pStyle w:val="TM-3n"/>
              <w:numPr>
                <w:ilvl w:val="0"/>
                <w:numId w:val="0"/>
              </w:numPr>
              <w:spacing w:before="120" w:after="0"/>
              <w:jc w:val="center"/>
            </w:pPr>
            <w:r w:rsidRPr="00F53619">
              <w:t>v</w:t>
            </w:r>
          </w:p>
          <w:p w:rsidR="004D5B16" w:rsidRPr="00F53619" w:rsidRDefault="004D5B16" w:rsidP="004D5B16">
            <w:pPr>
              <w:pStyle w:val="TM-3n"/>
              <w:numPr>
                <w:ilvl w:val="0"/>
                <w:numId w:val="0"/>
              </w:numPr>
              <w:spacing w:before="120" w:after="0"/>
              <w:jc w:val="center"/>
            </w:pPr>
            <w:r w:rsidRPr="00F53619">
              <w:t>(amarelo)</w:t>
            </w:r>
          </w:p>
        </w:tc>
        <w:tc>
          <w:tcPr>
            <w:tcW w:w="1021" w:type="dxa"/>
            <w:vAlign w:val="center"/>
          </w:tcPr>
          <w:p w:rsidR="004D5B16" w:rsidRPr="00F53619" w:rsidRDefault="004D5B16" w:rsidP="004D5B16">
            <w:pPr>
              <w:pStyle w:val="TM-3n"/>
              <w:numPr>
                <w:ilvl w:val="0"/>
                <w:numId w:val="0"/>
              </w:numPr>
              <w:spacing w:before="120" w:after="0"/>
              <w:jc w:val="center"/>
            </w:pPr>
            <w:r w:rsidRPr="00F53619">
              <w:t>Vv</w:t>
            </w:r>
          </w:p>
          <w:p w:rsidR="004D5B16" w:rsidRPr="00F53619" w:rsidRDefault="004D5B16" w:rsidP="004D5B16">
            <w:pPr>
              <w:pStyle w:val="TM-3n"/>
              <w:numPr>
                <w:ilvl w:val="0"/>
                <w:numId w:val="0"/>
              </w:numPr>
              <w:spacing w:before="120" w:after="0"/>
              <w:jc w:val="center"/>
            </w:pPr>
            <w:r w:rsidRPr="00F53619">
              <w:t>(verde)</w:t>
            </w:r>
          </w:p>
        </w:tc>
        <w:tc>
          <w:tcPr>
            <w:tcW w:w="1021" w:type="dxa"/>
            <w:vAlign w:val="center"/>
          </w:tcPr>
          <w:p w:rsidR="004D5B16" w:rsidRPr="00F53619" w:rsidRDefault="004D5B16" w:rsidP="004D5B16">
            <w:pPr>
              <w:pStyle w:val="TM-3n"/>
              <w:numPr>
                <w:ilvl w:val="0"/>
                <w:numId w:val="0"/>
              </w:numPr>
              <w:spacing w:before="120" w:after="0"/>
              <w:jc w:val="center"/>
            </w:pPr>
            <w:r w:rsidRPr="00F53619">
              <w:t>Vv</w:t>
            </w:r>
          </w:p>
          <w:p w:rsidR="004D5B16" w:rsidRPr="00F53619" w:rsidRDefault="004D5B16" w:rsidP="004D5B16">
            <w:pPr>
              <w:pStyle w:val="TM-3n"/>
              <w:numPr>
                <w:ilvl w:val="0"/>
                <w:numId w:val="0"/>
              </w:numPr>
              <w:spacing w:before="120" w:after="0"/>
              <w:jc w:val="center"/>
            </w:pPr>
            <w:r w:rsidRPr="00F53619">
              <w:t>(verde)</w:t>
            </w:r>
          </w:p>
        </w:tc>
      </w:tr>
      <w:tr w:rsidR="004D5B16" w:rsidRPr="00F53619" w:rsidTr="004D5B16">
        <w:trPr>
          <w:trHeight w:val="1021"/>
          <w:jc w:val="center"/>
        </w:trPr>
        <w:tc>
          <w:tcPr>
            <w:tcW w:w="1158" w:type="dxa"/>
            <w:vAlign w:val="center"/>
          </w:tcPr>
          <w:p w:rsidR="004D5B16" w:rsidRPr="00F53619" w:rsidRDefault="004D5B16" w:rsidP="004D5B16">
            <w:pPr>
              <w:pStyle w:val="TM-3n"/>
              <w:numPr>
                <w:ilvl w:val="0"/>
                <w:numId w:val="0"/>
              </w:numPr>
              <w:spacing w:before="120" w:after="0"/>
              <w:jc w:val="center"/>
            </w:pPr>
            <w:r w:rsidRPr="00F53619">
              <w:t>v</w:t>
            </w:r>
          </w:p>
          <w:p w:rsidR="004D5B16" w:rsidRPr="00F53619" w:rsidRDefault="004D5B16" w:rsidP="004D5B16">
            <w:pPr>
              <w:pStyle w:val="TM-3n"/>
              <w:numPr>
                <w:ilvl w:val="0"/>
                <w:numId w:val="0"/>
              </w:numPr>
              <w:spacing w:before="120" w:after="0"/>
              <w:jc w:val="center"/>
            </w:pPr>
            <w:r w:rsidRPr="00F53619">
              <w:t>(amarelo)</w:t>
            </w:r>
          </w:p>
        </w:tc>
        <w:tc>
          <w:tcPr>
            <w:tcW w:w="1021" w:type="dxa"/>
            <w:vAlign w:val="center"/>
          </w:tcPr>
          <w:p w:rsidR="004D5B16" w:rsidRPr="00F53619" w:rsidRDefault="004D5B16" w:rsidP="004D5B16">
            <w:pPr>
              <w:pStyle w:val="TM-3n"/>
              <w:numPr>
                <w:ilvl w:val="0"/>
                <w:numId w:val="0"/>
              </w:numPr>
              <w:spacing w:before="120" w:after="0"/>
              <w:jc w:val="center"/>
            </w:pPr>
            <w:r w:rsidRPr="00F53619">
              <w:t>Vv</w:t>
            </w:r>
          </w:p>
          <w:p w:rsidR="004D5B16" w:rsidRPr="00F53619" w:rsidRDefault="004D5B16" w:rsidP="004D5B16">
            <w:pPr>
              <w:pStyle w:val="TM-3n"/>
              <w:numPr>
                <w:ilvl w:val="0"/>
                <w:numId w:val="0"/>
              </w:numPr>
              <w:spacing w:before="120" w:after="0"/>
              <w:jc w:val="center"/>
            </w:pPr>
            <w:r w:rsidRPr="00F53619">
              <w:t>(verde)</w:t>
            </w:r>
          </w:p>
        </w:tc>
        <w:tc>
          <w:tcPr>
            <w:tcW w:w="1021" w:type="dxa"/>
            <w:vAlign w:val="center"/>
          </w:tcPr>
          <w:p w:rsidR="004D5B16" w:rsidRPr="00F53619" w:rsidRDefault="004D5B16" w:rsidP="004D5B16">
            <w:pPr>
              <w:pStyle w:val="TM-3n"/>
              <w:numPr>
                <w:ilvl w:val="0"/>
                <w:numId w:val="0"/>
              </w:numPr>
              <w:spacing w:before="120" w:after="0"/>
              <w:jc w:val="center"/>
            </w:pPr>
            <w:r w:rsidRPr="00F53619">
              <w:t>Vv</w:t>
            </w:r>
          </w:p>
          <w:p w:rsidR="004D5B16" w:rsidRPr="00F53619" w:rsidRDefault="004D5B16" w:rsidP="004D5B16">
            <w:pPr>
              <w:pStyle w:val="TM-3n"/>
              <w:numPr>
                <w:ilvl w:val="0"/>
                <w:numId w:val="0"/>
              </w:numPr>
              <w:spacing w:before="120" w:after="0"/>
              <w:jc w:val="center"/>
            </w:pPr>
            <w:r w:rsidRPr="00F53619">
              <w:t>(verde)</w:t>
            </w:r>
          </w:p>
        </w:tc>
      </w:tr>
    </w:tbl>
    <w:p w:rsidR="004D5B16" w:rsidRPr="00F53619" w:rsidRDefault="004D5B16" w:rsidP="004D5B16">
      <w:pPr>
        <w:pStyle w:val="TM-4n"/>
        <w:numPr>
          <w:ilvl w:val="0"/>
          <w:numId w:val="0"/>
        </w:numPr>
        <w:tabs>
          <w:tab w:val="clear" w:pos="1134"/>
        </w:tabs>
        <w:spacing w:before="120" w:after="0" w:line="276" w:lineRule="auto"/>
        <w:ind w:left="851"/>
      </w:pPr>
      <w:r w:rsidRPr="00F53619">
        <w:t>O cruzamento dos heterozigóticos produz na segunda geração uma combinação 3:1 de cores (3 verdes e 1 amarelo):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21"/>
        <w:gridCol w:w="1021"/>
        <w:gridCol w:w="1021"/>
      </w:tblGrid>
      <w:tr w:rsidR="004D5B16" w:rsidRPr="00F53619" w:rsidTr="004D5B16">
        <w:trPr>
          <w:trHeight w:val="533"/>
          <w:jc w:val="center"/>
        </w:trPr>
        <w:tc>
          <w:tcPr>
            <w:tcW w:w="3063" w:type="dxa"/>
            <w:gridSpan w:val="3"/>
            <w:tcBorders>
              <w:top w:val="nil"/>
              <w:left w:val="nil"/>
              <w:right w:val="nil"/>
            </w:tcBorders>
            <w:tcMar>
              <w:left w:w="28" w:type="dxa"/>
              <w:right w:w="28" w:type="dxa"/>
            </w:tcMar>
            <w:vAlign w:val="center"/>
          </w:tcPr>
          <w:p w:rsidR="004D5B16" w:rsidRPr="00F53619" w:rsidRDefault="004D5B16" w:rsidP="004D5B16">
            <w:pPr>
              <w:pStyle w:val="TM-3n"/>
              <w:numPr>
                <w:ilvl w:val="0"/>
                <w:numId w:val="0"/>
              </w:numPr>
              <w:spacing w:before="120" w:after="0"/>
              <w:jc w:val="center"/>
            </w:pPr>
            <w:r w:rsidRPr="00F53619">
              <w:rPr>
                <w:b/>
              </w:rPr>
              <w:t>Vv x Vv</w:t>
            </w:r>
          </w:p>
        </w:tc>
      </w:tr>
      <w:tr w:rsidR="004D5B16" w:rsidRPr="00F53619" w:rsidTr="004D5B16">
        <w:trPr>
          <w:trHeight w:val="1021"/>
          <w:jc w:val="center"/>
        </w:trPr>
        <w:tc>
          <w:tcPr>
            <w:tcW w:w="1021" w:type="dxa"/>
            <w:tcMar>
              <w:left w:w="28" w:type="dxa"/>
              <w:right w:w="28" w:type="dxa"/>
            </w:tcMar>
            <w:vAlign w:val="center"/>
          </w:tcPr>
          <w:p w:rsidR="004D5B16" w:rsidRPr="00F53619" w:rsidRDefault="004D5B16" w:rsidP="004D5B16">
            <w:pPr>
              <w:pStyle w:val="TM-3n"/>
              <w:numPr>
                <w:ilvl w:val="0"/>
                <w:numId w:val="0"/>
              </w:numPr>
              <w:spacing w:before="120" w:after="0"/>
              <w:jc w:val="center"/>
            </w:pPr>
          </w:p>
        </w:tc>
        <w:tc>
          <w:tcPr>
            <w:tcW w:w="1021" w:type="dxa"/>
            <w:tcMar>
              <w:left w:w="28" w:type="dxa"/>
              <w:right w:w="28" w:type="dxa"/>
            </w:tcMar>
            <w:vAlign w:val="center"/>
          </w:tcPr>
          <w:p w:rsidR="004D5B16" w:rsidRPr="00F53619" w:rsidRDefault="004D5B16" w:rsidP="004D5B16">
            <w:pPr>
              <w:pStyle w:val="TM-3n"/>
              <w:numPr>
                <w:ilvl w:val="0"/>
                <w:numId w:val="0"/>
              </w:numPr>
              <w:spacing w:before="120" w:after="0"/>
              <w:jc w:val="center"/>
            </w:pPr>
            <w:r w:rsidRPr="00F53619">
              <w:t>V</w:t>
            </w:r>
          </w:p>
        </w:tc>
        <w:tc>
          <w:tcPr>
            <w:tcW w:w="1021" w:type="dxa"/>
            <w:tcMar>
              <w:left w:w="28" w:type="dxa"/>
              <w:right w:w="28" w:type="dxa"/>
            </w:tcMar>
            <w:vAlign w:val="center"/>
          </w:tcPr>
          <w:p w:rsidR="004D5B16" w:rsidRPr="00F53619" w:rsidRDefault="004D5B16" w:rsidP="004D5B16">
            <w:pPr>
              <w:pStyle w:val="TM-3n"/>
              <w:numPr>
                <w:ilvl w:val="0"/>
                <w:numId w:val="0"/>
              </w:numPr>
              <w:spacing w:before="120" w:after="0"/>
              <w:jc w:val="center"/>
            </w:pPr>
            <w:r w:rsidRPr="00F53619">
              <w:t>v</w:t>
            </w:r>
          </w:p>
        </w:tc>
      </w:tr>
      <w:tr w:rsidR="004D5B16" w:rsidRPr="00F53619" w:rsidTr="004D5B16">
        <w:trPr>
          <w:trHeight w:val="1021"/>
          <w:jc w:val="center"/>
        </w:trPr>
        <w:tc>
          <w:tcPr>
            <w:tcW w:w="1021" w:type="dxa"/>
            <w:tcMar>
              <w:left w:w="28" w:type="dxa"/>
              <w:right w:w="28" w:type="dxa"/>
            </w:tcMar>
            <w:vAlign w:val="center"/>
          </w:tcPr>
          <w:p w:rsidR="004D5B16" w:rsidRPr="00F53619" w:rsidRDefault="004D5B16" w:rsidP="004D5B16">
            <w:pPr>
              <w:pStyle w:val="TM-3n"/>
              <w:numPr>
                <w:ilvl w:val="0"/>
                <w:numId w:val="0"/>
              </w:numPr>
              <w:spacing w:before="120" w:after="0"/>
              <w:jc w:val="center"/>
            </w:pPr>
            <w:r w:rsidRPr="00F53619">
              <w:t>V</w:t>
            </w:r>
          </w:p>
        </w:tc>
        <w:tc>
          <w:tcPr>
            <w:tcW w:w="1021" w:type="dxa"/>
            <w:tcMar>
              <w:left w:w="28" w:type="dxa"/>
              <w:right w:w="28" w:type="dxa"/>
            </w:tcMar>
            <w:vAlign w:val="center"/>
          </w:tcPr>
          <w:p w:rsidR="004D5B16" w:rsidRPr="00F53619" w:rsidRDefault="004D5B16" w:rsidP="004D5B16">
            <w:pPr>
              <w:pStyle w:val="TM-3n"/>
              <w:numPr>
                <w:ilvl w:val="0"/>
                <w:numId w:val="0"/>
              </w:numPr>
              <w:spacing w:before="120" w:after="0"/>
              <w:jc w:val="center"/>
            </w:pPr>
            <w:r w:rsidRPr="00F53619">
              <w:t>VV</w:t>
            </w:r>
          </w:p>
          <w:p w:rsidR="004D5B16" w:rsidRPr="00F53619" w:rsidRDefault="004D5B16" w:rsidP="004D5B16">
            <w:pPr>
              <w:pStyle w:val="TM-3n"/>
              <w:numPr>
                <w:ilvl w:val="0"/>
                <w:numId w:val="0"/>
              </w:numPr>
              <w:spacing w:before="120" w:after="0"/>
              <w:jc w:val="center"/>
            </w:pPr>
            <w:r w:rsidRPr="00F53619">
              <w:t>(verde)</w:t>
            </w:r>
          </w:p>
        </w:tc>
        <w:tc>
          <w:tcPr>
            <w:tcW w:w="1021" w:type="dxa"/>
            <w:tcMar>
              <w:left w:w="28" w:type="dxa"/>
              <w:right w:w="28" w:type="dxa"/>
            </w:tcMar>
            <w:vAlign w:val="center"/>
          </w:tcPr>
          <w:p w:rsidR="004D5B16" w:rsidRPr="00F53619" w:rsidRDefault="004D5B16" w:rsidP="004D5B16">
            <w:pPr>
              <w:pStyle w:val="TM-3n"/>
              <w:numPr>
                <w:ilvl w:val="0"/>
                <w:numId w:val="0"/>
              </w:numPr>
              <w:spacing w:before="120" w:after="0"/>
              <w:jc w:val="center"/>
            </w:pPr>
            <w:r w:rsidRPr="00F53619">
              <w:t>Vv</w:t>
            </w:r>
          </w:p>
          <w:p w:rsidR="004D5B16" w:rsidRPr="00F53619" w:rsidRDefault="004D5B16" w:rsidP="004D5B16">
            <w:pPr>
              <w:pStyle w:val="TM-3n"/>
              <w:numPr>
                <w:ilvl w:val="0"/>
                <w:numId w:val="0"/>
              </w:numPr>
              <w:spacing w:before="120" w:after="0"/>
              <w:jc w:val="center"/>
            </w:pPr>
            <w:r w:rsidRPr="00F53619">
              <w:t>(verde)</w:t>
            </w:r>
          </w:p>
        </w:tc>
      </w:tr>
      <w:tr w:rsidR="004D5B16" w:rsidRPr="00F53619" w:rsidTr="004D5B16">
        <w:trPr>
          <w:trHeight w:val="1021"/>
          <w:jc w:val="center"/>
        </w:trPr>
        <w:tc>
          <w:tcPr>
            <w:tcW w:w="1021" w:type="dxa"/>
            <w:tcMar>
              <w:left w:w="28" w:type="dxa"/>
              <w:right w:w="28" w:type="dxa"/>
            </w:tcMar>
            <w:vAlign w:val="center"/>
          </w:tcPr>
          <w:p w:rsidR="004D5B16" w:rsidRPr="00F53619" w:rsidRDefault="004D5B16" w:rsidP="004D5B16">
            <w:pPr>
              <w:pStyle w:val="TM-3n"/>
              <w:numPr>
                <w:ilvl w:val="0"/>
                <w:numId w:val="0"/>
              </w:numPr>
              <w:spacing w:before="120" w:after="0"/>
              <w:jc w:val="center"/>
            </w:pPr>
            <w:r w:rsidRPr="00F53619">
              <w:t>v</w:t>
            </w:r>
          </w:p>
        </w:tc>
        <w:tc>
          <w:tcPr>
            <w:tcW w:w="1021" w:type="dxa"/>
            <w:tcMar>
              <w:left w:w="28" w:type="dxa"/>
              <w:right w:w="28" w:type="dxa"/>
            </w:tcMar>
            <w:vAlign w:val="center"/>
          </w:tcPr>
          <w:p w:rsidR="004D5B16" w:rsidRPr="00F53619" w:rsidRDefault="004D5B16" w:rsidP="004D5B16">
            <w:pPr>
              <w:pStyle w:val="TM-3n"/>
              <w:numPr>
                <w:ilvl w:val="0"/>
                <w:numId w:val="0"/>
              </w:numPr>
              <w:spacing w:before="120" w:after="0"/>
              <w:jc w:val="center"/>
            </w:pPr>
            <w:r w:rsidRPr="00F53619">
              <w:t>Vv</w:t>
            </w:r>
          </w:p>
          <w:p w:rsidR="004D5B16" w:rsidRPr="00F53619" w:rsidRDefault="004D5B16" w:rsidP="004D5B16">
            <w:pPr>
              <w:pStyle w:val="TM-3n"/>
              <w:numPr>
                <w:ilvl w:val="0"/>
                <w:numId w:val="0"/>
              </w:numPr>
              <w:spacing w:before="120" w:after="0"/>
              <w:jc w:val="center"/>
            </w:pPr>
            <w:r w:rsidRPr="00F53619">
              <w:t>(verde)</w:t>
            </w:r>
          </w:p>
        </w:tc>
        <w:tc>
          <w:tcPr>
            <w:tcW w:w="1021" w:type="dxa"/>
            <w:tcMar>
              <w:left w:w="28" w:type="dxa"/>
              <w:right w:w="28" w:type="dxa"/>
            </w:tcMar>
            <w:vAlign w:val="center"/>
          </w:tcPr>
          <w:p w:rsidR="004D5B16" w:rsidRPr="00F53619" w:rsidRDefault="004D5B16" w:rsidP="004D5B16">
            <w:pPr>
              <w:pStyle w:val="TM-3n"/>
              <w:numPr>
                <w:ilvl w:val="0"/>
                <w:numId w:val="0"/>
              </w:numPr>
              <w:spacing w:before="120" w:after="0"/>
              <w:jc w:val="center"/>
            </w:pPr>
            <w:r w:rsidRPr="00F53619">
              <w:t>vv</w:t>
            </w:r>
          </w:p>
          <w:p w:rsidR="004D5B16" w:rsidRPr="00F53619" w:rsidRDefault="004D5B16" w:rsidP="004D5B16">
            <w:pPr>
              <w:pStyle w:val="TM-3n"/>
              <w:numPr>
                <w:ilvl w:val="0"/>
                <w:numId w:val="0"/>
              </w:numPr>
              <w:spacing w:before="120" w:after="0"/>
              <w:jc w:val="center"/>
            </w:pPr>
            <w:r w:rsidRPr="00F53619">
              <w:t>(amarelo)</w:t>
            </w:r>
          </w:p>
        </w:tc>
      </w:tr>
    </w:tbl>
    <w:p w:rsidR="004D5B16" w:rsidRPr="00F53619" w:rsidRDefault="004D5B16" w:rsidP="00A05CAA">
      <w:pPr>
        <w:pStyle w:val="TM-2n"/>
        <w:numPr>
          <w:ilvl w:val="1"/>
          <w:numId w:val="17"/>
        </w:numPr>
        <w:spacing w:before="120" w:after="0" w:line="276" w:lineRule="auto"/>
        <w:ind w:left="450"/>
      </w:pPr>
      <w:r w:rsidRPr="00F53619">
        <w:t>Segunda lei de Mendel, ou lei da segregação independente.</w:t>
      </w:r>
    </w:p>
    <w:p w:rsidR="004D5B16" w:rsidRPr="00F53619" w:rsidRDefault="004D5B16" w:rsidP="00A05CAA">
      <w:pPr>
        <w:pStyle w:val="TM-3n"/>
        <w:numPr>
          <w:ilvl w:val="2"/>
          <w:numId w:val="17"/>
        </w:numPr>
        <w:tabs>
          <w:tab w:val="clear" w:pos="1276"/>
          <w:tab w:val="left" w:pos="1170"/>
        </w:tabs>
        <w:spacing w:before="120" w:after="0" w:line="276" w:lineRule="auto"/>
        <w:ind w:left="1170" w:hanging="630"/>
      </w:pPr>
      <w:r w:rsidRPr="00F53619">
        <w:t>A segunda lei da Mendel diz que os alelos dum gene são herdados de maneira independente aos alelos de outros genes.</w:t>
      </w:r>
    </w:p>
    <w:p w:rsidR="004D5B16" w:rsidRPr="00F53619" w:rsidRDefault="004D5B16" w:rsidP="00A05CAA">
      <w:pPr>
        <w:pStyle w:val="TM-3n"/>
        <w:numPr>
          <w:ilvl w:val="2"/>
          <w:numId w:val="17"/>
        </w:numPr>
        <w:tabs>
          <w:tab w:val="clear" w:pos="1276"/>
          <w:tab w:val="left" w:pos="1170"/>
        </w:tabs>
        <w:spacing w:before="120" w:after="0" w:line="276" w:lineRule="auto"/>
        <w:ind w:left="1170" w:hanging="630"/>
      </w:pPr>
      <w:r w:rsidRPr="00F53619">
        <w:t>Esta lei é verificada no processo de recombinação genética que ocorre durante a meiose, onde o material genético dos dois progenitores é misturado aleatoriamente.</w:t>
      </w:r>
    </w:p>
    <w:p w:rsidR="004D5B16" w:rsidRPr="00F53619" w:rsidRDefault="004D5B16" w:rsidP="00A05CAA">
      <w:pPr>
        <w:pStyle w:val="TM-3n"/>
        <w:numPr>
          <w:ilvl w:val="2"/>
          <w:numId w:val="17"/>
        </w:numPr>
        <w:tabs>
          <w:tab w:val="clear" w:pos="1276"/>
          <w:tab w:val="left" w:pos="1170"/>
        </w:tabs>
        <w:spacing w:before="120" w:after="0" w:line="276" w:lineRule="auto"/>
        <w:ind w:left="1170" w:hanging="630"/>
      </w:pPr>
      <w:r w:rsidRPr="00F53619">
        <w:lastRenderedPageBreak/>
        <w:t>Na realidade, esta lei só cumpre-se se os genes considerados não estão ligados, isto é, quando os genes não estão demasiado próximos entre eles, de maneira que não podem ser afectados pela recombinação genética.</w:t>
      </w:r>
    </w:p>
    <w:p w:rsidR="004D5B16" w:rsidRPr="00F53619" w:rsidRDefault="004D5B16" w:rsidP="00A05CAA">
      <w:pPr>
        <w:pStyle w:val="TM-3n"/>
        <w:numPr>
          <w:ilvl w:val="2"/>
          <w:numId w:val="17"/>
        </w:numPr>
        <w:tabs>
          <w:tab w:val="clear" w:pos="1276"/>
          <w:tab w:val="left" w:pos="1170"/>
        </w:tabs>
        <w:spacing w:before="120" w:after="0" w:line="276" w:lineRule="auto"/>
        <w:ind w:left="1170" w:hanging="630"/>
      </w:pPr>
      <w:r w:rsidRPr="00F53619">
        <w:t>A segunda lei de Mendel pode ser entendida quando se representa a transmissão de dois caracteres diferentes.</w:t>
      </w:r>
    </w:p>
    <w:p w:rsidR="004D5B16" w:rsidRPr="00F53619" w:rsidRDefault="004D5B16" w:rsidP="00A05CAA">
      <w:pPr>
        <w:pStyle w:val="TM-4n"/>
        <w:numPr>
          <w:ilvl w:val="0"/>
          <w:numId w:val="15"/>
        </w:numPr>
        <w:tabs>
          <w:tab w:val="clear" w:pos="720"/>
          <w:tab w:val="clear" w:pos="1134"/>
        </w:tabs>
        <w:spacing w:before="120" w:after="0" w:line="276" w:lineRule="auto"/>
        <w:ind w:left="1440" w:hanging="270"/>
      </w:pPr>
      <w:r w:rsidRPr="00F53619">
        <w:t>Considerem-se dois alelos, V e v, que definem a cor (V é verde, e v é amarelo), sendo que V domina sobre v.</w:t>
      </w:r>
    </w:p>
    <w:p w:rsidR="004D5B16" w:rsidRPr="00F53619" w:rsidRDefault="004D5B16" w:rsidP="00A05CAA">
      <w:pPr>
        <w:pStyle w:val="TM-4n"/>
        <w:numPr>
          <w:ilvl w:val="0"/>
          <w:numId w:val="15"/>
        </w:numPr>
        <w:tabs>
          <w:tab w:val="clear" w:pos="720"/>
          <w:tab w:val="clear" w:pos="1134"/>
        </w:tabs>
        <w:spacing w:before="120" w:after="0" w:line="276" w:lineRule="auto"/>
        <w:ind w:left="1440" w:hanging="270"/>
      </w:pPr>
      <w:r w:rsidRPr="00F53619">
        <w:t>Considerem-se outros dois alelos, R e r, que definem o tipo de pele (R é rugosa, e r é lisa), sendo que R domina sobre r.</w:t>
      </w:r>
    </w:p>
    <w:p w:rsidR="004D5B16" w:rsidRPr="00F53619" w:rsidRDefault="004D5B16" w:rsidP="00A05CAA">
      <w:pPr>
        <w:pStyle w:val="TM-4n"/>
        <w:numPr>
          <w:ilvl w:val="0"/>
          <w:numId w:val="15"/>
        </w:numPr>
        <w:tabs>
          <w:tab w:val="clear" w:pos="720"/>
          <w:tab w:val="clear" w:pos="1134"/>
        </w:tabs>
        <w:spacing w:before="120" w:after="0" w:line="276" w:lineRule="auto"/>
        <w:ind w:left="1440" w:hanging="270"/>
      </w:pPr>
      <w:r w:rsidRPr="00F53619">
        <w:t>O cruzamento de homozigotos para cada uma das características da lugar a uma primeira geração de heterozigotos para as duas características</w:t>
      </w:r>
    </w:p>
    <w:tbl>
      <w:tblPr>
        <w:tblW w:w="4694" w:type="pct"/>
        <w:jc w:val="center"/>
        <w:tblInd w:w="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78"/>
        <w:gridCol w:w="1706"/>
        <w:gridCol w:w="3413"/>
        <w:gridCol w:w="3411"/>
      </w:tblGrid>
      <w:tr w:rsidR="004D5B16" w:rsidRPr="00F53619" w:rsidTr="00ED3A9C">
        <w:trPr>
          <w:trHeight w:val="509"/>
          <w:jc w:val="center"/>
        </w:trPr>
        <w:tc>
          <w:tcPr>
            <w:tcW w:w="5000" w:type="pct"/>
            <w:gridSpan w:val="4"/>
            <w:tcBorders>
              <w:top w:val="nil"/>
              <w:left w:val="nil"/>
              <w:right w:val="nil"/>
            </w:tcBorders>
            <w:tcMar>
              <w:left w:w="28" w:type="dxa"/>
              <w:right w:w="28" w:type="dxa"/>
            </w:tcMar>
            <w:vAlign w:val="center"/>
          </w:tcPr>
          <w:p w:rsidR="004D5B16" w:rsidRPr="00F53619" w:rsidRDefault="004D5B16" w:rsidP="004D5B16">
            <w:pPr>
              <w:pStyle w:val="TM-3n"/>
              <w:numPr>
                <w:ilvl w:val="0"/>
                <w:numId w:val="0"/>
              </w:numPr>
              <w:spacing w:after="0"/>
              <w:jc w:val="center"/>
            </w:pPr>
            <w:r w:rsidRPr="00F53619">
              <w:rPr>
                <w:b/>
              </w:rPr>
              <w:t>VVrr x vvRR</w:t>
            </w:r>
          </w:p>
        </w:tc>
      </w:tr>
      <w:tr w:rsidR="004D5B16" w:rsidRPr="00F53619" w:rsidTr="00ED3A9C">
        <w:trPr>
          <w:trHeight w:val="509"/>
          <w:jc w:val="center"/>
        </w:trPr>
        <w:tc>
          <w:tcPr>
            <w:tcW w:w="1449" w:type="pct"/>
            <w:gridSpan w:val="2"/>
            <w:vMerge w:val="restart"/>
            <w:tcMar>
              <w:left w:w="28" w:type="dxa"/>
              <w:right w:w="28" w:type="dxa"/>
            </w:tcMar>
            <w:vAlign w:val="center"/>
          </w:tcPr>
          <w:p w:rsidR="004D5B16" w:rsidRPr="00F53619" w:rsidRDefault="004D5B16" w:rsidP="004D5B16">
            <w:pPr>
              <w:pStyle w:val="TM-3n"/>
              <w:numPr>
                <w:ilvl w:val="0"/>
                <w:numId w:val="0"/>
              </w:numPr>
              <w:spacing w:after="0"/>
              <w:jc w:val="center"/>
            </w:pPr>
          </w:p>
        </w:tc>
        <w:tc>
          <w:tcPr>
            <w:tcW w:w="3551" w:type="pct"/>
            <w:gridSpan w:val="2"/>
            <w:tcMar>
              <w:left w:w="28" w:type="dxa"/>
              <w:right w:w="28" w:type="dxa"/>
            </w:tcMar>
            <w:vAlign w:val="center"/>
          </w:tcPr>
          <w:p w:rsidR="004D5B16" w:rsidRPr="00F53619" w:rsidRDefault="004D5B16" w:rsidP="004D5B16">
            <w:pPr>
              <w:pStyle w:val="TM-3n"/>
              <w:numPr>
                <w:ilvl w:val="0"/>
                <w:numId w:val="0"/>
              </w:numPr>
              <w:spacing w:after="0"/>
              <w:jc w:val="center"/>
            </w:pPr>
            <w:r w:rsidRPr="00F53619">
              <w:t>VVrr</w:t>
            </w:r>
          </w:p>
        </w:tc>
      </w:tr>
      <w:tr w:rsidR="004D5B16" w:rsidRPr="00F53619" w:rsidTr="00ED3A9C">
        <w:trPr>
          <w:trHeight w:val="509"/>
          <w:jc w:val="center"/>
        </w:trPr>
        <w:tc>
          <w:tcPr>
            <w:tcW w:w="1449" w:type="pct"/>
            <w:gridSpan w:val="2"/>
            <w:vMerge/>
            <w:tcMar>
              <w:left w:w="28" w:type="dxa"/>
              <w:right w:w="28" w:type="dxa"/>
            </w:tcMar>
            <w:vAlign w:val="center"/>
          </w:tcPr>
          <w:p w:rsidR="004D5B16" w:rsidRPr="00F53619" w:rsidRDefault="004D5B16" w:rsidP="004D5B16">
            <w:pPr>
              <w:pStyle w:val="TM-3n"/>
              <w:numPr>
                <w:ilvl w:val="0"/>
                <w:numId w:val="0"/>
              </w:numPr>
              <w:spacing w:after="0"/>
              <w:jc w:val="center"/>
            </w:pPr>
          </w:p>
        </w:tc>
        <w:tc>
          <w:tcPr>
            <w:tcW w:w="1776" w:type="pct"/>
            <w:tcMar>
              <w:left w:w="28" w:type="dxa"/>
              <w:right w:w="28" w:type="dxa"/>
            </w:tcMar>
            <w:vAlign w:val="center"/>
          </w:tcPr>
          <w:p w:rsidR="004D5B16" w:rsidRPr="00F53619" w:rsidRDefault="004D5B16" w:rsidP="004D5B16">
            <w:pPr>
              <w:pStyle w:val="TM-3n"/>
              <w:numPr>
                <w:ilvl w:val="0"/>
                <w:numId w:val="0"/>
              </w:numPr>
              <w:spacing w:after="0"/>
              <w:jc w:val="center"/>
            </w:pPr>
            <w:r w:rsidRPr="00F53619">
              <w:t>Vr</w:t>
            </w:r>
          </w:p>
        </w:tc>
        <w:tc>
          <w:tcPr>
            <w:tcW w:w="1774" w:type="pct"/>
            <w:vAlign w:val="center"/>
          </w:tcPr>
          <w:p w:rsidR="004D5B16" w:rsidRPr="00F53619" w:rsidRDefault="004D5B16" w:rsidP="004D5B16">
            <w:pPr>
              <w:pStyle w:val="TM-3n"/>
              <w:numPr>
                <w:ilvl w:val="0"/>
                <w:numId w:val="0"/>
              </w:numPr>
              <w:spacing w:after="0"/>
              <w:jc w:val="center"/>
            </w:pPr>
            <w:r w:rsidRPr="00F53619">
              <w:t>Vr</w:t>
            </w:r>
          </w:p>
        </w:tc>
      </w:tr>
      <w:tr w:rsidR="004D5B16" w:rsidRPr="00F53619" w:rsidTr="00ED3A9C">
        <w:trPr>
          <w:trHeight w:val="1021"/>
          <w:jc w:val="center"/>
        </w:trPr>
        <w:tc>
          <w:tcPr>
            <w:tcW w:w="561" w:type="pct"/>
            <w:vMerge w:val="restart"/>
            <w:shd w:val="clear" w:color="auto" w:fill="auto"/>
            <w:tcMar>
              <w:left w:w="28" w:type="dxa"/>
              <w:right w:w="28" w:type="dxa"/>
            </w:tcMar>
            <w:textDirection w:val="btLr"/>
            <w:vAlign w:val="center"/>
          </w:tcPr>
          <w:p w:rsidR="004D5B16" w:rsidRPr="00F53619" w:rsidRDefault="004D5B16" w:rsidP="004D5B16">
            <w:pPr>
              <w:pStyle w:val="TM-3n"/>
              <w:numPr>
                <w:ilvl w:val="0"/>
                <w:numId w:val="0"/>
              </w:numPr>
              <w:spacing w:after="0"/>
              <w:ind w:left="113" w:right="113"/>
              <w:jc w:val="center"/>
            </w:pPr>
            <w:r w:rsidRPr="00F53619">
              <w:t>vvRR</w:t>
            </w:r>
          </w:p>
        </w:tc>
        <w:tc>
          <w:tcPr>
            <w:tcW w:w="888" w:type="pct"/>
            <w:shd w:val="clear" w:color="auto" w:fill="auto"/>
            <w:tcMar>
              <w:left w:w="28" w:type="dxa"/>
              <w:right w:w="28" w:type="dxa"/>
            </w:tcMar>
            <w:vAlign w:val="center"/>
          </w:tcPr>
          <w:p w:rsidR="004D5B16" w:rsidRPr="00F53619" w:rsidRDefault="004D5B16" w:rsidP="004D5B16">
            <w:pPr>
              <w:pStyle w:val="TM-3n"/>
              <w:numPr>
                <w:ilvl w:val="0"/>
                <w:numId w:val="0"/>
              </w:numPr>
              <w:spacing w:after="0"/>
              <w:jc w:val="center"/>
            </w:pPr>
            <w:r w:rsidRPr="00F53619">
              <w:t>vR</w:t>
            </w:r>
          </w:p>
        </w:tc>
        <w:tc>
          <w:tcPr>
            <w:tcW w:w="1776" w:type="pct"/>
            <w:tcMar>
              <w:left w:w="28" w:type="dxa"/>
              <w:right w:w="28" w:type="dxa"/>
            </w:tcMar>
            <w:vAlign w:val="center"/>
          </w:tcPr>
          <w:p w:rsidR="004D5B16" w:rsidRPr="00F53619" w:rsidRDefault="004D5B16" w:rsidP="004D5B16">
            <w:pPr>
              <w:pStyle w:val="TM-3n"/>
              <w:numPr>
                <w:ilvl w:val="0"/>
                <w:numId w:val="0"/>
              </w:numPr>
              <w:spacing w:after="0"/>
              <w:jc w:val="center"/>
            </w:pPr>
            <w:r w:rsidRPr="00F53619">
              <w:t>VvRr</w:t>
            </w:r>
          </w:p>
          <w:p w:rsidR="004D5B16" w:rsidRPr="00F53619" w:rsidRDefault="004D5B16" w:rsidP="00ED3A9C">
            <w:pPr>
              <w:pStyle w:val="TM-3n"/>
              <w:numPr>
                <w:ilvl w:val="0"/>
                <w:numId w:val="0"/>
              </w:numPr>
              <w:spacing w:after="0"/>
              <w:jc w:val="center"/>
            </w:pPr>
            <w:r w:rsidRPr="00F53619">
              <w:t>(verde,</w:t>
            </w:r>
            <w:r w:rsidR="00ED3A9C">
              <w:t xml:space="preserve"> </w:t>
            </w:r>
            <w:r w:rsidRPr="00F53619">
              <w:t>rugosa)</w:t>
            </w:r>
          </w:p>
        </w:tc>
        <w:tc>
          <w:tcPr>
            <w:tcW w:w="1774" w:type="pct"/>
            <w:tcMar>
              <w:left w:w="28" w:type="dxa"/>
              <w:right w:w="28" w:type="dxa"/>
            </w:tcMar>
            <w:vAlign w:val="center"/>
          </w:tcPr>
          <w:p w:rsidR="004D5B16" w:rsidRPr="00F53619" w:rsidRDefault="004D5B16" w:rsidP="004D5B16">
            <w:pPr>
              <w:pStyle w:val="TM-3n"/>
              <w:numPr>
                <w:ilvl w:val="0"/>
                <w:numId w:val="0"/>
              </w:numPr>
              <w:spacing w:after="0"/>
              <w:jc w:val="center"/>
            </w:pPr>
            <w:r w:rsidRPr="00F53619">
              <w:t>VvRr</w:t>
            </w:r>
          </w:p>
          <w:p w:rsidR="004D5B16" w:rsidRPr="00F53619" w:rsidRDefault="004D5B16" w:rsidP="00ED3A9C">
            <w:pPr>
              <w:pStyle w:val="TM-3n"/>
              <w:numPr>
                <w:ilvl w:val="0"/>
                <w:numId w:val="0"/>
              </w:numPr>
              <w:spacing w:after="0"/>
              <w:jc w:val="center"/>
            </w:pPr>
            <w:r w:rsidRPr="00F53619">
              <w:t>(verde,</w:t>
            </w:r>
            <w:r w:rsidR="00ED3A9C">
              <w:t xml:space="preserve"> </w:t>
            </w:r>
            <w:r w:rsidRPr="00F53619">
              <w:t>rugosa)</w:t>
            </w:r>
          </w:p>
        </w:tc>
      </w:tr>
      <w:tr w:rsidR="004D5B16" w:rsidRPr="00F53619" w:rsidTr="00ED3A9C">
        <w:trPr>
          <w:trHeight w:val="1021"/>
          <w:jc w:val="center"/>
        </w:trPr>
        <w:tc>
          <w:tcPr>
            <w:tcW w:w="561" w:type="pct"/>
            <w:vMerge/>
            <w:shd w:val="clear" w:color="auto" w:fill="auto"/>
            <w:tcMar>
              <w:left w:w="28" w:type="dxa"/>
              <w:right w:w="28" w:type="dxa"/>
            </w:tcMar>
            <w:vAlign w:val="center"/>
          </w:tcPr>
          <w:p w:rsidR="004D5B16" w:rsidRPr="00F53619" w:rsidRDefault="004D5B16" w:rsidP="004D5B16">
            <w:pPr>
              <w:pStyle w:val="TM-3n"/>
              <w:numPr>
                <w:ilvl w:val="0"/>
                <w:numId w:val="0"/>
              </w:numPr>
              <w:spacing w:after="0"/>
              <w:jc w:val="center"/>
            </w:pPr>
          </w:p>
        </w:tc>
        <w:tc>
          <w:tcPr>
            <w:tcW w:w="888" w:type="pct"/>
            <w:shd w:val="clear" w:color="auto" w:fill="auto"/>
            <w:tcMar>
              <w:left w:w="28" w:type="dxa"/>
              <w:right w:w="28" w:type="dxa"/>
            </w:tcMar>
            <w:vAlign w:val="center"/>
          </w:tcPr>
          <w:p w:rsidR="004D5B16" w:rsidRPr="00F53619" w:rsidRDefault="004D5B16" w:rsidP="004D5B16">
            <w:pPr>
              <w:pStyle w:val="TM-3n"/>
              <w:numPr>
                <w:ilvl w:val="0"/>
                <w:numId w:val="0"/>
              </w:numPr>
              <w:spacing w:after="0"/>
              <w:jc w:val="center"/>
            </w:pPr>
            <w:r w:rsidRPr="00F53619">
              <w:t>vR</w:t>
            </w:r>
          </w:p>
        </w:tc>
        <w:tc>
          <w:tcPr>
            <w:tcW w:w="1776" w:type="pct"/>
            <w:tcMar>
              <w:left w:w="28" w:type="dxa"/>
              <w:right w:w="28" w:type="dxa"/>
            </w:tcMar>
            <w:vAlign w:val="center"/>
          </w:tcPr>
          <w:p w:rsidR="004D5B16" w:rsidRPr="00F53619" w:rsidRDefault="004D5B16" w:rsidP="004D5B16">
            <w:pPr>
              <w:pStyle w:val="TM-3n"/>
              <w:numPr>
                <w:ilvl w:val="0"/>
                <w:numId w:val="0"/>
              </w:numPr>
              <w:spacing w:after="0"/>
              <w:jc w:val="center"/>
            </w:pPr>
            <w:r w:rsidRPr="00F53619">
              <w:t>VvRr</w:t>
            </w:r>
          </w:p>
          <w:p w:rsidR="004D5B16" w:rsidRPr="00F53619" w:rsidRDefault="004D5B16" w:rsidP="00ED3A9C">
            <w:pPr>
              <w:pStyle w:val="TM-3n"/>
              <w:numPr>
                <w:ilvl w:val="0"/>
                <w:numId w:val="0"/>
              </w:numPr>
              <w:spacing w:after="0"/>
              <w:jc w:val="center"/>
            </w:pPr>
            <w:r w:rsidRPr="00F53619">
              <w:t>(verde,</w:t>
            </w:r>
            <w:r w:rsidR="00ED3A9C">
              <w:t xml:space="preserve"> </w:t>
            </w:r>
            <w:r w:rsidRPr="00F53619">
              <w:t>rugosa)</w:t>
            </w:r>
          </w:p>
        </w:tc>
        <w:tc>
          <w:tcPr>
            <w:tcW w:w="1774" w:type="pct"/>
            <w:tcMar>
              <w:left w:w="28" w:type="dxa"/>
              <w:right w:w="28" w:type="dxa"/>
            </w:tcMar>
            <w:vAlign w:val="center"/>
          </w:tcPr>
          <w:p w:rsidR="004D5B16" w:rsidRPr="00F53619" w:rsidRDefault="004D5B16" w:rsidP="004D5B16">
            <w:pPr>
              <w:pStyle w:val="TM-3n"/>
              <w:numPr>
                <w:ilvl w:val="0"/>
                <w:numId w:val="0"/>
              </w:numPr>
              <w:spacing w:after="0"/>
              <w:jc w:val="center"/>
            </w:pPr>
            <w:r w:rsidRPr="00F53619">
              <w:t>VvRr</w:t>
            </w:r>
          </w:p>
          <w:p w:rsidR="004D5B16" w:rsidRPr="00F53619" w:rsidRDefault="004D5B16" w:rsidP="00ED3A9C">
            <w:pPr>
              <w:pStyle w:val="TM-3n"/>
              <w:numPr>
                <w:ilvl w:val="0"/>
                <w:numId w:val="0"/>
              </w:numPr>
              <w:spacing w:after="0"/>
              <w:jc w:val="center"/>
            </w:pPr>
            <w:r w:rsidRPr="00F53619">
              <w:t>(verde,</w:t>
            </w:r>
            <w:r w:rsidR="00ED3A9C">
              <w:t xml:space="preserve"> </w:t>
            </w:r>
            <w:r w:rsidRPr="00F53619">
              <w:t>rugosa)</w:t>
            </w:r>
          </w:p>
        </w:tc>
      </w:tr>
    </w:tbl>
    <w:p w:rsidR="004D5B16" w:rsidRPr="00F53619" w:rsidRDefault="004D5B16" w:rsidP="004D5B16">
      <w:pPr>
        <w:pStyle w:val="TM-4n"/>
        <w:numPr>
          <w:ilvl w:val="0"/>
          <w:numId w:val="0"/>
        </w:numPr>
        <w:spacing w:after="0" w:line="276" w:lineRule="auto"/>
        <w:ind w:left="1276"/>
      </w:pPr>
    </w:p>
    <w:p w:rsidR="004D5B16" w:rsidRPr="00F53619" w:rsidRDefault="004D5B16" w:rsidP="00A05CAA">
      <w:pPr>
        <w:pStyle w:val="TM-4n"/>
        <w:numPr>
          <w:ilvl w:val="0"/>
          <w:numId w:val="15"/>
        </w:numPr>
        <w:tabs>
          <w:tab w:val="clear" w:pos="720"/>
          <w:tab w:val="clear" w:pos="1134"/>
        </w:tabs>
        <w:spacing w:before="120" w:after="0" w:line="276" w:lineRule="auto"/>
        <w:ind w:left="1440" w:hanging="270"/>
      </w:pPr>
      <w:r w:rsidRPr="00F53619">
        <w:t xml:space="preserve">O cruzamento dos heterozigotos da primeira geração produz na segunda geração uma combinação 9:3:3:1 de cores e tipos de pele. </w:t>
      </w:r>
    </w:p>
    <w:tbl>
      <w:tblPr>
        <w:tblW w:w="4737" w:type="pct"/>
        <w:jc w:val="center"/>
        <w:tblInd w:w="5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84"/>
        <w:gridCol w:w="1024"/>
        <w:gridCol w:w="2048"/>
        <w:gridCol w:w="2048"/>
        <w:gridCol w:w="2048"/>
        <w:gridCol w:w="2044"/>
      </w:tblGrid>
      <w:tr w:rsidR="004D5B16" w:rsidRPr="00F53619" w:rsidTr="00ED3A9C">
        <w:trPr>
          <w:trHeight w:val="513"/>
          <w:jc w:val="center"/>
        </w:trPr>
        <w:tc>
          <w:tcPr>
            <w:tcW w:w="5000" w:type="pct"/>
            <w:gridSpan w:val="6"/>
            <w:tcBorders>
              <w:top w:val="nil"/>
              <w:left w:val="nil"/>
              <w:right w:val="nil"/>
            </w:tcBorders>
            <w:tcMar>
              <w:left w:w="28" w:type="dxa"/>
              <w:right w:w="28" w:type="dxa"/>
            </w:tcMar>
            <w:vAlign w:val="center"/>
          </w:tcPr>
          <w:p w:rsidR="004D5B16" w:rsidRPr="00F53619" w:rsidRDefault="004D5B16" w:rsidP="004D5B16">
            <w:pPr>
              <w:pStyle w:val="TM-4n"/>
              <w:numPr>
                <w:ilvl w:val="0"/>
                <w:numId w:val="0"/>
              </w:numPr>
              <w:spacing w:after="0" w:line="276" w:lineRule="auto"/>
              <w:jc w:val="center"/>
            </w:pPr>
            <w:r w:rsidRPr="00F53619">
              <w:rPr>
                <w:b/>
              </w:rPr>
              <w:t>VvRr x VvRr</w:t>
            </w:r>
          </w:p>
        </w:tc>
      </w:tr>
      <w:tr w:rsidR="004D5B16" w:rsidRPr="00F53619" w:rsidTr="00ED3A9C">
        <w:trPr>
          <w:trHeight w:val="513"/>
          <w:jc w:val="center"/>
        </w:trPr>
        <w:tc>
          <w:tcPr>
            <w:tcW w:w="778" w:type="pct"/>
            <w:gridSpan w:val="2"/>
            <w:vMerge w:val="restart"/>
            <w:tcMar>
              <w:left w:w="28" w:type="dxa"/>
              <w:right w:w="28" w:type="dxa"/>
            </w:tcMar>
            <w:vAlign w:val="center"/>
          </w:tcPr>
          <w:p w:rsidR="004D5B16" w:rsidRPr="00F53619" w:rsidRDefault="004D5B16" w:rsidP="004D5B16">
            <w:pPr>
              <w:pStyle w:val="TM-4n"/>
              <w:numPr>
                <w:ilvl w:val="0"/>
                <w:numId w:val="0"/>
              </w:numPr>
              <w:spacing w:after="0" w:line="276" w:lineRule="auto"/>
            </w:pPr>
          </w:p>
        </w:tc>
        <w:tc>
          <w:tcPr>
            <w:tcW w:w="4222" w:type="pct"/>
            <w:gridSpan w:val="4"/>
            <w:tcMar>
              <w:left w:w="28" w:type="dxa"/>
              <w:right w:w="28" w:type="dxa"/>
            </w:tcMar>
            <w:vAlign w:val="center"/>
          </w:tcPr>
          <w:p w:rsidR="004D5B16" w:rsidRPr="00F53619" w:rsidRDefault="004D5B16" w:rsidP="004D5B16">
            <w:pPr>
              <w:pStyle w:val="TM-4n"/>
              <w:numPr>
                <w:ilvl w:val="0"/>
                <w:numId w:val="0"/>
              </w:numPr>
              <w:spacing w:after="0" w:line="276" w:lineRule="auto"/>
              <w:jc w:val="center"/>
            </w:pPr>
            <w:r w:rsidRPr="00F53619">
              <w:t>VvRr</w:t>
            </w:r>
          </w:p>
        </w:tc>
      </w:tr>
      <w:tr w:rsidR="004D5B16" w:rsidRPr="00F53619" w:rsidTr="00ED3A9C">
        <w:trPr>
          <w:trHeight w:val="512"/>
          <w:jc w:val="center"/>
        </w:trPr>
        <w:tc>
          <w:tcPr>
            <w:tcW w:w="778" w:type="pct"/>
            <w:gridSpan w:val="2"/>
            <w:vMerge/>
            <w:tcMar>
              <w:left w:w="28" w:type="dxa"/>
              <w:right w:w="28" w:type="dxa"/>
            </w:tcMar>
            <w:vAlign w:val="center"/>
          </w:tcPr>
          <w:p w:rsidR="004D5B16" w:rsidRPr="00F53619" w:rsidRDefault="004D5B16" w:rsidP="004D5B16">
            <w:pPr>
              <w:pStyle w:val="TM-4n"/>
              <w:numPr>
                <w:ilvl w:val="0"/>
                <w:numId w:val="0"/>
              </w:numPr>
              <w:spacing w:after="0" w:line="276" w:lineRule="auto"/>
            </w:pPr>
          </w:p>
        </w:tc>
        <w:tc>
          <w:tcPr>
            <w:tcW w:w="1056" w:type="pct"/>
            <w:tcMar>
              <w:left w:w="28" w:type="dxa"/>
              <w:right w:w="28" w:type="dxa"/>
            </w:tcMar>
            <w:vAlign w:val="center"/>
          </w:tcPr>
          <w:p w:rsidR="004D5B16" w:rsidRPr="00F53619" w:rsidRDefault="004D5B16" w:rsidP="004D5B16">
            <w:pPr>
              <w:pStyle w:val="TM-4n"/>
              <w:numPr>
                <w:ilvl w:val="0"/>
                <w:numId w:val="0"/>
              </w:numPr>
              <w:spacing w:after="0" w:line="276" w:lineRule="auto"/>
              <w:jc w:val="center"/>
            </w:pPr>
            <w:r w:rsidRPr="00F53619">
              <w:t>VR</w:t>
            </w:r>
          </w:p>
        </w:tc>
        <w:tc>
          <w:tcPr>
            <w:tcW w:w="1056" w:type="pct"/>
            <w:tcMar>
              <w:left w:w="28" w:type="dxa"/>
              <w:right w:w="28" w:type="dxa"/>
            </w:tcMar>
            <w:vAlign w:val="center"/>
          </w:tcPr>
          <w:p w:rsidR="004D5B16" w:rsidRPr="00F53619" w:rsidRDefault="004D5B16" w:rsidP="004D5B16">
            <w:pPr>
              <w:pStyle w:val="TM-4n"/>
              <w:numPr>
                <w:ilvl w:val="0"/>
                <w:numId w:val="0"/>
              </w:numPr>
              <w:spacing w:after="0" w:line="276" w:lineRule="auto"/>
              <w:jc w:val="center"/>
            </w:pPr>
            <w:r w:rsidRPr="00F53619">
              <w:t>Vr</w:t>
            </w:r>
          </w:p>
        </w:tc>
        <w:tc>
          <w:tcPr>
            <w:tcW w:w="1056" w:type="pct"/>
            <w:tcMar>
              <w:left w:w="28" w:type="dxa"/>
              <w:right w:w="28" w:type="dxa"/>
            </w:tcMar>
            <w:vAlign w:val="center"/>
          </w:tcPr>
          <w:p w:rsidR="004D5B16" w:rsidRPr="00F53619" w:rsidRDefault="004D5B16" w:rsidP="004D5B16">
            <w:pPr>
              <w:pStyle w:val="TM-4n"/>
              <w:numPr>
                <w:ilvl w:val="0"/>
                <w:numId w:val="0"/>
              </w:numPr>
              <w:spacing w:after="0" w:line="276" w:lineRule="auto"/>
              <w:jc w:val="center"/>
            </w:pPr>
            <w:r w:rsidRPr="00F53619">
              <w:t>vR</w:t>
            </w:r>
          </w:p>
        </w:tc>
        <w:tc>
          <w:tcPr>
            <w:tcW w:w="1056" w:type="pct"/>
            <w:tcMar>
              <w:left w:w="28" w:type="dxa"/>
              <w:right w:w="28" w:type="dxa"/>
            </w:tcMar>
            <w:vAlign w:val="center"/>
          </w:tcPr>
          <w:p w:rsidR="004D5B16" w:rsidRPr="00F53619" w:rsidRDefault="004D5B16" w:rsidP="004D5B16">
            <w:pPr>
              <w:pStyle w:val="TM-4n"/>
              <w:numPr>
                <w:ilvl w:val="0"/>
                <w:numId w:val="0"/>
              </w:numPr>
              <w:spacing w:after="0" w:line="276" w:lineRule="auto"/>
              <w:jc w:val="center"/>
            </w:pPr>
            <w:r w:rsidRPr="00F53619">
              <w:t>vr</w:t>
            </w:r>
          </w:p>
        </w:tc>
      </w:tr>
      <w:tr w:rsidR="004D5B16" w:rsidRPr="00F53619" w:rsidTr="00ED3A9C">
        <w:trPr>
          <w:trHeight w:val="1021"/>
          <w:jc w:val="center"/>
        </w:trPr>
        <w:tc>
          <w:tcPr>
            <w:tcW w:w="250" w:type="pct"/>
            <w:vMerge w:val="restart"/>
            <w:shd w:val="clear" w:color="auto" w:fill="auto"/>
            <w:tcMar>
              <w:left w:w="28" w:type="dxa"/>
              <w:right w:w="28" w:type="dxa"/>
            </w:tcMar>
            <w:textDirection w:val="btLr"/>
            <w:vAlign w:val="center"/>
          </w:tcPr>
          <w:p w:rsidR="004D5B16" w:rsidRPr="00F53619" w:rsidRDefault="004D5B16" w:rsidP="004D5B16">
            <w:pPr>
              <w:pStyle w:val="TM-4n"/>
              <w:numPr>
                <w:ilvl w:val="0"/>
                <w:numId w:val="0"/>
              </w:numPr>
              <w:spacing w:after="0" w:line="276" w:lineRule="auto"/>
              <w:ind w:left="113" w:right="113"/>
              <w:jc w:val="center"/>
            </w:pPr>
            <w:r w:rsidRPr="00F53619">
              <w:t>VvRr</w:t>
            </w:r>
          </w:p>
        </w:tc>
        <w:tc>
          <w:tcPr>
            <w:tcW w:w="528" w:type="pct"/>
            <w:shd w:val="clear" w:color="auto" w:fill="auto"/>
            <w:tcMar>
              <w:left w:w="28" w:type="dxa"/>
              <w:right w:w="28" w:type="dxa"/>
            </w:tcMar>
            <w:vAlign w:val="center"/>
          </w:tcPr>
          <w:p w:rsidR="004D5B16" w:rsidRPr="00F53619" w:rsidRDefault="004D5B16" w:rsidP="004D5B16">
            <w:pPr>
              <w:pStyle w:val="TM-4n"/>
              <w:numPr>
                <w:ilvl w:val="0"/>
                <w:numId w:val="0"/>
              </w:numPr>
              <w:spacing w:after="0" w:line="276" w:lineRule="auto"/>
              <w:jc w:val="center"/>
            </w:pPr>
            <w:r w:rsidRPr="00F53619">
              <w:t>VR</w:t>
            </w:r>
          </w:p>
        </w:tc>
        <w:tc>
          <w:tcPr>
            <w:tcW w:w="1056" w:type="pct"/>
            <w:tcMar>
              <w:left w:w="28" w:type="dxa"/>
              <w:right w:w="28" w:type="dxa"/>
            </w:tcMar>
            <w:vAlign w:val="center"/>
          </w:tcPr>
          <w:p w:rsidR="004D5B16" w:rsidRPr="00F53619" w:rsidRDefault="004D5B16" w:rsidP="004D5B16">
            <w:pPr>
              <w:pStyle w:val="TM-3n"/>
              <w:numPr>
                <w:ilvl w:val="0"/>
                <w:numId w:val="0"/>
              </w:numPr>
              <w:spacing w:after="0"/>
              <w:jc w:val="center"/>
            </w:pPr>
            <w:r w:rsidRPr="00F53619">
              <w:t>VVRR</w:t>
            </w:r>
          </w:p>
          <w:p w:rsidR="004D5B16" w:rsidRPr="00F53619" w:rsidRDefault="004D5B16" w:rsidP="00ED3A9C">
            <w:pPr>
              <w:pStyle w:val="TM-3n"/>
              <w:numPr>
                <w:ilvl w:val="0"/>
                <w:numId w:val="0"/>
              </w:numPr>
              <w:spacing w:after="0"/>
              <w:jc w:val="center"/>
            </w:pPr>
            <w:r w:rsidRPr="00F53619">
              <w:t>(verde,</w:t>
            </w:r>
            <w:r w:rsidR="00ED3A9C">
              <w:t xml:space="preserve"> </w:t>
            </w:r>
            <w:r w:rsidRPr="00F53619">
              <w:t>rugosa)</w:t>
            </w:r>
          </w:p>
        </w:tc>
        <w:tc>
          <w:tcPr>
            <w:tcW w:w="1056" w:type="pct"/>
            <w:tcMar>
              <w:left w:w="28" w:type="dxa"/>
              <w:right w:w="28" w:type="dxa"/>
            </w:tcMar>
            <w:vAlign w:val="center"/>
          </w:tcPr>
          <w:p w:rsidR="004D5B16" w:rsidRPr="00F53619" w:rsidRDefault="004D5B16" w:rsidP="004D5B16">
            <w:pPr>
              <w:pStyle w:val="TM-3n"/>
              <w:numPr>
                <w:ilvl w:val="0"/>
                <w:numId w:val="0"/>
              </w:numPr>
              <w:spacing w:after="0"/>
              <w:jc w:val="center"/>
            </w:pPr>
            <w:r w:rsidRPr="00F53619">
              <w:t>VVRr</w:t>
            </w:r>
          </w:p>
          <w:p w:rsidR="004D5B16" w:rsidRPr="00F53619" w:rsidRDefault="004D5B16" w:rsidP="00ED3A9C">
            <w:pPr>
              <w:pStyle w:val="TM-3n"/>
              <w:numPr>
                <w:ilvl w:val="0"/>
                <w:numId w:val="0"/>
              </w:numPr>
              <w:spacing w:after="0"/>
              <w:jc w:val="center"/>
            </w:pPr>
            <w:r w:rsidRPr="00F53619">
              <w:t>(verde,</w:t>
            </w:r>
            <w:r w:rsidR="00ED3A9C">
              <w:t xml:space="preserve"> </w:t>
            </w:r>
            <w:r w:rsidRPr="00F53619">
              <w:t>rugosa)</w:t>
            </w:r>
          </w:p>
        </w:tc>
        <w:tc>
          <w:tcPr>
            <w:tcW w:w="1056" w:type="pct"/>
            <w:tcMar>
              <w:left w:w="28" w:type="dxa"/>
              <w:right w:w="28" w:type="dxa"/>
            </w:tcMar>
            <w:vAlign w:val="center"/>
          </w:tcPr>
          <w:p w:rsidR="004D5B16" w:rsidRPr="00F53619" w:rsidRDefault="004D5B16" w:rsidP="004D5B16">
            <w:pPr>
              <w:pStyle w:val="TM-3n"/>
              <w:numPr>
                <w:ilvl w:val="0"/>
                <w:numId w:val="0"/>
              </w:numPr>
              <w:spacing w:after="0"/>
              <w:jc w:val="center"/>
            </w:pPr>
            <w:r w:rsidRPr="00F53619">
              <w:t>VvRR</w:t>
            </w:r>
          </w:p>
          <w:p w:rsidR="004D5B16" w:rsidRPr="00F53619" w:rsidRDefault="004D5B16" w:rsidP="00ED3A9C">
            <w:pPr>
              <w:pStyle w:val="TM-3n"/>
              <w:numPr>
                <w:ilvl w:val="0"/>
                <w:numId w:val="0"/>
              </w:numPr>
              <w:spacing w:after="0"/>
              <w:jc w:val="center"/>
            </w:pPr>
            <w:r w:rsidRPr="00F53619">
              <w:t>(verde,</w:t>
            </w:r>
            <w:r w:rsidR="00ED3A9C">
              <w:t xml:space="preserve"> </w:t>
            </w:r>
            <w:r w:rsidRPr="00F53619">
              <w:t>rugosa)</w:t>
            </w:r>
          </w:p>
        </w:tc>
        <w:tc>
          <w:tcPr>
            <w:tcW w:w="1056" w:type="pct"/>
            <w:tcMar>
              <w:left w:w="28" w:type="dxa"/>
              <w:right w:w="28" w:type="dxa"/>
            </w:tcMar>
            <w:vAlign w:val="center"/>
          </w:tcPr>
          <w:p w:rsidR="004D5B16" w:rsidRPr="00F53619" w:rsidRDefault="004D5B16" w:rsidP="004D5B16">
            <w:pPr>
              <w:pStyle w:val="TM-3n"/>
              <w:numPr>
                <w:ilvl w:val="0"/>
                <w:numId w:val="0"/>
              </w:numPr>
              <w:spacing w:after="0"/>
              <w:jc w:val="center"/>
            </w:pPr>
            <w:r w:rsidRPr="00F53619">
              <w:t>VvRr</w:t>
            </w:r>
          </w:p>
          <w:p w:rsidR="004D5B16" w:rsidRPr="00F53619" w:rsidRDefault="004D5B16" w:rsidP="00ED3A9C">
            <w:pPr>
              <w:pStyle w:val="TM-3n"/>
              <w:numPr>
                <w:ilvl w:val="0"/>
                <w:numId w:val="0"/>
              </w:numPr>
              <w:spacing w:after="0"/>
              <w:jc w:val="center"/>
            </w:pPr>
            <w:r w:rsidRPr="00F53619">
              <w:t>(verde,</w:t>
            </w:r>
            <w:r w:rsidR="00ED3A9C">
              <w:t xml:space="preserve"> </w:t>
            </w:r>
            <w:r w:rsidRPr="00F53619">
              <w:t>rugosa)</w:t>
            </w:r>
          </w:p>
        </w:tc>
      </w:tr>
      <w:tr w:rsidR="004D5B16" w:rsidRPr="00F53619" w:rsidTr="00ED3A9C">
        <w:trPr>
          <w:trHeight w:val="1021"/>
          <w:jc w:val="center"/>
        </w:trPr>
        <w:tc>
          <w:tcPr>
            <w:tcW w:w="250" w:type="pct"/>
            <w:vMerge/>
            <w:shd w:val="clear" w:color="auto" w:fill="auto"/>
            <w:tcMar>
              <w:left w:w="28" w:type="dxa"/>
              <w:right w:w="28" w:type="dxa"/>
            </w:tcMar>
          </w:tcPr>
          <w:p w:rsidR="004D5B16" w:rsidRPr="00F53619" w:rsidRDefault="004D5B16" w:rsidP="004D5B16">
            <w:pPr>
              <w:pStyle w:val="TM-4n"/>
              <w:numPr>
                <w:ilvl w:val="0"/>
                <w:numId w:val="0"/>
              </w:numPr>
              <w:spacing w:after="0" w:line="276" w:lineRule="auto"/>
            </w:pPr>
          </w:p>
        </w:tc>
        <w:tc>
          <w:tcPr>
            <w:tcW w:w="528" w:type="pct"/>
            <w:shd w:val="clear" w:color="auto" w:fill="auto"/>
            <w:tcMar>
              <w:left w:w="28" w:type="dxa"/>
              <w:right w:w="28" w:type="dxa"/>
            </w:tcMar>
            <w:vAlign w:val="center"/>
          </w:tcPr>
          <w:p w:rsidR="004D5B16" w:rsidRPr="00F53619" w:rsidRDefault="004D5B16" w:rsidP="004D5B16">
            <w:pPr>
              <w:pStyle w:val="TM-4n"/>
              <w:numPr>
                <w:ilvl w:val="0"/>
                <w:numId w:val="0"/>
              </w:numPr>
              <w:spacing w:after="0" w:line="276" w:lineRule="auto"/>
              <w:jc w:val="center"/>
            </w:pPr>
            <w:r w:rsidRPr="00F53619">
              <w:t>Vr</w:t>
            </w:r>
          </w:p>
        </w:tc>
        <w:tc>
          <w:tcPr>
            <w:tcW w:w="1056" w:type="pct"/>
            <w:tcMar>
              <w:left w:w="28" w:type="dxa"/>
              <w:right w:w="28" w:type="dxa"/>
            </w:tcMar>
            <w:vAlign w:val="center"/>
          </w:tcPr>
          <w:p w:rsidR="004D5B16" w:rsidRPr="00F53619" w:rsidRDefault="004D5B16" w:rsidP="004D5B16">
            <w:pPr>
              <w:pStyle w:val="TM-3n"/>
              <w:numPr>
                <w:ilvl w:val="0"/>
                <w:numId w:val="0"/>
              </w:numPr>
              <w:spacing w:after="0"/>
              <w:jc w:val="center"/>
            </w:pPr>
            <w:r w:rsidRPr="00F53619">
              <w:t>VVRr</w:t>
            </w:r>
          </w:p>
          <w:p w:rsidR="004D5B16" w:rsidRPr="00F53619" w:rsidRDefault="004D5B16" w:rsidP="00ED3A9C">
            <w:pPr>
              <w:pStyle w:val="TM-3n"/>
              <w:numPr>
                <w:ilvl w:val="0"/>
                <w:numId w:val="0"/>
              </w:numPr>
              <w:spacing w:after="0"/>
              <w:jc w:val="center"/>
            </w:pPr>
            <w:r w:rsidRPr="00F53619">
              <w:t>(verde,</w:t>
            </w:r>
            <w:r w:rsidR="00ED3A9C">
              <w:t xml:space="preserve"> </w:t>
            </w:r>
            <w:r w:rsidRPr="00F53619">
              <w:t>rugosa)</w:t>
            </w:r>
          </w:p>
        </w:tc>
        <w:tc>
          <w:tcPr>
            <w:tcW w:w="1056" w:type="pct"/>
            <w:tcMar>
              <w:left w:w="28" w:type="dxa"/>
              <w:right w:w="28" w:type="dxa"/>
            </w:tcMar>
            <w:vAlign w:val="center"/>
          </w:tcPr>
          <w:p w:rsidR="004D5B16" w:rsidRPr="00F53619" w:rsidRDefault="004D5B16" w:rsidP="004D5B16">
            <w:pPr>
              <w:pStyle w:val="TM-3n"/>
              <w:numPr>
                <w:ilvl w:val="0"/>
                <w:numId w:val="0"/>
              </w:numPr>
              <w:spacing w:after="0"/>
              <w:jc w:val="center"/>
            </w:pPr>
            <w:r w:rsidRPr="00F53619">
              <w:t>VVrr</w:t>
            </w:r>
          </w:p>
          <w:p w:rsidR="004D5B16" w:rsidRPr="00F53619" w:rsidRDefault="004D5B16" w:rsidP="00ED3A9C">
            <w:pPr>
              <w:pStyle w:val="TM-3n"/>
              <w:numPr>
                <w:ilvl w:val="0"/>
                <w:numId w:val="0"/>
              </w:numPr>
              <w:spacing w:after="0"/>
              <w:jc w:val="center"/>
            </w:pPr>
            <w:r w:rsidRPr="00F53619">
              <w:t>(verde,</w:t>
            </w:r>
            <w:r w:rsidR="00ED3A9C">
              <w:t xml:space="preserve"> </w:t>
            </w:r>
            <w:r w:rsidRPr="00F53619">
              <w:t>lisa)</w:t>
            </w:r>
          </w:p>
        </w:tc>
        <w:tc>
          <w:tcPr>
            <w:tcW w:w="1056" w:type="pct"/>
            <w:tcMar>
              <w:left w:w="28" w:type="dxa"/>
              <w:right w:w="28" w:type="dxa"/>
            </w:tcMar>
            <w:vAlign w:val="center"/>
          </w:tcPr>
          <w:p w:rsidR="004D5B16" w:rsidRPr="00F53619" w:rsidRDefault="004D5B16" w:rsidP="004D5B16">
            <w:pPr>
              <w:pStyle w:val="TM-3n"/>
              <w:numPr>
                <w:ilvl w:val="0"/>
                <w:numId w:val="0"/>
              </w:numPr>
              <w:spacing w:after="0"/>
              <w:jc w:val="center"/>
            </w:pPr>
            <w:r w:rsidRPr="00F53619">
              <w:t>VvRr</w:t>
            </w:r>
          </w:p>
          <w:p w:rsidR="004D5B16" w:rsidRPr="00F53619" w:rsidRDefault="004D5B16" w:rsidP="004D5B16">
            <w:pPr>
              <w:pStyle w:val="TM-3n"/>
              <w:numPr>
                <w:ilvl w:val="0"/>
                <w:numId w:val="0"/>
              </w:numPr>
              <w:spacing w:after="0"/>
              <w:jc w:val="center"/>
            </w:pPr>
            <w:r w:rsidRPr="00F53619">
              <w:t>(verde,</w:t>
            </w:r>
          </w:p>
          <w:p w:rsidR="004D5B16" w:rsidRPr="00F53619" w:rsidRDefault="004D5B16" w:rsidP="004D5B16">
            <w:pPr>
              <w:pStyle w:val="TM-4n"/>
              <w:numPr>
                <w:ilvl w:val="0"/>
                <w:numId w:val="0"/>
              </w:numPr>
              <w:spacing w:after="0" w:line="276" w:lineRule="auto"/>
              <w:jc w:val="center"/>
            </w:pPr>
            <w:r w:rsidRPr="00F53619">
              <w:t>rugosa)</w:t>
            </w:r>
          </w:p>
        </w:tc>
        <w:tc>
          <w:tcPr>
            <w:tcW w:w="1056" w:type="pct"/>
            <w:tcMar>
              <w:left w:w="28" w:type="dxa"/>
              <w:right w:w="28" w:type="dxa"/>
            </w:tcMar>
            <w:vAlign w:val="center"/>
          </w:tcPr>
          <w:p w:rsidR="004D5B16" w:rsidRPr="00F53619" w:rsidRDefault="004D5B16" w:rsidP="004D5B16">
            <w:pPr>
              <w:pStyle w:val="TM-3n"/>
              <w:numPr>
                <w:ilvl w:val="0"/>
                <w:numId w:val="0"/>
              </w:numPr>
              <w:spacing w:after="0"/>
              <w:jc w:val="center"/>
            </w:pPr>
            <w:r w:rsidRPr="00F53619">
              <w:t>Vvrr</w:t>
            </w:r>
          </w:p>
          <w:p w:rsidR="004D5B16" w:rsidRPr="00F53619" w:rsidRDefault="004D5B16" w:rsidP="00ED3A9C">
            <w:pPr>
              <w:pStyle w:val="TM-3n"/>
              <w:numPr>
                <w:ilvl w:val="0"/>
                <w:numId w:val="0"/>
              </w:numPr>
              <w:spacing w:after="0"/>
              <w:jc w:val="center"/>
            </w:pPr>
            <w:r w:rsidRPr="00F53619">
              <w:t>(verde,</w:t>
            </w:r>
            <w:r w:rsidR="00ED3A9C">
              <w:t xml:space="preserve"> </w:t>
            </w:r>
            <w:r w:rsidRPr="00F53619">
              <w:t>lisa)</w:t>
            </w:r>
          </w:p>
        </w:tc>
      </w:tr>
      <w:tr w:rsidR="004D5B16" w:rsidRPr="00F53619" w:rsidTr="00ED3A9C">
        <w:trPr>
          <w:trHeight w:val="1021"/>
          <w:jc w:val="center"/>
        </w:trPr>
        <w:tc>
          <w:tcPr>
            <w:tcW w:w="250" w:type="pct"/>
            <w:vMerge/>
            <w:shd w:val="clear" w:color="auto" w:fill="auto"/>
            <w:tcMar>
              <w:left w:w="28" w:type="dxa"/>
              <w:right w:w="28" w:type="dxa"/>
            </w:tcMar>
          </w:tcPr>
          <w:p w:rsidR="004D5B16" w:rsidRPr="00F53619" w:rsidRDefault="004D5B16" w:rsidP="004D5B16">
            <w:pPr>
              <w:pStyle w:val="TM-4n"/>
              <w:numPr>
                <w:ilvl w:val="0"/>
                <w:numId w:val="0"/>
              </w:numPr>
              <w:spacing w:after="0" w:line="276" w:lineRule="auto"/>
            </w:pPr>
          </w:p>
        </w:tc>
        <w:tc>
          <w:tcPr>
            <w:tcW w:w="528" w:type="pct"/>
            <w:shd w:val="clear" w:color="auto" w:fill="auto"/>
            <w:tcMar>
              <w:left w:w="28" w:type="dxa"/>
              <w:right w:w="28" w:type="dxa"/>
            </w:tcMar>
            <w:vAlign w:val="center"/>
          </w:tcPr>
          <w:p w:rsidR="004D5B16" w:rsidRPr="00F53619" w:rsidRDefault="004D5B16" w:rsidP="004D5B16">
            <w:pPr>
              <w:pStyle w:val="TM-4n"/>
              <w:numPr>
                <w:ilvl w:val="0"/>
                <w:numId w:val="0"/>
              </w:numPr>
              <w:spacing w:after="0" w:line="276" w:lineRule="auto"/>
              <w:jc w:val="center"/>
            </w:pPr>
            <w:r w:rsidRPr="00F53619">
              <w:t>vR</w:t>
            </w:r>
          </w:p>
        </w:tc>
        <w:tc>
          <w:tcPr>
            <w:tcW w:w="1056" w:type="pct"/>
            <w:tcMar>
              <w:left w:w="28" w:type="dxa"/>
              <w:right w:w="28" w:type="dxa"/>
            </w:tcMar>
            <w:vAlign w:val="center"/>
          </w:tcPr>
          <w:p w:rsidR="004D5B16" w:rsidRPr="00F53619" w:rsidRDefault="004D5B16" w:rsidP="004D5B16">
            <w:pPr>
              <w:pStyle w:val="TM-3n"/>
              <w:numPr>
                <w:ilvl w:val="0"/>
                <w:numId w:val="0"/>
              </w:numPr>
              <w:spacing w:after="0"/>
              <w:jc w:val="center"/>
            </w:pPr>
            <w:r w:rsidRPr="00F53619">
              <w:t>VvRR</w:t>
            </w:r>
          </w:p>
          <w:p w:rsidR="004D5B16" w:rsidRPr="00F53619" w:rsidRDefault="004D5B16" w:rsidP="00ED3A9C">
            <w:pPr>
              <w:pStyle w:val="TM-3n"/>
              <w:numPr>
                <w:ilvl w:val="0"/>
                <w:numId w:val="0"/>
              </w:numPr>
              <w:spacing w:after="0"/>
              <w:jc w:val="center"/>
            </w:pPr>
            <w:r w:rsidRPr="00F53619">
              <w:t>(verde,</w:t>
            </w:r>
            <w:r w:rsidR="00ED3A9C">
              <w:t xml:space="preserve"> </w:t>
            </w:r>
            <w:r w:rsidRPr="00F53619">
              <w:t>rugosa)</w:t>
            </w:r>
          </w:p>
        </w:tc>
        <w:tc>
          <w:tcPr>
            <w:tcW w:w="1056" w:type="pct"/>
            <w:tcMar>
              <w:left w:w="28" w:type="dxa"/>
              <w:right w:w="28" w:type="dxa"/>
            </w:tcMar>
            <w:vAlign w:val="center"/>
          </w:tcPr>
          <w:p w:rsidR="004D5B16" w:rsidRPr="00F53619" w:rsidRDefault="004D5B16" w:rsidP="004D5B16">
            <w:pPr>
              <w:pStyle w:val="TM-3n"/>
              <w:numPr>
                <w:ilvl w:val="0"/>
                <w:numId w:val="0"/>
              </w:numPr>
              <w:spacing w:after="0"/>
              <w:jc w:val="center"/>
            </w:pPr>
            <w:r w:rsidRPr="00F53619">
              <w:t>VvRr</w:t>
            </w:r>
          </w:p>
          <w:p w:rsidR="004D5B16" w:rsidRPr="00F53619" w:rsidRDefault="004D5B16" w:rsidP="00ED3A9C">
            <w:pPr>
              <w:pStyle w:val="TM-3n"/>
              <w:numPr>
                <w:ilvl w:val="0"/>
                <w:numId w:val="0"/>
              </w:numPr>
              <w:spacing w:after="0"/>
              <w:jc w:val="center"/>
            </w:pPr>
            <w:r w:rsidRPr="00F53619">
              <w:t>(verde,</w:t>
            </w:r>
            <w:r w:rsidR="00ED3A9C">
              <w:t xml:space="preserve"> </w:t>
            </w:r>
            <w:r w:rsidRPr="00F53619">
              <w:t>rugosa)</w:t>
            </w:r>
          </w:p>
        </w:tc>
        <w:tc>
          <w:tcPr>
            <w:tcW w:w="1056" w:type="pct"/>
            <w:tcMar>
              <w:left w:w="28" w:type="dxa"/>
              <w:right w:w="28" w:type="dxa"/>
            </w:tcMar>
            <w:vAlign w:val="center"/>
          </w:tcPr>
          <w:p w:rsidR="004D5B16" w:rsidRPr="00F53619" w:rsidRDefault="004D5B16" w:rsidP="004D5B16">
            <w:pPr>
              <w:pStyle w:val="TM-3n"/>
              <w:numPr>
                <w:ilvl w:val="0"/>
                <w:numId w:val="0"/>
              </w:numPr>
              <w:spacing w:after="0"/>
              <w:jc w:val="center"/>
            </w:pPr>
            <w:r w:rsidRPr="00F53619">
              <w:t>vvRR</w:t>
            </w:r>
          </w:p>
          <w:p w:rsidR="004D5B16" w:rsidRPr="00F53619" w:rsidRDefault="004D5B16" w:rsidP="004D5B16">
            <w:pPr>
              <w:pStyle w:val="TM-3n"/>
              <w:numPr>
                <w:ilvl w:val="0"/>
                <w:numId w:val="0"/>
              </w:numPr>
              <w:spacing w:after="0"/>
              <w:jc w:val="center"/>
            </w:pPr>
            <w:r w:rsidRPr="00F53619">
              <w:t>(amarela,</w:t>
            </w:r>
          </w:p>
          <w:p w:rsidR="004D5B16" w:rsidRPr="00F53619" w:rsidRDefault="004D5B16" w:rsidP="004D5B16">
            <w:pPr>
              <w:pStyle w:val="TM-4n"/>
              <w:numPr>
                <w:ilvl w:val="0"/>
                <w:numId w:val="0"/>
              </w:numPr>
              <w:spacing w:after="0" w:line="276" w:lineRule="auto"/>
              <w:jc w:val="center"/>
            </w:pPr>
            <w:r w:rsidRPr="00F53619">
              <w:t>rugosa)</w:t>
            </w:r>
          </w:p>
        </w:tc>
        <w:tc>
          <w:tcPr>
            <w:tcW w:w="1056" w:type="pct"/>
            <w:tcMar>
              <w:left w:w="28" w:type="dxa"/>
              <w:right w:w="28" w:type="dxa"/>
            </w:tcMar>
            <w:vAlign w:val="center"/>
          </w:tcPr>
          <w:p w:rsidR="004D5B16" w:rsidRPr="00F53619" w:rsidRDefault="004D5B16" w:rsidP="004D5B16">
            <w:pPr>
              <w:pStyle w:val="TM-3n"/>
              <w:numPr>
                <w:ilvl w:val="0"/>
                <w:numId w:val="0"/>
              </w:numPr>
              <w:spacing w:after="0"/>
              <w:jc w:val="center"/>
            </w:pPr>
            <w:r w:rsidRPr="00F53619">
              <w:t>vvRr</w:t>
            </w:r>
          </w:p>
          <w:p w:rsidR="004D5B16" w:rsidRPr="00F53619" w:rsidRDefault="004D5B16" w:rsidP="00ED3A9C">
            <w:pPr>
              <w:pStyle w:val="TM-3n"/>
              <w:numPr>
                <w:ilvl w:val="0"/>
                <w:numId w:val="0"/>
              </w:numPr>
              <w:spacing w:after="0"/>
              <w:jc w:val="center"/>
            </w:pPr>
            <w:r w:rsidRPr="00F53619">
              <w:t>(amarela,</w:t>
            </w:r>
            <w:r w:rsidR="00ED3A9C">
              <w:t xml:space="preserve"> </w:t>
            </w:r>
            <w:r w:rsidRPr="00F53619">
              <w:t>rugosa)</w:t>
            </w:r>
          </w:p>
        </w:tc>
      </w:tr>
      <w:tr w:rsidR="004D5B16" w:rsidRPr="00F53619" w:rsidTr="00ED3A9C">
        <w:trPr>
          <w:trHeight w:val="1021"/>
          <w:jc w:val="center"/>
        </w:trPr>
        <w:tc>
          <w:tcPr>
            <w:tcW w:w="250" w:type="pct"/>
            <w:vMerge/>
            <w:shd w:val="clear" w:color="auto" w:fill="auto"/>
            <w:tcMar>
              <w:left w:w="28" w:type="dxa"/>
              <w:right w:w="28" w:type="dxa"/>
            </w:tcMar>
          </w:tcPr>
          <w:p w:rsidR="004D5B16" w:rsidRPr="00F53619" w:rsidRDefault="004D5B16" w:rsidP="004D5B16">
            <w:pPr>
              <w:pStyle w:val="TM-4n"/>
              <w:numPr>
                <w:ilvl w:val="0"/>
                <w:numId w:val="0"/>
              </w:numPr>
              <w:spacing w:after="0" w:line="276" w:lineRule="auto"/>
            </w:pPr>
          </w:p>
        </w:tc>
        <w:tc>
          <w:tcPr>
            <w:tcW w:w="528" w:type="pct"/>
            <w:shd w:val="clear" w:color="auto" w:fill="auto"/>
            <w:tcMar>
              <w:left w:w="28" w:type="dxa"/>
              <w:right w:w="28" w:type="dxa"/>
            </w:tcMar>
            <w:vAlign w:val="center"/>
          </w:tcPr>
          <w:p w:rsidR="004D5B16" w:rsidRPr="00F53619" w:rsidRDefault="004D5B16" w:rsidP="004D5B16">
            <w:pPr>
              <w:pStyle w:val="TM-4n"/>
              <w:numPr>
                <w:ilvl w:val="0"/>
                <w:numId w:val="0"/>
              </w:numPr>
              <w:spacing w:after="0" w:line="276" w:lineRule="auto"/>
              <w:jc w:val="center"/>
            </w:pPr>
            <w:r w:rsidRPr="00F53619">
              <w:t>vr</w:t>
            </w:r>
          </w:p>
        </w:tc>
        <w:tc>
          <w:tcPr>
            <w:tcW w:w="1056" w:type="pct"/>
            <w:tcMar>
              <w:left w:w="28" w:type="dxa"/>
              <w:right w:w="28" w:type="dxa"/>
            </w:tcMar>
            <w:vAlign w:val="center"/>
          </w:tcPr>
          <w:p w:rsidR="004D5B16" w:rsidRPr="00F53619" w:rsidRDefault="004D5B16" w:rsidP="004D5B16">
            <w:pPr>
              <w:pStyle w:val="TM-3n"/>
              <w:numPr>
                <w:ilvl w:val="0"/>
                <w:numId w:val="0"/>
              </w:numPr>
              <w:spacing w:after="0"/>
              <w:jc w:val="center"/>
            </w:pPr>
            <w:r w:rsidRPr="00F53619">
              <w:t>VvRr</w:t>
            </w:r>
          </w:p>
          <w:p w:rsidR="004D5B16" w:rsidRPr="00F53619" w:rsidRDefault="004D5B16" w:rsidP="00ED3A9C">
            <w:pPr>
              <w:pStyle w:val="TM-3n"/>
              <w:numPr>
                <w:ilvl w:val="0"/>
                <w:numId w:val="0"/>
              </w:numPr>
              <w:spacing w:after="0"/>
              <w:jc w:val="center"/>
            </w:pPr>
            <w:r w:rsidRPr="00F53619">
              <w:t>(verde,</w:t>
            </w:r>
            <w:r w:rsidR="00ED3A9C">
              <w:t xml:space="preserve"> </w:t>
            </w:r>
            <w:r w:rsidRPr="00F53619">
              <w:t>rugosa)</w:t>
            </w:r>
          </w:p>
        </w:tc>
        <w:tc>
          <w:tcPr>
            <w:tcW w:w="1056" w:type="pct"/>
            <w:tcMar>
              <w:left w:w="28" w:type="dxa"/>
              <w:right w:w="28" w:type="dxa"/>
            </w:tcMar>
            <w:vAlign w:val="center"/>
          </w:tcPr>
          <w:p w:rsidR="004D5B16" w:rsidRPr="00F53619" w:rsidRDefault="004D5B16" w:rsidP="004D5B16">
            <w:pPr>
              <w:pStyle w:val="TM-3n"/>
              <w:numPr>
                <w:ilvl w:val="0"/>
                <w:numId w:val="0"/>
              </w:numPr>
              <w:spacing w:after="0"/>
              <w:jc w:val="center"/>
            </w:pPr>
            <w:r w:rsidRPr="00F53619">
              <w:t>Vvrr</w:t>
            </w:r>
          </w:p>
          <w:p w:rsidR="004D5B16" w:rsidRPr="00F53619" w:rsidRDefault="004D5B16" w:rsidP="00ED3A9C">
            <w:pPr>
              <w:pStyle w:val="TM-3n"/>
              <w:numPr>
                <w:ilvl w:val="0"/>
                <w:numId w:val="0"/>
              </w:numPr>
              <w:spacing w:after="0"/>
              <w:jc w:val="center"/>
            </w:pPr>
            <w:r w:rsidRPr="00F53619">
              <w:t>(verde,</w:t>
            </w:r>
            <w:r w:rsidR="00ED3A9C">
              <w:t xml:space="preserve"> </w:t>
            </w:r>
            <w:r w:rsidRPr="00F53619">
              <w:t>lisa)</w:t>
            </w:r>
          </w:p>
        </w:tc>
        <w:tc>
          <w:tcPr>
            <w:tcW w:w="1056" w:type="pct"/>
            <w:tcMar>
              <w:left w:w="28" w:type="dxa"/>
              <w:right w:w="28" w:type="dxa"/>
            </w:tcMar>
            <w:vAlign w:val="center"/>
          </w:tcPr>
          <w:p w:rsidR="004D5B16" w:rsidRPr="00F53619" w:rsidRDefault="004D5B16" w:rsidP="004D5B16">
            <w:pPr>
              <w:pStyle w:val="TM-3n"/>
              <w:numPr>
                <w:ilvl w:val="0"/>
                <w:numId w:val="0"/>
              </w:numPr>
              <w:spacing w:after="0"/>
              <w:jc w:val="center"/>
            </w:pPr>
            <w:r w:rsidRPr="00F53619">
              <w:t>vvRr</w:t>
            </w:r>
          </w:p>
          <w:p w:rsidR="004D5B16" w:rsidRPr="00F53619" w:rsidRDefault="004D5B16" w:rsidP="00ED3A9C">
            <w:pPr>
              <w:pStyle w:val="TM-3n"/>
              <w:numPr>
                <w:ilvl w:val="0"/>
                <w:numId w:val="0"/>
              </w:numPr>
              <w:spacing w:after="0"/>
              <w:jc w:val="center"/>
            </w:pPr>
            <w:r w:rsidRPr="00F53619">
              <w:t>(amarela,</w:t>
            </w:r>
            <w:r w:rsidR="00ED3A9C">
              <w:t xml:space="preserve"> </w:t>
            </w:r>
            <w:r w:rsidRPr="00F53619">
              <w:t>rugosa)</w:t>
            </w:r>
          </w:p>
        </w:tc>
        <w:tc>
          <w:tcPr>
            <w:tcW w:w="1056" w:type="pct"/>
            <w:tcMar>
              <w:left w:w="28" w:type="dxa"/>
              <w:right w:w="28" w:type="dxa"/>
            </w:tcMar>
            <w:vAlign w:val="center"/>
          </w:tcPr>
          <w:p w:rsidR="004D5B16" w:rsidRPr="00F53619" w:rsidRDefault="004D5B16" w:rsidP="004D5B16">
            <w:pPr>
              <w:pStyle w:val="TM-3n"/>
              <w:numPr>
                <w:ilvl w:val="0"/>
                <w:numId w:val="0"/>
              </w:numPr>
              <w:spacing w:after="0"/>
              <w:jc w:val="center"/>
            </w:pPr>
            <w:r w:rsidRPr="00F53619">
              <w:t>vvrr</w:t>
            </w:r>
          </w:p>
          <w:p w:rsidR="004D5B16" w:rsidRPr="00F53619" w:rsidRDefault="004D5B16" w:rsidP="00ED3A9C">
            <w:pPr>
              <w:pStyle w:val="TM-3n"/>
              <w:numPr>
                <w:ilvl w:val="0"/>
                <w:numId w:val="0"/>
              </w:numPr>
              <w:spacing w:after="0"/>
              <w:jc w:val="center"/>
            </w:pPr>
            <w:r w:rsidRPr="00F53619">
              <w:t>(amarela,</w:t>
            </w:r>
            <w:r w:rsidR="00ED3A9C">
              <w:t xml:space="preserve"> </w:t>
            </w:r>
            <w:r w:rsidRPr="00F53619">
              <w:t>lisa)</w:t>
            </w:r>
          </w:p>
        </w:tc>
      </w:tr>
    </w:tbl>
    <w:p w:rsidR="004D5B16" w:rsidRPr="00F53619" w:rsidRDefault="004D5B16" w:rsidP="004D5B16">
      <w:pPr>
        <w:pStyle w:val="TM-4n"/>
        <w:numPr>
          <w:ilvl w:val="0"/>
          <w:numId w:val="0"/>
        </w:numPr>
        <w:spacing w:after="0" w:line="276" w:lineRule="auto"/>
        <w:ind w:left="1276"/>
      </w:pPr>
    </w:p>
    <w:p w:rsidR="004D5B16" w:rsidRPr="00F53619" w:rsidRDefault="004D5B16" w:rsidP="00A05CAA">
      <w:pPr>
        <w:pStyle w:val="TM-4n"/>
        <w:numPr>
          <w:ilvl w:val="0"/>
          <w:numId w:val="15"/>
        </w:numPr>
        <w:tabs>
          <w:tab w:val="clear" w:pos="720"/>
          <w:tab w:val="clear" w:pos="1134"/>
        </w:tabs>
        <w:spacing w:before="120" w:after="0" w:line="276" w:lineRule="auto"/>
        <w:ind w:left="1440" w:hanging="270"/>
      </w:pPr>
      <w:r w:rsidRPr="00F53619">
        <w:lastRenderedPageBreak/>
        <w:t>Das 16 combinações possíveis na segunda geração, 9 são verdes e rugosas, 3 verdes e lisas, 3 amarelas e rugosas, e 1 amarela e lisa.</w:t>
      </w:r>
    </w:p>
    <w:p w:rsidR="004D5B16" w:rsidRPr="00F53619" w:rsidRDefault="004D5B16" w:rsidP="00A05CAA">
      <w:pPr>
        <w:pStyle w:val="TM-4n"/>
        <w:numPr>
          <w:ilvl w:val="0"/>
          <w:numId w:val="15"/>
        </w:numPr>
        <w:tabs>
          <w:tab w:val="clear" w:pos="720"/>
          <w:tab w:val="clear" w:pos="1134"/>
        </w:tabs>
        <w:spacing w:before="120" w:after="0" w:line="276" w:lineRule="auto"/>
        <w:ind w:left="1440" w:hanging="270"/>
      </w:pPr>
      <w:r w:rsidRPr="00F53619">
        <w:t>Assim, demonstra-se que cada uma das características é herdada independentemente da outra.</w:t>
      </w:r>
    </w:p>
    <w:p w:rsidR="004D5B16" w:rsidRPr="00F53619" w:rsidRDefault="004D5B16" w:rsidP="004D5B16">
      <w:pPr>
        <w:pStyle w:val="TM-0"/>
      </w:pPr>
    </w:p>
    <w:p w:rsidR="004D5B16" w:rsidRPr="00F53619" w:rsidRDefault="004D5B16" w:rsidP="004D5B16">
      <w:pPr>
        <w:shd w:val="clear" w:color="auto" w:fill="B8CCE4"/>
        <w:tabs>
          <w:tab w:val="left" w:pos="1276"/>
          <w:tab w:val="right" w:pos="8550"/>
        </w:tabs>
        <w:spacing w:before="120" w:after="120"/>
        <w:ind w:right="-43"/>
        <w:jc w:val="both"/>
        <w:rPr>
          <w:rFonts w:cs="Arial"/>
          <w:b/>
          <w:lang w:val="pt-PT"/>
        </w:rPr>
      </w:pPr>
      <w:r w:rsidRPr="00F53619">
        <w:rPr>
          <w:rFonts w:cs="Arial"/>
          <w:b/>
          <w:lang w:val="pt-PT"/>
        </w:rPr>
        <w:t>BLOCO 6. MUTAÇÕES E DOENÇAS HEREDITÁRIAS</w:t>
      </w:r>
    </w:p>
    <w:p w:rsidR="004D5B16" w:rsidRPr="00F53619" w:rsidRDefault="004D5B16" w:rsidP="00A05CAA">
      <w:pPr>
        <w:pStyle w:val="TM-2n"/>
        <w:numPr>
          <w:ilvl w:val="1"/>
          <w:numId w:val="18"/>
        </w:numPr>
        <w:spacing w:before="120" w:after="0" w:line="276" w:lineRule="auto"/>
      </w:pPr>
      <w:r w:rsidRPr="00F53619">
        <w:t>Uma mutação é a alteração da sequência de ADN genómico dum indivíduo.</w:t>
      </w:r>
    </w:p>
    <w:p w:rsidR="004D5B16" w:rsidRPr="00F53619" w:rsidRDefault="004D5B16" w:rsidP="00A05CAA">
      <w:pPr>
        <w:pStyle w:val="TM-2n"/>
        <w:numPr>
          <w:ilvl w:val="1"/>
          <w:numId w:val="18"/>
        </w:numPr>
        <w:spacing w:before="120" w:after="0" w:line="276" w:lineRule="auto"/>
      </w:pPr>
      <w:r w:rsidRPr="00F53619">
        <w:t>As mutações podem ser produzidas por produtos químicos, radiações, vírus, e também por erros durante a replicação (multiplicação) do ADN.</w:t>
      </w:r>
    </w:p>
    <w:p w:rsidR="004D5B16" w:rsidRPr="00F53619" w:rsidRDefault="004D5B16" w:rsidP="00A05CAA">
      <w:pPr>
        <w:pStyle w:val="TM-2n"/>
        <w:numPr>
          <w:ilvl w:val="1"/>
          <w:numId w:val="18"/>
        </w:numPr>
        <w:spacing w:before="120" w:after="0" w:line="276" w:lineRule="auto"/>
        <w:ind w:left="450" w:hanging="450"/>
      </w:pPr>
      <w:r w:rsidRPr="00F53619">
        <w:t>Dependendo da maneira em que é alterada a sequência de ADN, as mutações podem ser classificadas nas seguintes categorias:</w:t>
      </w:r>
    </w:p>
    <w:p w:rsidR="004D5B16" w:rsidRPr="00F53619" w:rsidRDefault="004D5B16" w:rsidP="00A05CAA">
      <w:pPr>
        <w:pStyle w:val="TM-3n"/>
        <w:numPr>
          <w:ilvl w:val="2"/>
          <w:numId w:val="18"/>
        </w:numPr>
        <w:spacing w:before="120" w:after="0" w:line="276" w:lineRule="auto"/>
        <w:ind w:left="1170" w:hanging="630"/>
      </w:pPr>
      <w:r w:rsidRPr="00F53619">
        <w:t>Mutações pontuais, que envolvem a mudança dum nucleótido por outro (nucleótidos são constituintes dos ácidos nucléicos – ADN e ARN e são responsáveis pela conservação, expressão e transmissão de informação genética – será abordado com mais detalhes na aula 2) .</w:t>
      </w:r>
    </w:p>
    <w:p w:rsidR="004D5B16" w:rsidRPr="00F53619" w:rsidRDefault="004D5B16" w:rsidP="00A05CAA">
      <w:pPr>
        <w:pStyle w:val="TM-3n"/>
        <w:numPr>
          <w:ilvl w:val="2"/>
          <w:numId w:val="18"/>
        </w:numPr>
        <w:tabs>
          <w:tab w:val="clear" w:pos="1276"/>
          <w:tab w:val="left" w:pos="1170"/>
        </w:tabs>
        <w:spacing w:before="120" w:after="0" w:line="276" w:lineRule="auto"/>
        <w:ind w:left="1170" w:hanging="630"/>
      </w:pPr>
      <w:r w:rsidRPr="00F53619">
        <w:t>Inserções, que envolvem a incorporação de um ou mais nucleótidos na sequência de ADN.</w:t>
      </w:r>
    </w:p>
    <w:p w:rsidR="004D5B16" w:rsidRPr="00F53619" w:rsidRDefault="004D5B16" w:rsidP="00A05CAA">
      <w:pPr>
        <w:pStyle w:val="TM-3n"/>
        <w:numPr>
          <w:ilvl w:val="2"/>
          <w:numId w:val="18"/>
        </w:numPr>
        <w:tabs>
          <w:tab w:val="clear" w:pos="1276"/>
          <w:tab w:val="left" w:pos="1170"/>
        </w:tabs>
        <w:spacing w:before="120" w:after="0" w:line="276" w:lineRule="auto"/>
        <w:ind w:left="1170" w:hanging="630"/>
      </w:pPr>
      <w:r w:rsidRPr="00F53619">
        <w:t>Deleções, que são a eliminação de um ou mais nucleótidos na sequência de ADN. Podem envolver segmentos muito longos de ADN, até vários genes completos.</w:t>
      </w:r>
    </w:p>
    <w:p w:rsidR="004D5B16" w:rsidRPr="00F53619" w:rsidRDefault="004D5B16" w:rsidP="00A05CAA">
      <w:pPr>
        <w:pStyle w:val="TM-3n"/>
        <w:numPr>
          <w:ilvl w:val="2"/>
          <w:numId w:val="18"/>
        </w:numPr>
        <w:tabs>
          <w:tab w:val="clear" w:pos="1276"/>
          <w:tab w:val="left" w:pos="1170"/>
        </w:tabs>
        <w:spacing w:before="120" w:after="0" w:line="276" w:lineRule="auto"/>
        <w:ind w:left="1170" w:hanging="630"/>
      </w:pPr>
      <w:r w:rsidRPr="00F53619">
        <w:t>Translocações, que são a troca de posição cromossómica de segmentos de ADN.</w:t>
      </w:r>
    </w:p>
    <w:p w:rsidR="004D5B16" w:rsidRPr="00F53619" w:rsidRDefault="004D5B16" w:rsidP="00A05CAA">
      <w:pPr>
        <w:pStyle w:val="TM-2n"/>
        <w:numPr>
          <w:ilvl w:val="1"/>
          <w:numId w:val="18"/>
        </w:numPr>
        <w:spacing w:before="120" w:after="0" w:line="276" w:lineRule="auto"/>
        <w:ind w:left="450" w:hanging="450"/>
      </w:pPr>
      <w:r w:rsidRPr="00F53619">
        <w:t>Uma mutação pode ter ou não efeito sobre a síntese das proteínas codificadas pelo ADN no qual se produz. Assim, podemos considerar mutações neutras, benéficas e prejudiciais.</w:t>
      </w:r>
    </w:p>
    <w:p w:rsidR="004D5B16" w:rsidRPr="00F53619" w:rsidRDefault="004D5B16" w:rsidP="00A05CAA">
      <w:pPr>
        <w:pStyle w:val="TM-2n"/>
        <w:numPr>
          <w:ilvl w:val="1"/>
          <w:numId w:val="18"/>
        </w:numPr>
        <w:spacing w:before="120" w:after="0" w:line="276" w:lineRule="auto"/>
        <w:ind w:left="450" w:hanging="450"/>
      </w:pPr>
      <w:r w:rsidRPr="00F53619">
        <w:t>Só uma percentagem muito pequena das mutações tem um efeito benéfico. Por exemplo, existe uma mutação no gene que codifica para uma proteína que funciona como receptor para a entrada do vírus de imunodeficiência humana (HIV) nas células. As pessoas com esta mutação, são resistentes à infecção pelo HIV.</w:t>
      </w:r>
    </w:p>
    <w:p w:rsidR="004D5B16" w:rsidRPr="00F53619" w:rsidRDefault="004D5B16" w:rsidP="00A05CAA">
      <w:pPr>
        <w:pStyle w:val="TM-2n"/>
        <w:numPr>
          <w:ilvl w:val="1"/>
          <w:numId w:val="18"/>
        </w:numPr>
        <w:spacing w:before="120" w:after="0" w:line="276" w:lineRule="auto"/>
        <w:ind w:left="450" w:hanging="450"/>
      </w:pPr>
      <w:r w:rsidRPr="00F53619">
        <w:t>Muitas mutações produzem alterações e erros na sequência das proteínas codificadas. Isto pode provocar a síntese de proteínas defeituosas ou não funcionais. Se a proteína tiver uma função importante no organismo, o defeito pode provocar doença.</w:t>
      </w:r>
    </w:p>
    <w:p w:rsidR="004D5B16" w:rsidRPr="00F53619" w:rsidRDefault="004D5B16" w:rsidP="00A05CAA">
      <w:pPr>
        <w:pStyle w:val="TM-2n"/>
        <w:numPr>
          <w:ilvl w:val="1"/>
          <w:numId w:val="18"/>
        </w:numPr>
        <w:spacing w:before="120" w:after="0" w:line="276" w:lineRule="auto"/>
        <w:ind w:left="450" w:hanging="450"/>
      </w:pPr>
      <w:r w:rsidRPr="00F53619">
        <w:t>As mutações em células somáticas do organismo (isto é, células não reprodutoras) podem dar lugar a determinados tipos de cancro.</w:t>
      </w:r>
    </w:p>
    <w:p w:rsidR="004D5B16" w:rsidRPr="00F53619" w:rsidRDefault="004D5B16" w:rsidP="00A05CAA">
      <w:pPr>
        <w:pStyle w:val="TM-2n"/>
        <w:numPr>
          <w:ilvl w:val="1"/>
          <w:numId w:val="18"/>
        </w:numPr>
        <w:spacing w:before="120" w:after="0" w:line="276" w:lineRule="auto"/>
        <w:ind w:left="450" w:hanging="450"/>
      </w:pPr>
      <w:r w:rsidRPr="00F53619">
        <w:t>Doenças Hereditárias</w:t>
      </w:r>
    </w:p>
    <w:p w:rsidR="004D5B16" w:rsidRPr="00F53619" w:rsidRDefault="004D5B16" w:rsidP="00A05CAA">
      <w:pPr>
        <w:pStyle w:val="TM-2n"/>
        <w:numPr>
          <w:ilvl w:val="2"/>
          <w:numId w:val="18"/>
        </w:numPr>
        <w:spacing w:before="120" w:after="0" w:line="276" w:lineRule="auto"/>
      </w:pPr>
      <w:r w:rsidRPr="00F53619">
        <w:t>Quando uma mutação se produz em células reprodutoras, poderá se transmitir à descendência (filhos). Fala-se então de doenças hereditárias.</w:t>
      </w:r>
    </w:p>
    <w:p w:rsidR="004D5B16" w:rsidRPr="00F53619" w:rsidRDefault="004D5B16" w:rsidP="00A05CAA">
      <w:pPr>
        <w:pStyle w:val="TM-2n"/>
        <w:numPr>
          <w:ilvl w:val="2"/>
          <w:numId w:val="18"/>
        </w:numPr>
        <w:spacing w:before="120" w:after="0" w:line="276" w:lineRule="auto"/>
      </w:pPr>
      <w:r w:rsidRPr="00F53619">
        <w:t>Assim, as doenças hereditárias são um conjunto de doenças com base genética, que podem ser transmitidas por um indivíduo aos seus descendentes. As mais importantes são hemofilia, diabetes, e alguns tipos de hipertensão.</w:t>
      </w:r>
    </w:p>
    <w:p w:rsidR="004D5B16" w:rsidRPr="00F53619" w:rsidRDefault="004D5B16" w:rsidP="00A05CAA">
      <w:pPr>
        <w:pStyle w:val="TM-2n"/>
        <w:numPr>
          <w:ilvl w:val="2"/>
          <w:numId w:val="18"/>
        </w:numPr>
        <w:spacing w:before="120" w:after="0" w:line="276" w:lineRule="auto"/>
      </w:pPr>
      <w:r w:rsidRPr="00F53619">
        <w:t>Uma pessoa poderá ou não expressar uma determinada doença hereditária. Isto depende dos alelos que determinam a doença, se são dominantes ou recessivos.</w:t>
      </w:r>
    </w:p>
    <w:p w:rsidR="004D5B16" w:rsidRPr="00F53619" w:rsidRDefault="004D5B16" w:rsidP="00A05CAA">
      <w:pPr>
        <w:pStyle w:val="TM-2n"/>
        <w:numPr>
          <w:ilvl w:val="2"/>
          <w:numId w:val="18"/>
        </w:numPr>
        <w:spacing w:before="120" w:after="0" w:line="276" w:lineRule="auto"/>
      </w:pPr>
      <w:r w:rsidRPr="00F53619">
        <w:t>Uma pessoa pode não sofrer de uma determinada doença, mas actuar como portador e transmitir essa doença para a sua descendência.</w:t>
      </w:r>
    </w:p>
    <w:p w:rsidR="004D5B16" w:rsidRPr="00F53619" w:rsidRDefault="004D5B16" w:rsidP="00A05CAA">
      <w:pPr>
        <w:pStyle w:val="TM-2n"/>
        <w:numPr>
          <w:ilvl w:val="2"/>
          <w:numId w:val="18"/>
        </w:numPr>
        <w:spacing w:before="120" w:after="0" w:line="276" w:lineRule="auto"/>
      </w:pPr>
      <w:r w:rsidRPr="00F53619">
        <w:t xml:space="preserve">Algumas doenças hereditárias podem estar associadas ao cromossoma X, que junto com o cromossoma Y determinam o sexo do indivíduo (XX, será sexo feminino, e XY, será sexo </w:t>
      </w:r>
      <w:r w:rsidRPr="00F53619">
        <w:lastRenderedPageBreak/>
        <w:t>masculino). Nestes casos, por exemplo na hemofilia, a mulher actua como portadora da doença, sendo o homem que é afectado quando o seu cromossoma X está alterado.</w:t>
      </w:r>
    </w:p>
    <w:p w:rsidR="004D5B16" w:rsidRPr="00F53619" w:rsidRDefault="004D5B16" w:rsidP="00A05CAA">
      <w:pPr>
        <w:pStyle w:val="TM-2n"/>
        <w:numPr>
          <w:ilvl w:val="2"/>
          <w:numId w:val="18"/>
        </w:numPr>
        <w:spacing w:before="120" w:after="0" w:line="276" w:lineRule="auto"/>
      </w:pPr>
      <w:r w:rsidRPr="00F53619">
        <w:t>A transmissão de doenças hereditárias pode ser melhor entendida através da utilização de árvores genealógicas.</w:t>
      </w:r>
    </w:p>
    <w:p w:rsidR="004D5B16" w:rsidRPr="00F53619" w:rsidRDefault="004D5B16" w:rsidP="00A05CAA">
      <w:pPr>
        <w:pStyle w:val="TM-2n"/>
        <w:numPr>
          <w:ilvl w:val="2"/>
          <w:numId w:val="18"/>
        </w:numPr>
        <w:spacing w:before="120" w:after="0" w:line="276" w:lineRule="auto"/>
      </w:pPr>
      <w:r w:rsidRPr="00F53619">
        <w:t>Uma árvore genealógica ou genetograma é a representação gráfica das relações familiares e da história médica duma pessoa. Permite o reconhecimento de padrões de herança e de tendências hereditárias numa família.</w:t>
      </w:r>
    </w:p>
    <w:p w:rsidR="004D5B16" w:rsidRPr="00F53619" w:rsidRDefault="004D5B16" w:rsidP="00A05CAA">
      <w:pPr>
        <w:pStyle w:val="TM-2n"/>
        <w:numPr>
          <w:ilvl w:val="2"/>
          <w:numId w:val="18"/>
        </w:numPr>
        <w:spacing w:before="120" w:after="0" w:line="276" w:lineRule="auto"/>
      </w:pPr>
      <w:r w:rsidRPr="00F53619">
        <w:t>Numa árvore genealógica utilizam-se diferentes símbolos para indicar sexo e outras características de cada indivíduo. O sexo feminino é indicado por um círculo, e o sexo masculino, por um quadrado. Outros símbolos podem indicar doenças, matrimónios ou outros eventos de importância na vida das pessoas incluídas na árvore.</w:t>
      </w:r>
    </w:p>
    <w:p w:rsidR="004D5B16" w:rsidRPr="00F53619" w:rsidRDefault="004D5B16" w:rsidP="00A05CAA">
      <w:pPr>
        <w:pStyle w:val="TM-2n"/>
        <w:numPr>
          <w:ilvl w:val="2"/>
          <w:numId w:val="18"/>
        </w:numPr>
        <w:spacing w:before="120" w:after="0" w:line="276" w:lineRule="auto"/>
      </w:pPr>
      <w:r w:rsidRPr="00F53619">
        <w:t>Uma árvore genealógica bem construída permite realizar uma avaliação rápida e ajustada dos riscos de saúde dum indivíduo. O conhecimento de doenças ou outras condições que podem acontecer numa família pode ser de grande ajuda no diagnóstico rápido e tratamento de determinadas doenças. Também servirá como orientação para a adopção de medidas efectivas de prevenção.</w:t>
      </w:r>
    </w:p>
    <w:p w:rsidR="004D5B16" w:rsidRPr="00F53619" w:rsidRDefault="004D5B16" w:rsidP="004D5B16">
      <w:pPr>
        <w:pStyle w:val="TM-2n"/>
        <w:numPr>
          <w:ilvl w:val="0"/>
          <w:numId w:val="0"/>
        </w:numPr>
        <w:spacing w:before="120" w:after="0"/>
        <w:ind w:left="284" w:hanging="284"/>
        <w:jc w:val="center"/>
        <w:rPr>
          <w:lang w:val="en-US"/>
        </w:rPr>
      </w:pPr>
      <w:r>
        <w:rPr>
          <w:noProof/>
          <w:lang w:val="en-ZW" w:eastAsia="en-ZW"/>
        </w:rPr>
        <w:drawing>
          <wp:inline distT="0" distB="0" distL="0" distR="0" wp14:anchorId="3B81ADD7" wp14:editId="78F6D211">
            <wp:extent cx="5597525" cy="2981960"/>
            <wp:effectExtent l="19050" t="0" r="3175" b="0"/>
            <wp:docPr id="23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grayscl/>
                    </a:blip>
                    <a:srcRect l="3847" t="17513" r="5898" b="18866"/>
                    <a:stretch>
                      <a:fillRect/>
                    </a:stretch>
                  </pic:blipFill>
                  <pic:spPr bwMode="auto">
                    <a:xfrm>
                      <a:off x="0" y="0"/>
                      <a:ext cx="5597525" cy="2981960"/>
                    </a:xfrm>
                    <a:prstGeom prst="rect">
                      <a:avLst/>
                    </a:prstGeom>
                    <a:noFill/>
                    <a:ln w="9525">
                      <a:noFill/>
                      <a:miter lim="800000"/>
                      <a:headEnd/>
                      <a:tailEnd/>
                    </a:ln>
                  </pic:spPr>
                </pic:pic>
              </a:graphicData>
            </a:graphic>
          </wp:inline>
        </w:drawing>
      </w:r>
    </w:p>
    <w:p w:rsidR="004D5B16" w:rsidRPr="00F53619" w:rsidRDefault="004D5B16" w:rsidP="004D5B16">
      <w:pPr>
        <w:pStyle w:val="TM-2n"/>
        <w:numPr>
          <w:ilvl w:val="0"/>
          <w:numId w:val="0"/>
        </w:numPr>
        <w:spacing w:before="120" w:after="0"/>
        <w:ind w:left="284" w:hanging="284"/>
        <w:jc w:val="center"/>
      </w:pPr>
      <w:r>
        <w:rPr>
          <w:b/>
          <w:lang w:val="pt-BR"/>
        </w:rPr>
        <w:t>Figura 6</w:t>
      </w:r>
      <w:r w:rsidR="005630DE">
        <w:rPr>
          <w:b/>
          <w:lang w:val="pt-BR"/>
        </w:rPr>
        <w:t xml:space="preserve">: </w:t>
      </w:r>
      <w:r w:rsidRPr="00F53619">
        <w:rPr>
          <w:lang w:val="pt-BR"/>
        </w:rPr>
        <w:t>Árvore genealógica típica.</w:t>
      </w:r>
    </w:p>
    <w:p w:rsidR="004D5B16" w:rsidRPr="00F53619" w:rsidRDefault="004D5B16" w:rsidP="004D5B16">
      <w:pPr>
        <w:shd w:val="clear" w:color="auto" w:fill="B8CCE4"/>
        <w:spacing w:before="120" w:after="120"/>
        <w:ind w:right="-43"/>
        <w:jc w:val="both"/>
        <w:rPr>
          <w:rFonts w:cs="Arial"/>
          <w:lang w:val="pt-BR"/>
        </w:rPr>
      </w:pPr>
      <w:r>
        <w:rPr>
          <w:rFonts w:cs="Arial"/>
          <w:b/>
          <w:lang w:val="pt-PT"/>
        </w:rPr>
        <w:t>BLOCO 7</w:t>
      </w:r>
      <w:r w:rsidRPr="00F53619">
        <w:rPr>
          <w:rFonts w:cs="Arial"/>
          <w:b/>
          <w:lang w:val="pt-PT"/>
        </w:rPr>
        <w:t>. PONTOS-CHAVE</w:t>
      </w:r>
      <w:r w:rsidRPr="00F53619">
        <w:rPr>
          <w:rFonts w:cs="Arial"/>
          <w:lang w:val="pt-BR"/>
        </w:rPr>
        <w:tab/>
      </w:r>
    </w:p>
    <w:p w:rsidR="004D5B16" w:rsidRPr="00F53619" w:rsidRDefault="004D5B16" w:rsidP="00A05CAA">
      <w:pPr>
        <w:pStyle w:val="TM-4n"/>
        <w:numPr>
          <w:ilvl w:val="1"/>
          <w:numId w:val="19"/>
        </w:numPr>
        <w:tabs>
          <w:tab w:val="clear" w:pos="1134"/>
        </w:tabs>
        <w:spacing w:before="120" w:after="0" w:line="276" w:lineRule="auto"/>
      </w:pPr>
      <w:r w:rsidRPr="00F53619">
        <w:t>A célula é a unidade básica, estrutural e funcional que compõem os seres vivos.</w:t>
      </w:r>
    </w:p>
    <w:p w:rsidR="004D5B16" w:rsidRPr="00F53619" w:rsidRDefault="004D5B16" w:rsidP="00A05CAA">
      <w:pPr>
        <w:pStyle w:val="TM-4n"/>
        <w:numPr>
          <w:ilvl w:val="1"/>
          <w:numId w:val="19"/>
        </w:numPr>
        <w:tabs>
          <w:tab w:val="clear" w:pos="1134"/>
        </w:tabs>
        <w:spacing w:before="120" w:after="0" w:line="276" w:lineRule="auto"/>
      </w:pPr>
      <w:r w:rsidRPr="00F53619">
        <w:t xml:space="preserve">As células procariontes </w:t>
      </w:r>
      <w:r w:rsidRPr="00F53619">
        <w:rPr>
          <w:bCs/>
        </w:rPr>
        <w:t>são células nas quais o material genético (DNA) que constitui o núcleo não está envolvido por uma membrana nuclear</w:t>
      </w:r>
      <w:r w:rsidRPr="00F53619">
        <w:t xml:space="preserve"> e se reproduzem por fissão binária.</w:t>
      </w:r>
    </w:p>
    <w:p w:rsidR="004D5B16" w:rsidRPr="00F53619" w:rsidRDefault="004D5B16" w:rsidP="00A05CAA">
      <w:pPr>
        <w:pStyle w:val="TM-4n"/>
        <w:numPr>
          <w:ilvl w:val="1"/>
          <w:numId w:val="19"/>
        </w:numPr>
        <w:tabs>
          <w:tab w:val="clear" w:pos="1134"/>
        </w:tabs>
        <w:spacing w:before="120" w:after="0" w:line="276" w:lineRule="auto"/>
      </w:pPr>
      <w:r w:rsidRPr="00F53619">
        <w:t xml:space="preserve">As células eucariontes </w:t>
      </w:r>
      <w:r w:rsidRPr="00F53619">
        <w:rPr>
          <w:bCs/>
        </w:rPr>
        <w:t>são células nas quais o material genético (DNA) que constitui o núcleo está envolvido por uma membrana nuclear</w:t>
      </w:r>
      <w:r w:rsidRPr="00F53619">
        <w:t xml:space="preserve"> e os seus mecanismos de reprodução envolvem os processos de mitose e meiose.</w:t>
      </w:r>
    </w:p>
    <w:p w:rsidR="004D5B16" w:rsidRPr="00F53619" w:rsidRDefault="004D5B16" w:rsidP="00A05CAA">
      <w:pPr>
        <w:numPr>
          <w:ilvl w:val="1"/>
          <w:numId w:val="19"/>
        </w:numPr>
        <w:spacing w:before="120" w:after="0"/>
        <w:jc w:val="both"/>
        <w:rPr>
          <w:rFonts w:cs="Arial"/>
          <w:lang w:val="pt-BR"/>
        </w:rPr>
      </w:pPr>
      <w:r w:rsidRPr="00F53619">
        <w:rPr>
          <w:rFonts w:cs="Arial"/>
          <w:lang w:val="pt-BR"/>
        </w:rPr>
        <w:t>Os seres vivos transmitem as suas características biológicas de geração para geração através dos genes, que são segmentos de ADN contidos nos cromossomas.</w:t>
      </w:r>
    </w:p>
    <w:p w:rsidR="004D5B16" w:rsidRPr="00F53619" w:rsidRDefault="004D5B16" w:rsidP="00A05CAA">
      <w:pPr>
        <w:numPr>
          <w:ilvl w:val="1"/>
          <w:numId w:val="19"/>
        </w:numPr>
        <w:spacing w:before="120" w:after="0"/>
        <w:jc w:val="both"/>
        <w:rPr>
          <w:rFonts w:cs="Arial"/>
          <w:lang w:val="pt-BR"/>
        </w:rPr>
      </w:pPr>
      <w:r w:rsidRPr="00F53619">
        <w:rPr>
          <w:rFonts w:cs="Arial"/>
          <w:lang w:val="pt-BR"/>
        </w:rPr>
        <w:t>Um gene pode ter várias formas ou sequências alternativas; cada uma destas formas é chamada alelo.</w:t>
      </w:r>
    </w:p>
    <w:p w:rsidR="004D5B16" w:rsidRPr="00F53619" w:rsidRDefault="004D5B16" w:rsidP="00A05CAA">
      <w:pPr>
        <w:numPr>
          <w:ilvl w:val="1"/>
          <w:numId w:val="19"/>
        </w:numPr>
        <w:spacing w:before="120" w:after="0"/>
        <w:jc w:val="both"/>
        <w:rPr>
          <w:rFonts w:cs="Arial"/>
          <w:lang w:val="pt-BR"/>
        </w:rPr>
      </w:pPr>
      <w:r w:rsidRPr="00F53619">
        <w:rPr>
          <w:rFonts w:cs="Arial"/>
          <w:lang w:val="pt-BR"/>
        </w:rPr>
        <w:t>Cada célula tem dois alelos de cada gene, um proveniente da mãe, e outro do pai</w:t>
      </w:r>
    </w:p>
    <w:p w:rsidR="004D5B16" w:rsidRPr="00F53619" w:rsidRDefault="004D5B16" w:rsidP="00A05CAA">
      <w:pPr>
        <w:numPr>
          <w:ilvl w:val="1"/>
          <w:numId w:val="19"/>
        </w:numPr>
        <w:spacing w:before="120" w:after="0"/>
        <w:jc w:val="both"/>
        <w:rPr>
          <w:rFonts w:cs="Arial"/>
          <w:lang w:val="pt-BR"/>
        </w:rPr>
      </w:pPr>
      <w:r w:rsidRPr="00F53619">
        <w:rPr>
          <w:rFonts w:cs="Arial"/>
          <w:lang w:val="pt-BR"/>
        </w:rPr>
        <w:lastRenderedPageBreak/>
        <w:t>Para um determinado gene, um indivíduo pode ser homozigótico (dois alelos iguais) ou heterozigótico (dois alelos diferentes).</w:t>
      </w:r>
    </w:p>
    <w:p w:rsidR="004D5B16" w:rsidRPr="00F53619" w:rsidRDefault="004D5B16" w:rsidP="00A05CAA">
      <w:pPr>
        <w:numPr>
          <w:ilvl w:val="1"/>
          <w:numId w:val="19"/>
        </w:numPr>
        <w:spacing w:before="120" w:after="0"/>
        <w:jc w:val="both"/>
        <w:rPr>
          <w:rFonts w:cs="Arial"/>
          <w:lang w:val="pt-BR"/>
        </w:rPr>
      </w:pPr>
      <w:r w:rsidRPr="00F53619">
        <w:rPr>
          <w:rFonts w:cs="Arial"/>
          <w:lang w:val="pt-BR"/>
        </w:rPr>
        <w:t>Os alelos podem ser dominantes, isto é, que a sua presença determina a característica visivel no indivíduo; pelo contrário, um alelo recessivo só expressa-se quando se apresenta como homozigoto.</w:t>
      </w:r>
    </w:p>
    <w:p w:rsidR="004D5B16" w:rsidRPr="00F53619" w:rsidRDefault="004D5B16" w:rsidP="00A05CAA">
      <w:pPr>
        <w:numPr>
          <w:ilvl w:val="1"/>
          <w:numId w:val="19"/>
        </w:numPr>
        <w:spacing w:before="120" w:after="0"/>
        <w:jc w:val="both"/>
        <w:rPr>
          <w:rFonts w:cs="Arial"/>
          <w:lang w:val="pt-BR"/>
        </w:rPr>
      </w:pPr>
      <w:r w:rsidRPr="00F53619">
        <w:rPr>
          <w:rFonts w:cs="Arial"/>
          <w:lang w:val="pt-BR"/>
        </w:rPr>
        <w:t>As leis de Mendel são princípios básicos relacionados com a transmissão das características hereditárias de geração a geração.</w:t>
      </w:r>
    </w:p>
    <w:p w:rsidR="004D5B16" w:rsidRPr="00F53619" w:rsidRDefault="004D5B16" w:rsidP="00A05CAA">
      <w:pPr>
        <w:numPr>
          <w:ilvl w:val="1"/>
          <w:numId w:val="19"/>
        </w:numPr>
        <w:spacing w:before="120" w:after="0"/>
        <w:jc w:val="both"/>
        <w:rPr>
          <w:rFonts w:cs="Arial"/>
          <w:lang w:val="pt-BR"/>
        </w:rPr>
      </w:pPr>
      <w:r w:rsidRPr="00F53619">
        <w:rPr>
          <w:rFonts w:cs="Arial"/>
          <w:lang w:val="pt-BR"/>
        </w:rPr>
        <w:t>Uma mutação é a alteração da sequência de ADN genómico dum indivíduo e que são transmitidas a descendência. Estas mutações podem levar a doenças hereditárias expressas ou a um estado de portador assintomático na descendência.</w:t>
      </w:r>
    </w:p>
    <w:p w:rsidR="004D5B16" w:rsidRPr="00F53619" w:rsidRDefault="004D5B16" w:rsidP="00A05CAA">
      <w:pPr>
        <w:numPr>
          <w:ilvl w:val="1"/>
          <w:numId w:val="19"/>
        </w:numPr>
        <w:spacing w:before="120" w:after="0"/>
        <w:jc w:val="both"/>
        <w:rPr>
          <w:rFonts w:cs="Arial"/>
          <w:lang w:val="pt-BR"/>
        </w:rPr>
      </w:pPr>
      <w:r w:rsidRPr="00F53619">
        <w:rPr>
          <w:rFonts w:cs="Arial"/>
          <w:lang w:val="pt-BR"/>
        </w:rPr>
        <w:t>A transmissão de doenças hereditárias pode ser melhor entendida através da utilização de árvores genealógicas.</w:t>
      </w:r>
    </w:p>
    <w:p w:rsidR="004D5B16" w:rsidRPr="00F53619" w:rsidRDefault="004D5B16" w:rsidP="004D5B16">
      <w:pPr>
        <w:tabs>
          <w:tab w:val="left" w:pos="1134"/>
        </w:tabs>
        <w:rPr>
          <w:rFonts w:cs="Arial"/>
          <w:b/>
          <w:bCs/>
          <w:lang w:val="pt-PT"/>
        </w:rPr>
      </w:pPr>
    </w:p>
    <w:p w:rsidR="004D5B16" w:rsidRPr="00F53619" w:rsidRDefault="004D5B16" w:rsidP="004D5B16">
      <w:pPr>
        <w:pStyle w:val="TM-0"/>
      </w:pPr>
    </w:p>
    <w:p w:rsidR="004D5B16" w:rsidRPr="00F53619" w:rsidRDefault="004D5B16" w:rsidP="004D5B16">
      <w:pPr>
        <w:pStyle w:val="TM-4n"/>
        <w:numPr>
          <w:ilvl w:val="0"/>
          <w:numId w:val="0"/>
        </w:numPr>
        <w:spacing w:before="120" w:after="0" w:line="276" w:lineRule="auto"/>
        <w:ind w:left="720"/>
      </w:pPr>
    </w:p>
    <w:p w:rsidR="004D5B16" w:rsidRDefault="004D5B16">
      <w:pPr>
        <w:rPr>
          <w:lang w:val="pt-BR"/>
        </w:rPr>
      </w:pPr>
      <w:r>
        <w:rPr>
          <w:lang w:val="pt-BR"/>
        </w:rPr>
        <w:br w:type="page"/>
      </w:r>
    </w:p>
    <w:tbl>
      <w:tblPr>
        <w:tblW w:w="10240" w:type="dxa"/>
        <w:tblLayout w:type="fixed"/>
        <w:tblCellMar>
          <w:left w:w="70" w:type="dxa"/>
          <w:right w:w="70" w:type="dxa"/>
        </w:tblCellMar>
        <w:tblLook w:val="0020" w:firstRow="1" w:lastRow="0" w:firstColumn="0" w:lastColumn="0" w:noHBand="0" w:noVBand="0"/>
      </w:tblPr>
      <w:tblGrid>
        <w:gridCol w:w="1600"/>
        <w:gridCol w:w="5580"/>
        <w:gridCol w:w="1710"/>
        <w:gridCol w:w="1350"/>
      </w:tblGrid>
      <w:tr w:rsidR="004D5B16" w:rsidRPr="00134F89" w:rsidTr="004D5B16">
        <w:trPr>
          <w:cantSplit/>
          <w:trHeight w:val="413"/>
        </w:trPr>
        <w:tc>
          <w:tcPr>
            <w:tcW w:w="1600" w:type="dxa"/>
            <w:tcBorders>
              <w:top w:val="single" w:sz="6" w:space="0" w:color="000000"/>
              <w:left w:val="single" w:sz="6" w:space="0" w:color="000000"/>
              <w:bottom w:val="single" w:sz="6" w:space="0" w:color="000000"/>
              <w:right w:val="single" w:sz="6" w:space="0" w:color="000000"/>
            </w:tcBorders>
            <w:vAlign w:val="center"/>
          </w:tcPr>
          <w:p w:rsidR="004D5B16" w:rsidRPr="00134F89" w:rsidRDefault="004D5B16" w:rsidP="004D5B16">
            <w:pPr>
              <w:jc w:val="both"/>
              <w:rPr>
                <w:rFonts w:cs="Arial"/>
                <w:b/>
                <w:lang w:val="pt-PT"/>
              </w:rPr>
            </w:pPr>
            <w:r w:rsidRPr="00134F89">
              <w:rPr>
                <w:rFonts w:cs="Arial"/>
                <w:b/>
                <w:lang w:val="pt-PT"/>
              </w:rPr>
              <w:lastRenderedPageBreak/>
              <w:t>Disciplina</w:t>
            </w:r>
          </w:p>
        </w:tc>
        <w:tc>
          <w:tcPr>
            <w:tcW w:w="5580" w:type="dxa"/>
            <w:tcBorders>
              <w:top w:val="single" w:sz="6" w:space="0" w:color="000000"/>
              <w:left w:val="single" w:sz="6" w:space="0" w:color="000000"/>
              <w:bottom w:val="single" w:sz="6" w:space="0" w:color="000000"/>
              <w:right w:val="single" w:sz="6" w:space="0" w:color="000000"/>
            </w:tcBorders>
            <w:vAlign w:val="center"/>
          </w:tcPr>
          <w:p w:rsidR="004D5B16" w:rsidRPr="00F53619" w:rsidRDefault="004D5B16" w:rsidP="004D5B16">
            <w:pPr>
              <w:rPr>
                <w:rFonts w:cs="Arial"/>
              </w:rPr>
            </w:pPr>
            <w:r w:rsidRPr="00F53619">
              <w:rPr>
                <w:rFonts w:cs="Arial"/>
              </w:rPr>
              <w:t>Introdução às Ciências Médicas</w:t>
            </w:r>
          </w:p>
        </w:tc>
        <w:tc>
          <w:tcPr>
            <w:tcW w:w="1710" w:type="dxa"/>
            <w:tcBorders>
              <w:top w:val="single" w:sz="6" w:space="0" w:color="000000"/>
              <w:left w:val="single" w:sz="6" w:space="0" w:color="000000"/>
              <w:bottom w:val="single" w:sz="6" w:space="0" w:color="000000"/>
              <w:right w:val="single" w:sz="6" w:space="0" w:color="000000"/>
            </w:tcBorders>
            <w:vAlign w:val="center"/>
          </w:tcPr>
          <w:p w:rsidR="004D5B16" w:rsidRPr="00134F89" w:rsidRDefault="004D5B16" w:rsidP="004D5B16">
            <w:pPr>
              <w:jc w:val="both"/>
              <w:rPr>
                <w:rFonts w:cs="Arial"/>
                <w:b/>
                <w:lang w:val="pt-PT"/>
              </w:rPr>
            </w:pPr>
            <w:r w:rsidRPr="00134F89">
              <w:rPr>
                <w:rFonts w:cs="Arial"/>
                <w:b/>
                <w:lang w:val="pt-PT"/>
              </w:rPr>
              <w:t xml:space="preserve">N° da Aula </w:t>
            </w:r>
          </w:p>
        </w:tc>
        <w:tc>
          <w:tcPr>
            <w:tcW w:w="1350" w:type="dxa"/>
            <w:tcBorders>
              <w:top w:val="single" w:sz="6" w:space="0" w:color="000000"/>
              <w:left w:val="single" w:sz="6" w:space="0" w:color="000000"/>
              <w:bottom w:val="single" w:sz="6" w:space="0" w:color="000000"/>
              <w:right w:val="single" w:sz="6" w:space="0" w:color="000000"/>
            </w:tcBorders>
            <w:vAlign w:val="center"/>
          </w:tcPr>
          <w:p w:rsidR="004D5B16" w:rsidRPr="005630DE" w:rsidRDefault="004D5B16" w:rsidP="004D5B16">
            <w:pPr>
              <w:jc w:val="center"/>
              <w:rPr>
                <w:rFonts w:cs="Arial"/>
                <w:lang w:val="pt-PT"/>
              </w:rPr>
            </w:pPr>
            <w:r w:rsidRPr="005630DE">
              <w:rPr>
                <w:rFonts w:cs="Arial"/>
                <w:lang w:val="pt-PT"/>
              </w:rPr>
              <w:t>2</w:t>
            </w:r>
          </w:p>
        </w:tc>
      </w:tr>
      <w:tr w:rsidR="004D5B16" w:rsidRPr="00134F89" w:rsidTr="004D5B16">
        <w:trPr>
          <w:cantSplit/>
          <w:trHeight w:val="413"/>
        </w:trPr>
        <w:tc>
          <w:tcPr>
            <w:tcW w:w="1600" w:type="dxa"/>
            <w:tcBorders>
              <w:top w:val="single" w:sz="6" w:space="0" w:color="000000"/>
              <w:left w:val="single" w:sz="6" w:space="0" w:color="000000"/>
              <w:bottom w:val="single" w:sz="6" w:space="0" w:color="000000"/>
              <w:right w:val="single" w:sz="6" w:space="0" w:color="000000"/>
            </w:tcBorders>
            <w:vAlign w:val="center"/>
          </w:tcPr>
          <w:p w:rsidR="004D5B16" w:rsidRPr="00134F89" w:rsidRDefault="004D5B16" w:rsidP="004D5B16">
            <w:pPr>
              <w:jc w:val="both"/>
              <w:rPr>
                <w:rFonts w:cs="Arial"/>
                <w:b/>
                <w:lang w:val="pt-PT"/>
              </w:rPr>
            </w:pPr>
            <w:r w:rsidRPr="00134F89">
              <w:rPr>
                <w:rFonts w:cs="Arial"/>
                <w:b/>
                <w:lang w:val="pt-PT"/>
              </w:rPr>
              <w:t>Tópico</w:t>
            </w:r>
          </w:p>
        </w:tc>
        <w:tc>
          <w:tcPr>
            <w:tcW w:w="5580" w:type="dxa"/>
            <w:tcBorders>
              <w:top w:val="single" w:sz="6" w:space="0" w:color="000000"/>
              <w:left w:val="single" w:sz="6" w:space="0" w:color="000000"/>
              <w:bottom w:val="single" w:sz="6" w:space="0" w:color="000000"/>
              <w:right w:val="single" w:sz="6" w:space="0" w:color="000000"/>
            </w:tcBorders>
            <w:vAlign w:val="center"/>
          </w:tcPr>
          <w:p w:rsidR="004D5B16" w:rsidRPr="00134F89" w:rsidRDefault="004D5B16" w:rsidP="004D5B16">
            <w:pPr>
              <w:jc w:val="both"/>
              <w:rPr>
                <w:rFonts w:cs="Arial"/>
                <w:b/>
                <w:lang w:val="pt-PT"/>
              </w:rPr>
            </w:pPr>
            <w:r w:rsidRPr="007A6934">
              <w:rPr>
                <w:rFonts w:cs="Arial"/>
              </w:rPr>
              <w:t>Bioquímica</w:t>
            </w:r>
            <w:r>
              <w:rPr>
                <w:rFonts w:cs="Arial"/>
              </w:rPr>
              <w:t xml:space="preserve"> (1)</w:t>
            </w:r>
          </w:p>
        </w:tc>
        <w:tc>
          <w:tcPr>
            <w:tcW w:w="1710" w:type="dxa"/>
            <w:tcBorders>
              <w:top w:val="single" w:sz="6" w:space="0" w:color="000000"/>
              <w:left w:val="single" w:sz="6" w:space="0" w:color="000000"/>
              <w:bottom w:val="single" w:sz="6" w:space="0" w:color="000000"/>
              <w:right w:val="single" w:sz="6" w:space="0" w:color="000000"/>
            </w:tcBorders>
            <w:vAlign w:val="center"/>
          </w:tcPr>
          <w:p w:rsidR="004D5B16" w:rsidRPr="00134F89" w:rsidRDefault="004D5B16" w:rsidP="004D5B16">
            <w:pPr>
              <w:jc w:val="both"/>
              <w:rPr>
                <w:rFonts w:cs="Arial"/>
                <w:b/>
                <w:lang w:val="pt-PT"/>
              </w:rPr>
            </w:pPr>
            <w:r w:rsidRPr="00134F89">
              <w:rPr>
                <w:rFonts w:cs="Arial"/>
                <w:b/>
                <w:lang w:val="pt-PT"/>
              </w:rPr>
              <w:t xml:space="preserve">Tipo </w:t>
            </w:r>
          </w:p>
        </w:tc>
        <w:tc>
          <w:tcPr>
            <w:tcW w:w="1350" w:type="dxa"/>
            <w:tcBorders>
              <w:top w:val="single" w:sz="6" w:space="0" w:color="000000"/>
              <w:left w:val="single" w:sz="6" w:space="0" w:color="000000"/>
              <w:bottom w:val="single" w:sz="6" w:space="0" w:color="000000"/>
              <w:right w:val="single" w:sz="6" w:space="0" w:color="000000"/>
            </w:tcBorders>
            <w:vAlign w:val="center"/>
          </w:tcPr>
          <w:p w:rsidR="004D5B16" w:rsidRPr="005630DE" w:rsidRDefault="004D5B16" w:rsidP="004D5B16">
            <w:pPr>
              <w:jc w:val="center"/>
              <w:rPr>
                <w:rFonts w:cs="Arial"/>
                <w:lang w:val="pt-PT"/>
              </w:rPr>
            </w:pPr>
            <w:r w:rsidRPr="005630DE">
              <w:rPr>
                <w:rFonts w:cs="Arial"/>
                <w:lang w:val="pt-PT"/>
              </w:rPr>
              <w:t>Teórica</w:t>
            </w:r>
          </w:p>
        </w:tc>
      </w:tr>
      <w:tr w:rsidR="004D5B16" w:rsidRPr="00134F89" w:rsidTr="004D5B16">
        <w:trPr>
          <w:cantSplit/>
          <w:trHeight w:val="414"/>
        </w:trPr>
        <w:tc>
          <w:tcPr>
            <w:tcW w:w="1600" w:type="dxa"/>
            <w:tcBorders>
              <w:top w:val="single" w:sz="6" w:space="0" w:color="000000"/>
              <w:left w:val="single" w:sz="6" w:space="0" w:color="000000"/>
              <w:bottom w:val="single" w:sz="6" w:space="0" w:color="000000"/>
              <w:right w:val="single" w:sz="6" w:space="0" w:color="000000"/>
            </w:tcBorders>
            <w:vAlign w:val="center"/>
          </w:tcPr>
          <w:p w:rsidR="004D5B16" w:rsidRPr="00134F89" w:rsidRDefault="004D5B16" w:rsidP="004D5B16">
            <w:pPr>
              <w:jc w:val="both"/>
              <w:rPr>
                <w:rFonts w:cs="Arial"/>
                <w:b/>
                <w:lang w:val="pt-PT"/>
              </w:rPr>
            </w:pPr>
            <w:r w:rsidRPr="00134F89">
              <w:rPr>
                <w:rFonts w:cs="Arial"/>
                <w:b/>
                <w:lang w:val="pt-PT"/>
              </w:rPr>
              <w:t>Conteúdos</w:t>
            </w:r>
          </w:p>
        </w:tc>
        <w:tc>
          <w:tcPr>
            <w:tcW w:w="5580" w:type="dxa"/>
            <w:tcBorders>
              <w:top w:val="single" w:sz="6" w:space="0" w:color="000000"/>
              <w:left w:val="single" w:sz="6" w:space="0" w:color="000000"/>
              <w:bottom w:val="single" w:sz="6" w:space="0" w:color="000000"/>
              <w:right w:val="single" w:sz="6" w:space="0" w:color="000000"/>
            </w:tcBorders>
            <w:vAlign w:val="center"/>
          </w:tcPr>
          <w:p w:rsidR="004D5B16" w:rsidRPr="00ED3A9C" w:rsidRDefault="004D5B16" w:rsidP="004D5B16">
            <w:pPr>
              <w:pStyle w:val="Heading1"/>
              <w:rPr>
                <w:b w:val="0"/>
                <w:sz w:val="22"/>
                <w:szCs w:val="22"/>
                <w:lang w:val="pt-PT"/>
              </w:rPr>
            </w:pPr>
            <w:bookmarkStart w:id="6" w:name="_Toc329099750"/>
            <w:r w:rsidRPr="00ED3A9C">
              <w:rPr>
                <w:b w:val="0"/>
                <w:sz w:val="22"/>
                <w:szCs w:val="22"/>
              </w:rPr>
              <w:t>Biomoléculas</w:t>
            </w:r>
            <w:bookmarkEnd w:id="6"/>
          </w:p>
        </w:tc>
        <w:tc>
          <w:tcPr>
            <w:tcW w:w="1710" w:type="dxa"/>
            <w:tcBorders>
              <w:top w:val="single" w:sz="6" w:space="0" w:color="000000"/>
              <w:left w:val="single" w:sz="6" w:space="0" w:color="000000"/>
              <w:bottom w:val="single" w:sz="6" w:space="0" w:color="000000"/>
              <w:right w:val="single" w:sz="6" w:space="0" w:color="000000"/>
            </w:tcBorders>
            <w:vAlign w:val="center"/>
          </w:tcPr>
          <w:p w:rsidR="004D5B16" w:rsidRPr="00134F89" w:rsidRDefault="004D5B16" w:rsidP="004D5B16">
            <w:pPr>
              <w:jc w:val="both"/>
              <w:rPr>
                <w:rFonts w:cs="Arial"/>
                <w:b/>
                <w:lang w:val="pt-PT"/>
              </w:rPr>
            </w:pPr>
            <w:r w:rsidRPr="00134F89">
              <w:rPr>
                <w:rFonts w:cs="Arial"/>
                <w:b/>
                <w:lang w:val="pt-PT"/>
              </w:rPr>
              <w:t>Duração</w:t>
            </w:r>
          </w:p>
        </w:tc>
        <w:tc>
          <w:tcPr>
            <w:tcW w:w="1350" w:type="dxa"/>
            <w:tcBorders>
              <w:top w:val="single" w:sz="6" w:space="0" w:color="000000"/>
              <w:left w:val="single" w:sz="6" w:space="0" w:color="000000"/>
              <w:bottom w:val="single" w:sz="6" w:space="0" w:color="000000"/>
              <w:right w:val="single" w:sz="6" w:space="0" w:color="000000"/>
            </w:tcBorders>
            <w:vAlign w:val="center"/>
          </w:tcPr>
          <w:p w:rsidR="004D5B16" w:rsidRPr="005630DE" w:rsidRDefault="004D5B16" w:rsidP="004D5B16">
            <w:pPr>
              <w:jc w:val="center"/>
              <w:rPr>
                <w:rFonts w:cs="Arial"/>
                <w:lang w:val="pt-PT"/>
              </w:rPr>
            </w:pPr>
            <w:r w:rsidRPr="005630DE">
              <w:rPr>
                <w:rFonts w:cs="Arial"/>
                <w:lang w:val="pt-PT"/>
              </w:rPr>
              <w:t>2h</w:t>
            </w:r>
          </w:p>
        </w:tc>
      </w:tr>
    </w:tbl>
    <w:p w:rsidR="004D5B16" w:rsidRPr="00134F89" w:rsidRDefault="004D5B16" w:rsidP="009B602C">
      <w:pPr>
        <w:spacing w:before="240" w:line="120" w:lineRule="auto"/>
        <w:jc w:val="both"/>
        <w:rPr>
          <w:rFonts w:cs="Arial"/>
          <w:lang w:val="pt-PT"/>
        </w:rPr>
      </w:pPr>
    </w:p>
    <w:p w:rsidR="004D5B16" w:rsidRPr="0052785B" w:rsidRDefault="004D5B16" w:rsidP="0052785B">
      <w:pPr>
        <w:rPr>
          <w:b/>
          <w:lang w:val="pt-PT"/>
        </w:rPr>
      </w:pPr>
      <w:r w:rsidRPr="0052785B">
        <w:rPr>
          <w:b/>
          <w:lang w:val="pt-PT"/>
        </w:rPr>
        <w:t>Objectivos de Aprendizagem</w:t>
      </w:r>
    </w:p>
    <w:p w:rsidR="004D5B16" w:rsidRPr="004D5B16" w:rsidRDefault="004D5B16" w:rsidP="004D5B16">
      <w:pPr>
        <w:rPr>
          <w:rFonts w:cs="Arial"/>
          <w:lang w:val="pt-BR"/>
        </w:rPr>
      </w:pPr>
      <w:r w:rsidRPr="004D5B16">
        <w:rPr>
          <w:rFonts w:cs="Arial"/>
          <w:lang w:val="pt-BR"/>
        </w:rPr>
        <w:t>Até ao fim da aula os alunos devem ser capazes de:</w:t>
      </w:r>
    </w:p>
    <w:p w:rsidR="004D5B16" w:rsidRPr="004B72CF" w:rsidRDefault="004D5B16" w:rsidP="00A05CAA">
      <w:pPr>
        <w:numPr>
          <w:ilvl w:val="0"/>
          <w:numId w:val="20"/>
        </w:numPr>
        <w:spacing w:after="0"/>
        <w:rPr>
          <w:rFonts w:cs="Arial"/>
        </w:rPr>
      </w:pPr>
      <w:r w:rsidRPr="004B72CF">
        <w:rPr>
          <w:rFonts w:cs="Arial"/>
        </w:rPr>
        <w:t>Sobre o conteúdo “Biomoléculas”:</w:t>
      </w:r>
    </w:p>
    <w:p w:rsidR="004D5B16" w:rsidRPr="006E05D4" w:rsidRDefault="004D5B16" w:rsidP="006E05D4">
      <w:pPr>
        <w:pStyle w:val="ListParagraph"/>
        <w:numPr>
          <w:ilvl w:val="1"/>
          <w:numId w:val="20"/>
        </w:numPr>
        <w:spacing w:after="0"/>
        <w:rPr>
          <w:rFonts w:cs="Arial"/>
          <w:lang w:val="pt-BR"/>
        </w:rPr>
      </w:pPr>
      <w:r w:rsidRPr="006E05D4">
        <w:rPr>
          <w:rFonts w:cs="Arial"/>
          <w:lang w:val="pt-BR"/>
        </w:rPr>
        <w:t>Definir Biomoléculas e explicar a sua classificação</w:t>
      </w:r>
    </w:p>
    <w:p w:rsidR="004D5B16" w:rsidRPr="004D5B16" w:rsidRDefault="004D5B16" w:rsidP="00A05CAA">
      <w:pPr>
        <w:numPr>
          <w:ilvl w:val="1"/>
          <w:numId w:val="20"/>
        </w:numPr>
        <w:tabs>
          <w:tab w:val="clear" w:pos="792"/>
          <w:tab w:val="num" w:pos="993"/>
        </w:tabs>
        <w:spacing w:after="0"/>
        <w:rPr>
          <w:rFonts w:cs="Arial"/>
          <w:lang w:val="pt-BR"/>
        </w:rPr>
      </w:pPr>
      <w:r w:rsidRPr="004D5B16">
        <w:rPr>
          <w:rFonts w:cs="Arial"/>
          <w:lang w:val="pt-BR"/>
        </w:rPr>
        <w:t>Definir o que são os carboidratos e explicar a sua classificação</w:t>
      </w:r>
    </w:p>
    <w:p w:rsidR="004D5B16" w:rsidRPr="004D5B16" w:rsidRDefault="004D5B16" w:rsidP="00A05CAA">
      <w:pPr>
        <w:numPr>
          <w:ilvl w:val="1"/>
          <w:numId w:val="20"/>
        </w:numPr>
        <w:tabs>
          <w:tab w:val="clear" w:pos="792"/>
          <w:tab w:val="num" w:pos="993"/>
        </w:tabs>
        <w:spacing w:after="0"/>
        <w:rPr>
          <w:rFonts w:cs="Arial"/>
          <w:lang w:val="pt-BR"/>
        </w:rPr>
      </w:pPr>
      <w:r w:rsidRPr="004D5B16">
        <w:rPr>
          <w:rFonts w:cs="Arial"/>
          <w:lang w:val="pt-BR"/>
        </w:rPr>
        <w:t>Listar as diferentes funções dos carboidratos no ser vivo</w:t>
      </w:r>
    </w:p>
    <w:p w:rsidR="004D5B16" w:rsidRPr="004D5B16" w:rsidRDefault="004D5B16" w:rsidP="00A05CAA">
      <w:pPr>
        <w:numPr>
          <w:ilvl w:val="1"/>
          <w:numId w:val="20"/>
        </w:numPr>
        <w:tabs>
          <w:tab w:val="clear" w:pos="792"/>
          <w:tab w:val="num" w:pos="993"/>
        </w:tabs>
        <w:spacing w:after="0"/>
        <w:rPr>
          <w:rFonts w:cs="Arial"/>
          <w:lang w:val="pt-BR"/>
        </w:rPr>
      </w:pPr>
      <w:r w:rsidRPr="004D5B16">
        <w:rPr>
          <w:rFonts w:cs="Arial"/>
          <w:lang w:val="pt-BR"/>
        </w:rPr>
        <w:t>Definir o que são os lípidos e explicar a sua classificação</w:t>
      </w:r>
    </w:p>
    <w:p w:rsidR="004D5B16" w:rsidRPr="004D5B16" w:rsidRDefault="004D5B16" w:rsidP="00A05CAA">
      <w:pPr>
        <w:numPr>
          <w:ilvl w:val="1"/>
          <w:numId w:val="20"/>
        </w:numPr>
        <w:tabs>
          <w:tab w:val="clear" w:pos="792"/>
          <w:tab w:val="num" w:pos="993"/>
        </w:tabs>
        <w:spacing w:after="0"/>
        <w:rPr>
          <w:rFonts w:cs="Arial"/>
          <w:lang w:val="pt-BR"/>
        </w:rPr>
      </w:pPr>
      <w:r w:rsidRPr="004D5B16">
        <w:rPr>
          <w:rFonts w:cs="Arial"/>
          <w:lang w:val="pt-BR"/>
        </w:rPr>
        <w:t>Listar as diferentes funções dos lípidos no ser vivo</w:t>
      </w:r>
    </w:p>
    <w:p w:rsidR="004D5B16" w:rsidRPr="004D5B16" w:rsidRDefault="004D5B16" w:rsidP="00A05CAA">
      <w:pPr>
        <w:numPr>
          <w:ilvl w:val="1"/>
          <w:numId w:val="20"/>
        </w:numPr>
        <w:tabs>
          <w:tab w:val="clear" w:pos="792"/>
          <w:tab w:val="num" w:pos="993"/>
        </w:tabs>
        <w:spacing w:after="0"/>
        <w:rPr>
          <w:rFonts w:cs="Arial"/>
          <w:lang w:val="pt-BR"/>
        </w:rPr>
      </w:pPr>
      <w:r w:rsidRPr="004D5B16">
        <w:rPr>
          <w:rFonts w:cs="Arial"/>
          <w:lang w:val="pt-BR"/>
        </w:rPr>
        <w:t>Definir o que são os aminoácidos</w:t>
      </w:r>
    </w:p>
    <w:p w:rsidR="004D5B16" w:rsidRPr="004D5B16" w:rsidRDefault="004D5B16" w:rsidP="00A05CAA">
      <w:pPr>
        <w:numPr>
          <w:ilvl w:val="1"/>
          <w:numId w:val="20"/>
        </w:numPr>
        <w:tabs>
          <w:tab w:val="clear" w:pos="792"/>
          <w:tab w:val="num" w:pos="993"/>
        </w:tabs>
        <w:spacing w:after="0"/>
        <w:rPr>
          <w:rFonts w:cs="Arial"/>
          <w:lang w:val="pt-BR"/>
        </w:rPr>
      </w:pPr>
      <w:r w:rsidRPr="004D5B16">
        <w:rPr>
          <w:rFonts w:cs="Arial"/>
          <w:lang w:val="pt-BR"/>
        </w:rPr>
        <w:t>Definir o que são as proteínas e explicar a sua classificação</w:t>
      </w:r>
    </w:p>
    <w:p w:rsidR="004D5B16" w:rsidRPr="004D5B16" w:rsidRDefault="004D5B16" w:rsidP="00A05CAA">
      <w:pPr>
        <w:numPr>
          <w:ilvl w:val="1"/>
          <w:numId w:val="20"/>
        </w:numPr>
        <w:tabs>
          <w:tab w:val="clear" w:pos="792"/>
          <w:tab w:val="num" w:pos="993"/>
        </w:tabs>
        <w:spacing w:after="0"/>
        <w:rPr>
          <w:rFonts w:cs="Arial"/>
          <w:lang w:val="pt-BR"/>
        </w:rPr>
      </w:pPr>
      <w:r w:rsidRPr="004D5B16">
        <w:rPr>
          <w:rFonts w:cs="Arial"/>
          <w:lang w:val="pt-BR"/>
        </w:rPr>
        <w:t>Listar as diferentes funções das proteínas no ser vivo;</w:t>
      </w:r>
    </w:p>
    <w:p w:rsidR="004D5B16" w:rsidRPr="004D5B16" w:rsidRDefault="004D5B16" w:rsidP="004D5B16">
      <w:pPr>
        <w:ind w:left="792"/>
        <w:rPr>
          <w:rFonts w:cs="Arial"/>
          <w:lang w:val="pt-BR"/>
        </w:rPr>
      </w:pPr>
    </w:p>
    <w:p w:rsidR="004D5B16" w:rsidRPr="0052785B" w:rsidRDefault="004D5B16" w:rsidP="0052785B">
      <w:pPr>
        <w:rPr>
          <w:b/>
        </w:rPr>
      </w:pPr>
      <w:r w:rsidRPr="0052785B">
        <w:rPr>
          <w:b/>
        </w:rPr>
        <w:t>Estrutura da Aula</w:t>
      </w:r>
    </w:p>
    <w:tbl>
      <w:tblPr>
        <w:tblW w:w="10188" w:type="dxa"/>
        <w:tblBorders>
          <w:top w:val="single" w:sz="18" w:space="0" w:color="auto"/>
          <w:bottom w:val="single" w:sz="18" w:space="0" w:color="auto"/>
        </w:tblBorders>
        <w:tblLayout w:type="fixed"/>
        <w:tblLook w:val="0400" w:firstRow="0" w:lastRow="0" w:firstColumn="0" w:lastColumn="0" w:noHBand="0" w:noVBand="1"/>
      </w:tblPr>
      <w:tblGrid>
        <w:gridCol w:w="738"/>
        <w:gridCol w:w="3690"/>
        <w:gridCol w:w="3150"/>
        <w:gridCol w:w="2610"/>
      </w:tblGrid>
      <w:tr w:rsidR="004D5B16" w:rsidRPr="007A6934" w:rsidTr="00FC6E81">
        <w:trPr>
          <w:trHeight w:val="490"/>
        </w:trPr>
        <w:tc>
          <w:tcPr>
            <w:tcW w:w="738" w:type="dxa"/>
            <w:tcBorders>
              <w:top w:val="single" w:sz="18" w:space="0" w:color="auto"/>
              <w:bottom w:val="single" w:sz="18" w:space="0" w:color="auto"/>
              <w:right w:val="single" w:sz="4" w:space="0" w:color="auto"/>
            </w:tcBorders>
            <w:shd w:val="clear" w:color="auto" w:fill="B8CCE4"/>
          </w:tcPr>
          <w:p w:rsidR="004D5B16" w:rsidRPr="007A6934" w:rsidRDefault="004D5B16" w:rsidP="004D5B16">
            <w:pPr>
              <w:ind w:left="-110" w:right="-108"/>
              <w:jc w:val="center"/>
              <w:rPr>
                <w:rFonts w:cs="Arial"/>
                <w:b/>
                <w:sz w:val="20"/>
                <w:szCs w:val="20"/>
              </w:rPr>
            </w:pPr>
            <w:r w:rsidRPr="007A6934">
              <w:rPr>
                <w:rFonts w:cs="Arial"/>
                <w:b/>
                <w:sz w:val="20"/>
                <w:szCs w:val="20"/>
              </w:rPr>
              <w:t>Bloco</w:t>
            </w:r>
          </w:p>
        </w:tc>
        <w:tc>
          <w:tcPr>
            <w:tcW w:w="3690" w:type="dxa"/>
            <w:tcBorders>
              <w:top w:val="single" w:sz="18" w:space="0" w:color="auto"/>
              <w:left w:val="single" w:sz="4" w:space="0" w:color="auto"/>
              <w:bottom w:val="single" w:sz="18" w:space="0" w:color="auto"/>
              <w:right w:val="single" w:sz="4" w:space="0" w:color="auto"/>
            </w:tcBorders>
            <w:shd w:val="clear" w:color="auto" w:fill="B8CCE4"/>
          </w:tcPr>
          <w:p w:rsidR="004D5B16" w:rsidRPr="007A6934" w:rsidRDefault="004D5B16" w:rsidP="004D5B16">
            <w:pPr>
              <w:jc w:val="center"/>
              <w:rPr>
                <w:rFonts w:cs="Arial"/>
                <w:b/>
                <w:sz w:val="20"/>
                <w:szCs w:val="20"/>
              </w:rPr>
            </w:pPr>
            <w:r w:rsidRPr="007A6934">
              <w:rPr>
                <w:rFonts w:cs="Arial"/>
                <w:b/>
                <w:sz w:val="20"/>
                <w:szCs w:val="20"/>
              </w:rPr>
              <w:t>Título do Bloco</w:t>
            </w:r>
          </w:p>
        </w:tc>
        <w:tc>
          <w:tcPr>
            <w:tcW w:w="3150" w:type="dxa"/>
            <w:tcBorders>
              <w:top w:val="single" w:sz="18" w:space="0" w:color="auto"/>
              <w:left w:val="single" w:sz="4" w:space="0" w:color="auto"/>
              <w:bottom w:val="single" w:sz="18" w:space="0" w:color="auto"/>
              <w:right w:val="single" w:sz="4" w:space="0" w:color="auto"/>
            </w:tcBorders>
            <w:shd w:val="clear" w:color="auto" w:fill="B8CCE4"/>
          </w:tcPr>
          <w:p w:rsidR="004D5B16" w:rsidRPr="007A6934" w:rsidRDefault="004D5B16" w:rsidP="004D5B16">
            <w:pPr>
              <w:tabs>
                <w:tab w:val="left" w:pos="244"/>
              </w:tabs>
              <w:jc w:val="center"/>
              <w:rPr>
                <w:rFonts w:cs="Arial"/>
                <w:b/>
                <w:sz w:val="20"/>
                <w:szCs w:val="20"/>
                <w:lang w:val="pt-BR"/>
              </w:rPr>
            </w:pPr>
            <w:r w:rsidRPr="007A6934">
              <w:rPr>
                <w:rFonts w:cs="Arial"/>
                <w:b/>
                <w:sz w:val="20"/>
                <w:szCs w:val="20"/>
              </w:rPr>
              <w:t>M</w:t>
            </w:r>
            <w:r w:rsidRPr="007A6934">
              <w:rPr>
                <w:rFonts w:cs="Arial"/>
                <w:b/>
                <w:sz w:val="20"/>
                <w:szCs w:val="20"/>
                <w:lang w:val="pt-BR"/>
              </w:rPr>
              <w:t>étodo de Ensino</w:t>
            </w:r>
          </w:p>
        </w:tc>
        <w:tc>
          <w:tcPr>
            <w:tcW w:w="2610" w:type="dxa"/>
            <w:tcBorders>
              <w:top w:val="single" w:sz="18" w:space="0" w:color="auto"/>
              <w:left w:val="single" w:sz="4" w:space="0" w:color="auto"/>
              <w:bottom w:val="single" w:sz="18" w:space="0" w:color="auto"/>
            </w:tcBorders>
            <w:shd w:val="clear" w:color="auto" w:fill="B8CCE4"/>
          </w:tcPr>
          <w:p w:rsidR="004D5B16" w:rsidRPr="007A6934" w:rsidRDefault="004D5B16" w:rsidP="004D5B16">
            <w:pPr>
              <w:tabs>
                <w:tab w:val="left" w:pos="244"/>
              </w:tabs>
              <w:jc w:val="center"/>
              <w:rPr>
                <w:rFonts w:cs="Arial"/>
                <w:b/>
                <w:sz w:val="20"/>
                <w:szCs w:val="20"/>
                <w:lang w:val="pt-BR"/>
              </w:rPr>
            </w:pPr>
            <w:r w:rsidRPr="007A6934">
              <w:rPr>
                <w:rFonts w:cs="Arial"/>
                <w:b/>
                <w:sz w:val="20"/>
                <w:szCs w:val="20"/>
              </w:rPr>
              <w:t>Duração</w:t>
            </w:r>
          </w:p>
        </w:tc>
      </w:tr>
      <w:tr w:rsidR="004D5B16" w:rsidRPr="007A6934" w:rsidTr="00FC6E81">
        <w:tc>
          <w:tcPr>
            <w:tcW w:w="738" w:type="dxa"/>
            <w:tcBorders>
              <w:top w:val="single" w:sz="4" w:space="0" w:color="auto"/>
              <w:bottom w:val="single" w:sz="4" w:space="0" w:color="auto"/>
              <w:right w:val="single" w:sz="4" w:space="0" w:color="auto"/>
            </w:tcBorders>
            <w:shd w:val="clear" w:color="auto" w:fill="D9D9D9"/>
          </w:tcPr>
          <w:p w:rsidR="004D5B16" w:rsidRPr="007A6934" w:rsidRDefault="004D5B16" w:rsidP="004D5B16">
            <w:pPr>
              <w:spacing w:before="60" w:after="60" w:line="360" w:lineRule="auto"/>
              <w:ind w:left="-110" w:right="-108"/>
              <w:jc w:val="center"/>
              <w:rPr>
                <w:rFonts w:cs="Arial"/>
                <w:sz w:val="20"/>
                <w:szCs w:val="20"/>
              </w:rPr>
            </w:pPr>
            <w:r>
              <w:rPr>
                <w:rFonts w:cs="Arial"/>
                <w:sz w:val="20"/>
                <w:szCs w:val="20"/>
              </w:rPr>
              <w:t>1</w:t>
            </w:r>
          </w:p>
        </w:tc>
        <w:tc>
          <w:tcPr>
            <w:tcW w:w="3690" w:type="dxa"/>
            <w:tcBorders>
              <w:top w:val="single" w:sz="4" w:space="0" w:color="auto"/>
              <w:left w:val="single" w:sz="4" w:space="0" w:color="auto"/>
              <w:bottom w:val="single" w:sz="4" w:space="0" w:color="auto"/>
              <w:right w:val="single" w:sz="4" w:space="0" w:color="auto"/>
            </w:tcBorders>
            <w:shd w:val="clear" w:color="auto" w:fill="D9D9D9"/>
            <w:vAlign w:val="center"/>
          </w:tcPr>
          <w:p w:rsidR="004D5B16" w:rsidRDefault="004D5B16" w:rsidP="004D5B16">
            <w:pPr>
              <w:tabs>
                <w:tab w:val="left" w:pos="244"/>
              </w:tabs>
              <w:spacing w:before="60" w:after="60" w:line="360" w:lineRule="auto"/>
              <w:rPr>
                <w:rFonts w:cs="Arial"/>
                <w:sz w:val="20"/>
                <w:szCs w:val="20"/>
              </w:rPr>
            </w:pPr>
            <w:r w:rsidRPr="007A6934">
              <w:rPr>
                <w:rFonts w:cs="Arial"/>
                <w:sz w:val="20"/>
                <w:szCs w:val="20"/>
              </w:rPr>
              <w:t>Introdução à Aula</w:t>
            </w:r>
          </w:p>
          <w:p w:rsidR="004D5B16" w:rsidRPr="007A6934" w:rsidRDefault="004D5B16" w:rsidP="004D5B16">
            <w:pPr>
              <w:tabs>
                <w:tab w:val="left" w:pos="244"/>
              </w:tabs>
              <w:spacing w:before="60" w:after="60" w:line="360" w:lineRule="auto"/>
              <w:rPr>
                <w:rFonts w:cs="Arial"/>
                <w:sz w:val="20"/>
                <w:szCs w:val="20"/>
              </w:rPr>
            </w:pPr>
          </w:p>
        </w:tc>
        <w:tc>
          <w:tcPr>
            <w:tcW w:w="3150" w:type="dxa"/>
            <w:tcBorders>
              <w:top w:val="single" w:sz="4" w:space="0" w:color="auto"/>
              <w:left w:val="single" w:sz="4" w:space="0" w:color="auto"/>
              <w:bottom w:val="single" w:sz="4" w:space="0" w:color="auto"/>
              <w:right w:val="single" w:sz="4" w:space="0" w:color="auto"/>
            </w:tcBorders>
            <w:shd w:val="clear" w:color="auto" w:fill="D9D9D9"/>
          </w:tcPr>
          <w:p w:rsidR="004D5B16" w:rsidRPr="007A6934" w:rsidRDefault="004D5B16" w:rsidP="004D5B16">
            <w:pPr>
              <w:tabs>
                <w:tab w:val="left" w:pos="244"/>
              </w:tabs>
              <w:spacing w:before="60" w:after="60" w:line="360" w:lineRule="auto"/>
              <w:rPr>
                <w:rFonts w:cs="Arial"/>
                <w:sz w:val="20"/>
                <w:szCs w:val="20"/>
              </w:rPr>
            </w:pPr>
          </w:p>
        </w:tc>
        <w:tc>
          <w:tcPr>
            <w:tcW w:w="2610" w:type="dxa"/>
            <w:tcBorders>
              <w:top w:val="single" w:sz="4" w:space="0" w:color="auto"/>
              <w:left w:val="single" w:sz="4" w:space="0" w:color="auto"/>
              <w:bottom w:val="single" w:sz="4" w:space="0" w:color="auto"/>
            </w:tcBorders>
            <w:shd w:val="clear" w:color="auto" w:fill="D9D9D9"/>
          </w:tcPr>
          <w:p w:rsidR="004D5B16" w:rsidRPr="007A6934" w:rsidRDefault="004D5B16" w:rsidP="004D5B16">
            <w:pPr>
              <w:tabs>
                <w:tab w:val="left" w:pos="244"/>
              </w:tabs>
              <w:spacing w:before="60" w:after="60" w:line="360" w:lineRule="auto"/>
              <w:jc w:val="right"/>
              <w:rPr>
                <w:rFonts w:cs="Arial"/>
                <w:sz w:val="20"/>
                <w:szCs w:val="20"/>
              </w:rPr>
            </w:pPr>
          </w:p>
        </w:tc>
      </w:tr>
      <w:tr w:rsidR="004D5B16" w:rsidRPr="007A6934" w:rsidTr="00FC6E81">
        <w:tc>
          <w:tcPr>
            <w:tcW w:w="738" w:type="dxa"/>
            <w:tcBorders>
              <w:top w:val="single" w:sz="4" w:space="0" w:color="auto"/>
              <w:bottom w:val="single" w:sz="4" w:space="0" w:color="auto"/>
              <w:right w:val="single" w:sz="4" w:space="0" w:color="auto"/>
            </w:tcBorders>
          </w:tcPr>
          <w:p w:rsidR="004D5B16" w:rsidRPr="007A6934" w:rsidRDefault="004D5B16" w:rsidP="004D5B16">
            <w:pPr>
              <w:spacing w:before="60" w:after="60" w:line="360" w:lineRule="auto"/>
              <w:ind w:left="-110" w:right="-108"/>
              <w:jc w:val="center"/>
              <w:rPr>
                <w:rFonts w:cs="Arial"/>
                <w:sz w:val="20"/>
                <w:szCs w:val="20"/>
              </w:rPr>
            </w:pPr>
            <w:r>
              <w:rPr>
                <w:rFonts w:cs="Arial"/>
                <w:sz w:val="20"/>
                <w:szCs w:val="20"/>
              </w:rPr>
              <w:t>2</w:t>
            </w:r>
          </w:p>
        </w:tc>
        <w:tc>
          <w:tcPr>
            <w:tcW w:w="3690" w:type="dxa"/>
            <w:tcBorders>
              <w:top w:val="single" w:sz="4" w:space="0" w:color="auto"/>
              <w:left w:val="single" w:sz="4" w:space="0" w:color="auto"/>
              <w:bottom w:val="single" w:sz="4" w:space="0" w:color="auto"/>
              <w:right w:val="single" w:sz="4" w:space="0" w:color="auto"/>
            </w:tcBorders>
            <w:vAlign w:val="center"/>
          </w:tcPr>
          <w:p w:rsidR="004D5B16" w:rsidRDefault="004D5B16" w:rsidP="004D5B16">
            <w:pPr>
              <w:tabs>
                <w:tab w:val="left" w:pos="244"/>
              </w:tabs>
              <w:spacing w:before="60" w:after="60" w:line="360" w:lineRule="auto"/>
              <w:rPr>
                <w:rFonts w:cs="Arial"/>
                <w:sz w:val="20"/>
                <w:szCs w:val="20"/>
              </w:rPr>
            </w:pPr>
            <w:r w:rsidRPr="007A6934">
              <w:rPr>
                <w:rFonts w:cs="Arial"/>
                <w:sz w:val="20"/>
                <w:szCs w:val="20"/>
              </w:rPr>
              <w:t>Biomoléculas</w:t>
            </w:r>
          </w:p>
          <w:p w:rsidR="004D5B16" w:rsidRPr="007A6934" w:rsidRDefault="004D5B16" w:rsidP="004D5B16">
            <w:pPr>
              <w:tabs>
                <w:tab w:val="left" w:pos="244"/>
              </w:tabs>
              <w:spacing w:before="60" w:after="60" w:line="360" w:lineRule="auto"/>
              <w:rPr>
                <w:rFonts w:cs="Arial"/>
                <w:sz w:val="20"/>
                <w:szCs w:val="20"/>
              </w:rPr>
            </w:pPr>
          </w:p>
        </w:tc>
        <w:tc>
          <w:tcPr>
            <w:tcW w:w="3150" w:type="dxa"/>
            <w:tcBorders>
              <w:top w:val="single" w:sz="4" w:space="0" w:color="auto"/>
              <w:left w:val="single" w:sz="4" w:space="0" w:color="auto"/>
              <w:bottom w:val="single" w:sz="4" w:space="0" w:color="auto"/>
              <w:right w:val="single" w:sz="4" w:space="0" w:color="auto"/>
            </w:tcBorders>
          </w:tcPr>
          <w:p w:rsidR="004D5B16" w:rsidRPr="007A6934" w:rsidRDefault="004D5B16" w:rsidP="004D5B16">
            <w:pPr>
              <w:spacing w:before="60" w:after="60" w:line="360" w:lineRule="auto"/>
              <w:ind w:left="-18" w:firstLine="18"/>
              <w:rPr>
                <w:rFonts w:cs="Arial"/>
                <w:sz w:val="20"/>
                <w:szCs w:val="20"/>
              </w:rPr>
            </w:pPr>
          </w:p>
        </w:tc>
        <w:tc>
          <w:tcPr>
            <w:tcW w:w="2610" w:type="dxa"/>
            <w:tcBorders>
              <w:top w:val="single" w:sz="4" w:space="0" w:color="auto"/>
              <w:left w:val="single" w:sz="4" w:space="0" w:color="auto"/>
              <w:bottom w:val="single" w:sz="4" w:space="0" w:color="auto"/>
            </w:tcBorders>
          </w:tcPr>
          <w:p w:rsidR="004D5B16" w:rsidRPr="007A6934" w:rsidRDefault="004D5B16" w:rsidP="004D5B16">
            <w:pPr>
              <w:spacing w:before="60" w:after="60" w:line="360" w:lineRule="auto"/>
              <w:ind w:left="-18" w:firstLine="18"/>
              <w:jc w:val="right"/>
              <w:rPr>
                <w:rFonts w:cs="Arial"/>
                <w:sz w:val="20"/>
                <w:szCs w:val="20"/>
              </w:rPr>
            </w:pPr>
          </w:p>
        </w:tc>
      </w:tr>
      <w:tr w:rsidR="004D5B16" w:rsidRPr="00FC6E81" w:rsidTr="00FC6E81">
        <w:tc>
          <w:tcPr>
            <w:tcW w:w="738" w:type="dxa"/>
            <w:tcBorders>
              <w:top w:val="single" w:sz="4" w:space="0" w:color="auto"/>
              <w:bottom w:val="single" w:sz="4" w:space="0" w:color="auto"/>
              <w:right w:val="single" w:sz="4" w:space="0" w:color="auto"/>
            </w:tcBorders>
            <w:shd w:val="clear" w:color="auto" w:fill="D9D9D9"/>
          </w:tcPr>
          <w:p w:rsidR="004D5B16" w:rsidRPr="007A6934" w:rsidRDefault="004D5B16" w:rsidP="004D5B16">
            <w:pPr>
              <w:spacing w:before="60" w:after="60" w:line="360" w:lineRule="auto"/>
              <w:ind w:left="-110" w:right="-108"/>
              <w:jc w:val="center"/>
              <w:rPr>
                <w:rFonts w:cs="Arial"/>
                <w:sz w:val="20"/>
                <w:szCs w:val="20"/>
              </w:rPr>
            </w:pPr>
            <w:r>
              <w:rPr>
                <w:rFonts w:cs="Arial"/>
                <w:sz w:val="20"/>
                <w:szCs w:val="20"/>
              </w:rPr>
              <w:t>3</w:t>
            </w:r>
          </w:p>
        </w:tc>
        <w:tc>
          <w:tcPr>
            <w:tcW w:w="3690" w:type="dxa"/>
            <w:tcBorders>
              <w:top w:val="single" w:sz="4" w:space="0" w:color="auto"/>
              <w:left w:val="single" w:sz="4" w:space="0" w:color="auto"/>
              <w:bottom w:val="single" w:sz="4" w:space="0" w:color="auto"/>
              <w:right w:val="single" w:sz="4" w:space="0" w:color="auto"/>
            </w:tcBorders>
            <w:shd w:val="clear" w:color="auto" w:fill="D9D9D9"/>
            <w:vAlign w:val="center"/>
          </w:tcPr>
          <w:p w:rsidR="004D5B16" w:rsidRPr="004D5B16" w:rsidRDefault="004D5B16" w:rsidP="004D5B16">
            <w:pPr>
              <w:tabs>
                <w:tab w:val="left" w:pos="244"/>
              </w:tabs>
              <w:spacing w:before="60" w:after="60" w:line="360" w:lineRule="auto"/>
              <w:rPr>
                <w:rFonts w:cs="Arial"/>
                <w:sz w:val="20"/>
                <w:szCs w:val="20"/>
                <w:lang w:val="pt-BR"/>
              </w:rPr>
            </w:pPr>
            <w:r w:rsidRPr="004D5B16">
              <w:rPr>
                <w:rFonts w:cs="Arial"/>
                <w:sz w:val="20"/>
                <w:szCs w:val="20"/>
                <w:lang w:val="pt-BR"/>
              </w:rPr>
              <w:t>Carboidratos: Definição, Classificação</w:t>
            </w:r>
          </w:p>
          <w:p w:rsidR="004D5B16" w:rsidRPr="004D5B16" w:rsidRDefault="004D5B16" w:rsidP="004D5B16">
            <w:pPr>
              <w:tabs>
                <w:tab w:val="left" w:pos="244"/>
              </w:tabs>
              <w:spacing w:before="60" w:after="60" w:line="360" w:lineRule="auto"/>
              <w:rPr>
                <w:rFonts w:cs="Arial"/>
                <w:i/>
                <w:iCs/>
                <w:sz w:val="20"/>
                <w:szCs w:val="20"/>
                <w:lang w:val="pt-BR"/>
              </w:rPr>
            </w:pPr>
            <w:r w:rsidRPr="004D5B16">
              <w:rPr>
                <w:rFonts w:cs="Arial"/>
                <w:sz w:val="20"/>
                <w:szCs w:val="20"/>
                <w:lang w:val="pt-BR"/>
              </w:rPr>
              <w:t xml:space="preserve"> e Funções</w:t>
            </w:r>
          </w:p>
        </w:tc>
        <w:tc>
          <w:tcPr>
            <w:tcW w:w="3150" w:type="dxa"/>
            <w:tcBorders>
              <w:top w:val="single" w:sz="4" w:space="0" w:color="auto"/>
              <w:left w:val="single" w:sz="4" w:space="0" w:color="auto"/>
              <w:bottom w:val="single" w:sz="4" w:space="0" w:color="auto"/>
              <w:right w:val="single" w:sz="4" w:space="0" w:color="auto"/>
            </w:tcBorders>
            <w:shd w:val="clear" w:color="auto" w:fill="D9D9D9"/>
          </w:tcPr>
          <w:p w:rsidR="004D5B16" w:rsidRPr="004D5B16" w:rsidRDefault="004D5B16" w:rsidP="004D5B16">
            <w:pPr>
              <w:spacing w:before="60" w:after="60" w:line="360" w:lineRule="auto"/>
              <w:ind w:left="-18" w:firstLine="18"/>
              <w:rPr>
                <w:rFonts w:cs="Arial"/>
                <w:sz w:val="20"/>
                <w:szCs w:val="20"/>
                <w:lang w:val="pt-BR"/>
              </w:rPr>
            </w:pPr>
          </w:p>
        </w:tc>
        <w:tc>
          <w:tcPr>
            <w:tcW w:w="2610" w:type="dxa"/>
            <w:tcBorders>
              <w:top w:val="single" w:sz="4" w:space="0" w:color="auto"/>
              <w:left w:val="single" w:sz="4" w:space="0" w:color="auto"/>
              <w:bottom w:val="single" w:sz="4" w:space="0" w:color="auto"/>
            </w:tcBorders>
            <w:shd w:val="clear" w:color="auto" w:fill="D9D9D9"/>
          </w:tcPr>
          <w:p w:rsidR="004D5B16" w:rsidRPr="004D5B16" w:rsidRDefault="004D5B16" w:rsidP="004D5B16">
            <w:pPr>
              <w:spacing w:before="60" w:after="60" w:line="360" w:lineRule="auto"/>
              <w:ind w:left="-18" w:firstLine="18"/>
              <w:jc w:val="right"/>
              <w:rPr>
                <w:rFonts w:cs="Arial"/>
                <w:sz w:val="20"/>
                <w:szCs w:val="20"/>
                <w:lang w:val="pt-BR"/>
              </w:rPr>
            </w:pPr>
          </w:p>
        </w:tc>
      </w:tr>
      <w:tr w:rsidR="004D5B16" w:rsidRPr="00FC6E81" w:rsidTr="00FC6E81">
        <w:tc>
          <w:tcPr>
            <w:tcW w:w="738" w:type="dxa"/>
            <w:tcBorders>
              <w:top w:val="single" w:sz="4" w:space="0" w:color="auto"/>
              <w:bottom w:val="single" w:sz="4" w:space="0" w:color="auto"/>
              <w:right w:val="single" w:sz="4" w:space="0" w:color="auto"/>
            </w:tcBorders>
          </w:tcPr>
          <w:p w:rsidR="004D5B16" w:rsidRPr="007A6934" w:rsidRDefault="004D5B16" w:rsidP="004D5B16">
            <w:pPr>
              <w:spacing w:before="60" w:after="60" w:line="360" w:lineRule="auto"/>
              <w:ind w:left="-110" w:right="-108"/>
              <w:jc w:val="center"/>
              <w:rPr>
                <w:rFonts w:cs="Arial"/>
                <w:sz w:val="20"/>
                <w:szCs w:val="20"/>
              </w:rPr>
            </w:pPr>
            <w:r>
              <w:rPr>
                <w:rFonts w:cs="Arial"/>
                <w:sz w:val="20"/>
                <w:szCs w:val="20"/>
              </w:rPr>
              <w:t>4</w:t>
            </w:r>
          </w:p>
        </w:tc>
        <w:tc>
          <w:tcPr>
            <w:tcW w:w="3690" w:type="dxa"/>
            <w:tcBorders>
              <w:top w:val="single" w:sz="4" w:space="0" w:color="auto"/>
              <w:left w:val="single" w:sz="4" w:space="0" w:color="auto"/>
              <w:bottom w:val="single" w:sz="4" w:space="0" w:color="auto"/>
              <w:right w:val="single" w:sz="4" w:space="0" w:color="auto"/>
            </w:tcBorders>
            <w:vAlign w:val="center"/>
          </w:tcPr>
          <w:p w:rsidR="004D5B16" w:rsidRPr="004D5B16" w:rsidRDefault="004D5B16" w:rsidP="004D5B16">
            <w:pPr>
              <w:tabs>
                <w:tab w:val="left" w:pos="244"/>
              </w:tabs>
              <w:spacing w:before="60" w:after="60" w:line="360" w:lineRule="auto"/>
              <w:rPr>
                <w:rFonts w:cs="Arial"/>
                <w:sz w:val="20"/>
                <w:szCs w:val="20"/>
                <w:lang w:val="pt-BR"/>
              </w:rPr>
            </w:pPr>
            <w:r w:rsidRPr="004D5B16">
              <w:rPr>
                <w:rFonts w:cs="Arial"/>
                <w:sz w:val="20"/>
                <w:szCs w:val="20"/>
                <w:lang w:val="pt-BR"/>
              </w:rPr>
              <w:t xml:space="preserve">Lípidos: Definição, Classificação e </w:t>
            </w:r>
          </w:p>
          <w:p w:rsidR="004D5B16" w:rsidRPr="004D5B16" w:rsidRDefault="004D5B16" w:rsidP="004D5B16">
            <w:pPr>
              <w:tabs>
                <w:tab w:val="left" w:pos="244"/>
              </w:tabs>
              <w:spacing w:before="60" w:after="60" w:line="360" w:lineRule="auto"/>
              <w:rPr>
                <w:rFonts w:cs="Arial"/>
                <w:i/>
                <w:iCs/>
                <w:sz w:val="20"/>
                <w:szCs w:val="20"/>
                <w:lang w:val="pt-BR"/>
              </w:rPr>
            </w:pPr>
            <w:r w:rsidRPr="004D5B16">
              <w:rPr>
                <w:rFonts w:cs="Arial"/>
                <w:sz w:val="20"/>
                <w:szCs w:val="20"/>
                <w:lang w:val="pt-BR"/>
              </w:rPr>
              <w:t>Funções</w:t>
            </w:r>
          </w:p>
        </w:tc>
        <w:tc>
          <w:tcPr>
            <w:tcW w:w="3150" w:type="dxa"/>
            <w:tcBorders>
              <w:top w:val="single" w:sz="4" w:space="0" w:color="auto"/>
              <w:left w:val="single" w:sz="4" w:space="0" w:color="auto"/>
              <w:bottom w:val="single" w:sz="4" w:space="0" w:color="auto"/>
              <w:right w:val="single" w:sz="4" w:space="0" w:color="auto"/>
            </w:tcBorders>
          </w:tcPr>
          <w:p w:rsidR="004D5B16" w:rsidRPr="004D5B16" w:rsidRDefault="004D5B16" w:rsidP="004D5B16">
            <w:pPr>
              <w:spacing w:before="60" w:after="60" w:line="360" w:lineRule="auto"/>
              <w:ind w:left="-18" w:firstLine="18"/>
              <w:rPr>
                <w:rFonts w:cs="Arial"/>
                <w:sz w:val="20"/>
                <w:szCs w:val="20"/>
                <w:lang w:val="pt-BR"/>
              </w:rPr>
            </w:pPr>
          </w:p>
        </w:tc>
        <w:tc>
          <w:tcPr>
            <w:tcW w:w="2610" w:type="dxa"/>
            <w:tcBorders>
              <w:top w:val="single" w:sz="4" w:space="0" w:color="auto"/>
              <w:left w:val="single" w:sz="4" w:space="0" w:color="auto"/>
              <w:bottom w:val="single" w:sz="4" w:space="0" w:color="auto"/>
            </w:tcBorders>
          </w:tcPr>
          <w:p w:rsidR="004D5B16" w:rsidRPr="004D5B16" w:rsidRDefault="004D5B16" w:rsidP="004D5B16">
            <w:pPr>
              <w:spacing w:before="60" w:after="60" w:line="360" w:lineRule="auto"/>
              <w:ind w:left="-18" w:firstLine="18"/>
              <w:jc w:val="right"/>
              <w:rPr>
                <w:rFonts w:cs="Arial"/>
                <w:sz w:val="20"/>
                <w:szCs w:val="20"/>
                <w:lang w:val="pt-BR"/>
              </w:rPr>
            </w:pPr>
          </w:p>
        </w:tc>
      </w:tr>
      <w:tr w:rsidR="004D5B16" w:rsidRPr="00FC6E81" w:rsidTr="00FC6E81">
        <w:tc>
          <w:tcPr>
            <w:tcW w:w="738" w:type="dxa"/>
            <w:tcBorders>
              <w:top w:val="single" w:sz="4" w:space="0" w:color="auto"/>
              <w:bottom w:val="single" w:sz="4" w:space="0" w:color="auto"/>
              <w:right w:val="single" w:sz="4" w:space="0" w:color="auto"/>
            </w:tcBorders>
            <w:shd w:val="clear" w:color="auto" w:fill="D9D9D9" w:themeFill="background1" w:themeFillShade="D9"/>
          </w:tcPr>
          <w:p w:rsidR="004D5B16" w:rsidRPr="007A6934" w:rsidRDefault="004D5B16" w:rsidP="004D5B16">
            <w:pPr>
              <w:spacing w:before="60" w:after="60" w:line="360" w:lineRule="auto"/>
              <w:ind w:left="-110" w:right="-108"/>
              <w:jc w:val="center"/>
              <w:rPr>
                <w:rFonts w:cs="Arial"/>
                <w:sz w:val="20"/>
                <w:szCs w:val="20"/>
              </w:rPr>
            </w:pPr>
            <w:r>
              <w:rPr>
                <w:rFonts w:cs="Arial"/>
                <w:sz w:val="20"/>
                <w:szCs w:val="20"/>
              </w:rPr>
              <w:t>5</w:t>
            </w:r>
          </w:p>
        </w:tc>
        <w:tc>
          <w:tcPr>
            <w:tcW w:w="36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B16" w:rsidRPr="004D5B16" w:rsidRDefault="004D5B16" w:rsidP="004D5B16">
            <w:pPr>
              <w:tabs>
                <w:tab w:val="left" w:pos="244"/>
              </w:tabs>
              <w:spacing w:before="60" w:after="60" w:line="360" w:lineRule="auto"/>
              <w:rPr>
                <w:rFonts w:cs="Arial"/>
                <w:sz w:val="20"/>
                <w:szCs w:val="20"/>
                <w:lang w:val="pt-BR"/>
              </w:rPr>
            </w:pPr>
            <w:r w:rsidRPr="004D5B16">
              <w:rPr>
                <w:rFonts w:cs="Arial"/>
                <w:sz w:val="20"/>
                <w:szCs w:val="20"/>
                <w:lang w:val="pt-BR"/>
              </w:rPr>
              <w:t xml:space="preserve">Proteínas: Definição, </w:t>
            </w:r>
          </w:p>
          <w:p w:rsidR="004D5B16" w:rsidRPr="004D5B16" w:rsidRDefault="004D5B16" w:rsidP="004D5B16">
            <w:pPr>
              <w:tabs>
                <w:tab w:val="left" w:pos="244"/>
              </w:tabs>
              <w:spacing w:before="60" w:after="60" w:line="360" w:lineRule="auto"/>
              <w:rPr>
                <w:rFonts w:cs="Arial"/>
                <w:i/>
                <w:iCs/>
                <w:sz w:val="20"/>
                <w:szCs w:val="20"/>
                <w:lang w:val="pt-BR"/>
              </w:rPr>
            </w:pPr>
            <w:r w:rsidRPr="004D5B16">
              <w:rPr>
                <w:rFonts w:cs="Arial"/>
                <w:sz w:val="20"/>
                <w:szCs w:val="20"/>
                <w:lang w:val="pt-BR"/>
              </w:rPr>
              <w:t>Classificação e Funções</w:t>
            </w:r>
          </w:p>
        </w:tc>
        <w:tc>
          <w:tcPr>
            <w:tcW w:w="315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4D5B16" w:rsidRPr="004D5B16" w:rsidRDefault="004D5B16" w:rsidP="004D5B16">
            <w:pPr>
              <w:spacing w:before="60" w:after="60" w:line="360" w:lineRule="auto"/>
              <w:ind w:left="-18" w:firstLine="18"/>
              <w:rPr>
                <w:rFonts w:cs="Arial"/>
                <w:sz w:val="20"/>
                <w:szCs w:val="20"/>
                <w:lang w:val="pt-BR"/>
              </w:rPr>
            </w:pPr>
          </w:p>
        </w:tc>
        <w:tc>
          <w:tcPr>
            <w:tcW w:w="2610" w:type="dxa"/>
            <w:tcBorders>
              <w:top w:val="single" w:sz="4" w:space="0" w:color="auto"/>
              <w:left w:val="single" w:sz="4" w:space="0" w:color="auto"/>
              <w:bottom w:val="single" w:sz="4" w:space="0" w:color="auto"/>
            </w:tcBorders>
            <w:shd w:val="clear" w:color="auto" w:fill="D9D9D9" w:themeFill="background1" w:themeFillShade="D9"/>
          </w:tcPr>
          <w:p w:rsidR="004D5B16" w:rsidRPr="004D5B16" w:rsidRDefault="004D5B16" w:rsidP="004D5B16">
            <w:pPr>
              <w:spacing w:before="60" w:after="60" w:line="360" w:lineRule="auto"/>
              <w:ind w:left="-18" w:firstLine="18"/>
              <w:jc w:val="right"/>
              <w:rPr>
                <w:rFonts w:cs="Arial"/>
                <w:sz w:val="20"/>
                <w:szCs w:val="20"/>
                <w:lang w:val="pt-BR"/>
              </w:rPr>
            </w:pPr>
          </w:p>
        </w:tc>
      </w:tr>
      <w:tr w:rsidR="004D5B16" w:rsidRPr="007A6934" w:rsidTr="00FC6E81">
        <w:tc>
          <w:tcPr>
            <w:tcW w:w="738" w:type="dxa"/>
            <w:tcBorders>
              <w:top w:val="single" w:sz="4" w:space="0" w:color="auto"/>
              <w:bottom w:val="single" w:sz="18" w:space="0" w:color="auto"/>
              <w:right w:val="single" w:sz="4" w:space="0" w:color="auto"/>
            </w:tcBorders>
            <w:shd w:val="clear" w:color="auto" w:fill="FFFFFF" w:themeFill="background1"/>
          </w:tcPr>
          <w:p w:rsidR="004D5B16" w:rsidRPr="007A6934" w:rsidRDefault="004D5B16" w:rsidP="004D5B16">
            <w:pPr>
              <w:spacing w:before="60" w:after="60" w:line="360" w:lineRule="auto"/>
              <w:ind w:left="-110" w:right="-108"/>
              <w:jc w:val="center"/>
              <w:rPr>
                <w:rFonts w:cs="Arial"/>
                <w:sz w:val="20"/>
                <w:szCs w:val="20"/>
              </w:rPr>
            </w:pPr>
            <w:r>
              <w:rPr>
                <w:rFonts w:cs="Arial"/>
                <w:sz w:val="20"/>
                <w:szCs w:val="20"/>
              </w:rPr>
              <w:t>6</w:t>
            </w:r>
          </w:p>
        </w:tc>
        <w:tc>
          <w:tcPr>
            <w:tcW w:w="3690" w:type="dxa"/>
            <w:tcBorders>
              <w:top w:val="single" w:sz="4" w:space="0" w:color="auto"/>
              <w:left w:val="single" w:sz="4" w:space="0" w:color="auto"/>
              <w:bottom w:val="single" w:sz="18" w:space="0" w:color="auto"/>
              <w:right w:val="single" w:sz="4" w:space="0" w:color="auto"/>
            </w:tcBorders>
            <w:shd w:val="clear" w:color="auto" w:fill="FFFFFF" w:themeFill="background1"/>
            <w:vAlign w:val="center"/>
          </w:tcPr>
          <w:p w:rsidR="004D5B16" w:rsidRDefault="004D5B16" w:rsidP="004D5B16">
            <w:pPr>
              <w:tabs>
                <w:tab w:val="left" w:pos="244"/>
              </w:tabs>
              <w:spacing w:before="60" w:after="60" w:line="360" w:lineRule="auto"/>
              <w:rPr>
                <w:rFonts w:cs="Arial"/>
                <w:sz w:val="20"/>
                <w:szCs w:val="20"/>
              </w:rPr>
            </w:pPr>
            <w:r w:rsidRPr="007A6934">
              <w:rPr>
                <w:rFonts w:cs="Arial"/>
                <w:sz w:val="20"/>
                <w:szCs w:val="20"/>
              </w:rPr>
              <w:t>Pontos-chave</w:t>
            </w:r>
          </w:p>
          <w:p w:rsidR="004D5B16" w:rsidRPr="007A6934" w:rsidRDefault="004D5B16" w:rsidP="004D5B16">
            <w:pPr>
              <w:tabs>
                <w:tab w:val="left" w:pos="244"/>
              </w:tabs>
              <w:spacing w:before="60" w:after="60" w:line="360" w:lineRule="auto"/>
              <w:rPr>
                <w:rFonts w:cs="Arial"/>
                <w:i/>
                <w:iCs/>
                <w:sz w:val="20"/>
                <w:szCs w:val="20"/>
              </w:rPr>
            </w:pPr>
          </w:p>
        </w:tc>
        <w:tc>
          <w:tcPr>
            <w:tcW w:w="3150" w:type="dxa"/>
            <w:tcBorders>
              <w:top w:val="single" w:sz="4" w:space="0" w:color="auto"/>
              <w:left w:val="single" w:sz="4" w:space="0" w:color="auto"/>
              <w:bottom w:val="single" w:sz="18" w:space="0" w:color="auto"/>
              <w:right w:val="single" w:sz="4" w:space="0" w:color="auto"/>
            </w:tcBorders>
            <w:shd w:val="clear" w:color="auto" w:fill="FFFFFF" w:themeFill="background1"/>
          </w:tcPr>
          <w:p w:rsidR="004D5B16" w:rsidRPr="007A6934" w:rsidRDefault="004D5B16" w:rsidP="004D5B16">
            <w:pPr>
              <w:spacing w:before="60" w:after="60" w:line="360" w:lineRule="auto"/>
              <w:ind w:left="-18" w:firstLine="18"/>
              <w:rPr>
                <w:rFonts w:cs="Arial"/>
                <w:sz w:val="20"/>
                <w:szCs w:val="20"/>
              </w:rPr>
            </w:pPr>
          </w:p>
        </w:tc>
        <w:tc>
          <w:tcPr>
            <w:tcW w:w="2610" w:type="dxa"/>
            <w:tcBorders>
              <w:top w:val="single" w:sz="4" w:space="0" w:color="auto"/>
              <w:left w:val="single" w:sz="4" w:space="0" w:color="auto"/>
              <w:bottom w:val="single" w:sz="18" w:space="0" w:color="auto"/>
            </w:tcBorders>
            <w:shd w:val="clear" w:color="auto" w:fill="FFFFFF" w:themeFill="background1"/>
          </w:tcPr>
          <w:p w:rsidR="004D5B16" w:rsidRPr="007A6934" w:rsidRDefault="004D5B16" w:rsidP="004D5B16">
            <w:pPr>
              <w:spacing w:before="60" w:after="60" w:line="360" w:lineRule="auto"/>
              <w:ind w:left="-18" w:firstLine="18"/>
              <w:jc w:val="right"/>
              <w:rPr>
                <w:rFonts w:cs="Arial"/>
                <w:sz w:val="20"/>
                <w:szCs w:val="20"/>
              </w:rPr>
            </w:pPr>
          </w:p>
        </w:tc>
      </w:tr>
    </w:tbl>
    <w:p w:rsidR="005630DE" w:rsidRDefault="005630DE" w:rsidP="004D5B16">
      <w:pPr>
        <w:tabs>
          <w:tab w:val="left" w:pos="424"/>
        </w:tabs>
        <w:jc w:val="both"/>
        <w:rPr>
          <w:rFonts w:cs="Arial"/>
          <w:b/>
          <w:lang w:val="pt-BR"/>
        </w:rPr>
      </w:pPr>
    </w:p>
    <w:p w:rsidR="005630DE" w:rsidRDefault="005630DE">
      <w:pPr>
        <w:rPr>
          <w:rFonts w:cs="Arial"/>
          <w:b/>
          <w:lang w:val="pt-BR"/>
        </w:rPr>
      </w:pPr>
      <w:r>
        <w:rPr>
          <w:rFonts w:cs="Arial"/>
          <w:b/>
          <w:lang w:val="pt-BR"/>
        </w:rPr>
        <w:br w:type="page"/>
      </w:r>
    </w:p>
    <w:p w:rsidR="004D5B16" w:rsidRPr="00D67BAC" w:rsidRDefault="004D5B16" w:rsidP="004D5B16">
      <w:pPr>
        <w:tabs>
          <w:tab w:val="left" w:pos="424"/>
        </w:tabs>
        <w:jc w:val="both"/>
        <w:rPr>
          <w:rFonts w:cs="Arial"/>
          <w:b/>
          <w:lang w:val="pt-BR"/>
        </w:rPr>
      </w:pPr>
      <w:r w:rsidRPr="00D67BAC">
        <w:rPr>
          <w:rFonts w:cs="Arial"/>
          <w:b/>
          <w:lang w:val="pt-BR"/>
        </w:rPr>
        <w:lastRenderedPageBreak/>
        <w:t>Equipamentos e meios audiovisuais necessários:</w:t>
      </w:r>
    </w:p>
    <w:p w:rsidR="004D5B16" w:rsidRDefault="004D5B16" w:rsidP="004D5B16">
      <w:pPr>
        <w:tabs>
          <w:tab w:val="left" w:pos="424"/>
        </w:tabs>
        <w:jc w:val="both"/>
        <w:rPr>
          <w:rFonts w:cs="Arial"/>
          <w:lang w:val="pt-BR"/>
        </w:rPr>
      </w:pPr>
    </w:p>
    <w:p w:rsidR="005630DE" w:rsidRDefault="005630DE" w:rsidP="004D5B16">
      <w:pPr>
        <w:tabs>
          <w:tab w:val="left" w:pos="424"/>
        </w:tabs>
        <w:jc w:val="both"/>
        <w:rPr>
          <w:rFonts w:cs="Arial"/>
          <w:lang w:val="pt-BR"/>
        </w:rPr>
      </w:pPr>
    </w:p>
    <w:p w:rsidR="005630DE" w:rsidRDefault="005630DE" w:rsidP="004D5B16">
      <w:pPr>
        <w:tabs>
          <w:tab w:val="left" w:pos="424"/>
        </w:tabs>
        <w:jc w:val="both"/>
        <w:rPr>
          <w:rFonts w:cs="Arial"/>
          <w:lang w:val="pt-BR"/>
        </w:rPr>
      </w:pPr>
    </w:p>
    <w:p w:rsidR="005630DE" w:rsidRDefault="005630DE" w:rsidP="004D5B16">
      <w:pPr>
        <w:tabs>
          <w:tab w:val="left" w:pos="424"/>
        </w:tabs>
        <w:jc w:val="both"/>
        <w:rPr>
          <w:rFonts w:cs="Arial"/>
          <w:lang w:val="pt-BR"/>
        </w:rPr>
      </w:pPr>
    </w:p>
    <w:p w:rsidR="005630DE" w:rsidRDefault="005630DE" w:rsidP="004D5B16">
      <w:pPr>
        <w:tabs>
          <w:tab w:val="left" w:pos="424"/>
        </w:tabs>
        <w:jc w:val="both"/>
        <w:rPr>
          <w:rFonts w:cs="Arial"/>
          <w:lang w:val="pt-BR"/>
        </w:rPr>
      </w:pPr>
    </w:p>
    <w:p w:rsidR="005630DE" w:rsidRDefault="005630DE" w:rsidP="004D5B16">
      <w:pPr>
        <w:tabs>
          <w:tab w:val="left" w:pos="424"/>
        </w:tabs>
        <w:jc w:val="both"/>
        <w:rPr>
          <w:rFonts w:cs="Arial"/>
          <w:lang w:val="pt-BR"/>
        </w:rPr>
      </w:pPr>
    </w:p>
    <w:p w:rsidR="005630DE" w:rsidRDefault="005630DE" w:rsidP="004D5B16">
      <w:pPr>
        <w:tabs>
          <w:tab w:val="left" w:pos="424"/>
        </w:tabs>
        <w:jc w:val="both"/>
        <w:rPr>
          <w:rFonts w:cs="Arial"/>
          <w:lang w:val="pt-BR"/>
        </w:rPr>
      </w:pPr>
    </w:p>
    <w:p w:rsidR="005630DE" w:rsidRPr="00D67BAC" w:rsidRDefault="005630DE" w:rsidP="004D5B16">
      <w:pPr>
        <w:tabs>
          <w:tab w:val="left" w:pos="424"/>
        </w:tabs>
        <w:jc w:val="both"/>
        <w:rPr>
          <w:rFonts w:cs="Arial"/>
          <w:lang w:val="pt-BR"/>
        </w:rPr>
      </w:pPr>
    </w:p>
    <w:p w:rsidR="004D5B16" w:rsidRPr="00D67BAC" w:rsidRDefault="004D5B16" w:rsidP="004D5B16">
      <w:pPr>
        <w:tabs>
          <w:tab w:val="left" w:pos="424"/>
        </w:tabs>
        <w:jc w:val="both"/>
        <w:rPr>
          <w:rFonts w:cs="Arial"/>
          <w:lang w:val="pt-BR"/>
        </w:rPr>
      </w:pPr>
      <w:r w:rsidRPr="00D67BAC">
        <w:rPr>
          <w:rFonts w:cs="Arial"/>
          <w:b/>
          <w:lang w:val="pt-BR"/>
        </w:rPr>
        <w:t>Trabalhos para casa (</w:t>
      </w:r>
      <w:smartTag w:uri="urn:schemas-microsoft-com:office:smarttags" w:element="stockticker">
        <w:r w:rsidRPr="00D67BAC">
          <w:rPr>
            <w:rFonts w:cs="Arial"/>
            <w:b/>
            <w:lang w:val="pt-BR"/>
          </w:rPr>
          <w:t>TPC</w:t>
        </w:r>
      </w:smartTag>
      <w:r w:rsidRPr="00D67BAC">
        <w:rPr>
          <w:rFonts w:cs="Arial"/>
          <w:b/>
          <w:lang w:val="pt-BR"/>
        </w:rPr>
        <w:t>), Exercícios e textos para leitura – incluir data a ser entregue:</w:t>
      </w:r>
      <w:r w:rsidRPr="00D67BAC">
        <w:rPr>
          <w:rFonts w:cs="Arial"/>
          <w:lang w:val="pt-BR"/>
        </w:rPr>
        <w:t xml:space="preserve"> </w:t>
      </w:r>
    </w:p>
    <w:p w:rsidR="004D5B16" w:rsidRPr="00D67BAC" w:rsidRDefault="004D5B16" w:rsidP="004D5B16">
      <w:pPr>
        <w:tabs>
          <w:tab w:val="left" w:pos="424"/>
        </w:tabs>
        <w:jc w:val="both"/>
        <w:rPr>
          <w:rFonts w:cs="Arial"/>
          <w:lang w:val="pt-BR"/>
        </w:rPr>
      </w:pPr>
    </w:p>
    <w:p w:rsidR="004D5B16" w:rsidRPr="00D67BAC" w:rsidRDefault="004D5B16" w:rsidP="004D5B16">
      <w:pPr>
        <w:tabs>
          <w:tab w:val="left" w:pos="424"/>
        </w:tabs>
        <w:jc w:val="both"/>
        <w:rPr>
          <w:rFonts w:cs="Arial"/>
          <w:lang w:val="pt-BR"/>
        </w:rPr>
      </w:pPr>
    </w:p>
    <w:p w:rsidR="004D5B16" w:rsidRDefault="004D5B16" w:rsidP="004D5B16">
      <w:pPr>
        <w:tabs>
          <w:tab w:val="left" w:pos="424"/>
        </w:tabs>
        <w:jc w:val="both"/>
        <w:rPr>
          <w:rFonts w:cs="Arial"/>
          <w:lang w:val="pt-BR"/>
        </w:rPr>
      </w:pPr>
    </w:p>
    <w:p w:rsidR="00ED3A9C" w:rsidRDefault="00ED3A9C" w:rsidP="004D5B16">
      <w:pPr>
        <w:tabs>
          <w:tab w:val="left" w:pos="424"/>
        </w:tabs>
        <w:jc w:val="both"/>
        <w:rPr>
          <w:rFonts w:cs="Arial"/>
          <w:lang w:val="pt-BR"/>
        </w:rPr>
      </w:pPr>
    </w:p>
    <w:p w:rsidR="00ED3A9C" w:rsidRDefault="00ED3A9C" w:rsidP="004D5B16">
      <w:pPr>
        <w:tabs>
          <w:tab w:val="left" w:pos="424"/>
        </w:tabs>
        <w:jc w:val="both"/>
        <w:rPr>
          <w:rFonts w:cs="Arial"/>
          <w:lang w:val="pt-BR"/>
        </w:rPr>
      </w:pPr>
    </w:p>
    <w:p w:rsidR="00ED3A9C" w:rsidRDefault="00ED3A9C" w:rsidP="004D5B16">
      <w:pPr>
        <w:tabs>
          <w:tab w:val="left" w:pos="424"/>
        </w:tabs>
        <w:jc w:val="both"/>
        <w:rPr>
          <w:rFonts w:cs="Arial"/>
          <w:lang w:val="pt-BR"/>
        </w:rPr>
      </w:pPr>
    </w:p>
    <w:p w:rsidR="00ED3A9C" w:rsidRDefault="00ED3A9C" w:rsidP="004D5B16">
      <w:pPr>
        <w:tabs>
          <w:tab w:val="left" w:pos="424"/>
        </w:tabs>
        <w:jc w:val="both"/>
        <w:rPr>
          <w:rFonts w:cs="Arial"/>
          <w:lang w:val="pt-BR"/>
        </w:rPr>
      </w:pPr>
    </w:p>
    <w:p w:rsidR="00ED3A9C" w:rsidRDefault="00ED3A9C" w:rsidP="004D5B16">
      <w:pPr>
        <w:tabs>
          <w:tab w:val="left" w:pos="424"/>
        </w:tabs>
        <w:jc w:val="both"/>
        <w:rPr>
          <w:rFonts w:cs="Arial"/>
          <w:lang w:val="pt-BR"/>
        </w:rPr>
      </w:pPr>
    </w:p>
    <w:p w:rsidR="00ED3A9C" w:rsidRDefault="00ED3A9C" w:rsidP="004D5B16">
      <w:pPr>
        <w:tabs>
          <w:tab w:val="left" w:pos="424"/>
        </w:tabs>
        <w:jc w:val="both"/>
        <w:rPr>
          <w:rFonts w:cs="Arial"/>
          <w:lang w:val="pt-BR"/>
        </w:rPr>
      </w:pPr>
    </w:p>
    <w:p w:rsidR="00ED3A9C" w:rsidRDefault="00ED3A9C" w:rsidP="004D5B16">
      <w:pPr>
        <w:tabs>
          <w:tab w:val="left" w:pos="424"/>
        </w:tabs>
        <w:jc w:val="both"/>
        <w:rPr>
          <w:rFonts w:cs="Arial"/>
          <w:lang w:val="pt-BR"/>
        </w:rPr>
      </w:pPr>
    </w:p>
    <w:p w:rsidR="00ED3A9C" w:rsidRDefault="00ED3A9C" w:rsidP="004D5B16">
      <w:pPr>
        <w:tabs>
          <w:tab w:val="left" w:pos="424"/>
        </w:tabs>
        <w:jc w:val="both"/>
        <w:rPr>
          <w:rFonts w:cs="Arial"/>
          <w:lang w:val="pt-BR"/>
        </w:rPr>
      </w:pPr>
    </w:p>
    <w:p w:rsidR="00ED3A9C" w:rsidRDefault="00ED3A9C" w:rsidP="004D5B16">
      <w:pPr>
        <w:tabs>
          <w:tab w:val="left" w:pos="424"/>
        </w:tabs>
        <w:jc w:val="both"/>
        <w:rPr>
          <w:rFonts w:cs="Arial"/>
          <w:lang w:val="pt-BR"/>
        </w:rPr>
      </w:pPr>
    </w:p>
    <w:p w:rsidR="00ED3A9C" w:rsidRDefault="00ED3A9C" w:rsidP="004D5B16">
      <w:pPr>
        <w:tabs>
          <w:tab w:val="left" w:pos="424"/>
        </w:tabs>
        <w:jc w:val="both"/>
        <w:rPr>
          <w:rFonts w:cs="Arial"/>
          <w:lang w:val="pt-BR"/>
        </w:rPr>
      </w:pPr>
    </w:p>
    <w:p w:rsidR="00ED3A9C" w:rsidRDefault="00ED3A9C" w:rsidP="004D5B16">
      <w:pPr>
        <w:tabs>
          <w:tab w:val="left" w:pos="424"/>
        </w:tabs>
        <w:jc w:val="both"/>
        <w:rPr>
          <w:rFonts w:cs="Arial"/>
          <w:lang w:val="pt-BR"/>
        </w:rPr>
      </w:pPr>
    </w:p>
    <w:p w:rsidR="00ED3A9C" w:rsidRDefault="00ED3A9C" w:rsidP="004D5B16">
      <w:pPr>
        <w:tabs>
          <w:tab w:val="left" w:pos="424"/>
        </w:tabs>
        <w:jc w:val="both"/>
        <w:rPr>
          <w:rFonts w:cs="Arial"/>
          <w:lang w:val="pt-BR"/>
        </w:rPr>
      </w:pPr>
    </w:p>
    <w:p w:rsidR="00ED3A9C" w:rsidRPr="00D67BAC" w:rsidRDefault="00ED3A9C" w:rsidP="004D5B16">
      <w:pPr>
        <w:tabs>
          <w:tab w:val="left" w:pos="424"/>
        </w:tabs>
        <w:jc w:val="both"/>
        <w:rPr>
          <w:rFonts w:cs="Arial"/>
          <w:lang w:val="pt-BR"/>
        </w:rPr>
      </w:pPr>
    </w:p>
    <w:p w:rsidR="004D5B16" w:rsidRPr="00D67BAC" w:rsidRDefault="004D5B16" w:rsidP="004D5B16">
      <w:pPr>
        <w:tabs>
          <w:tab w:val="left" w:pos="424"/>
        </w:tabs>
        <w:jc w:val="both"/>
        <w:rPr>
          <w:rFonts w:cs="Arial"/>
          <w:b/>
          <w:lang w:val="pt-BR"/>
        </w:rPr>
      </w:pPr>
      <w:r w:rsidRPr="00D67BAC">
        <w:rPr>
          <w:rFonts w:cs="Arial"/>
          <w:b/>
          <w:lang w:val="pt-BR"/>
        </w:rPr>
        <w:t>Bibliografia (referências usadas para o desenvolvimento do conteúdo):</w:t>
      </w:r>
    </w:p>
    <w:p w:rsidR="004D5B16" w:rsidRDefault="004D5B16" w:rsidP="004D5B16">
      <w:r w:rsidRPr="004D5B16">
        <w:rPr>
          <w:lang w:val="pt-BR"/>
        </w:rPr>
        <w:t xml:space="preserve">Nelson DL, Cox MM. Prinípios de bioquímica do Lehninger. </w:t>
      </w:r>
      <w:proofErr w:type="gramStart"/>
      <w:r>
        <w:t>4 edição.</w:t>
      </w:r>
      <w:proofErr w:type="gramEnd"/>
      <w:r>
        <w:t xml:space="preserve"> </w:t>
      </w:r>
      <w:proofErr w:type="gramStart"/>
      <w:r>
        <w:t>W.H. Freeman; 2004.</w:t>
      </w:r>
      <w:proofErr w:type="gramEnd"/>
      <w:r>
        <w:t xml:space="preserve"> </w:t>
      </w:r>
    </w:p>
    <w:p w:rsidR="004D5B16" w:rsidRPr="004D5B16" w:rsidRDefault="004D5B16" w:rsidP="004D5B16">
      <w:pPr>
        <w:rPr>
          <w:lang w:val="pt-BR"/>
        </w:rPr>
      </w:pPr>
      <w:r w:rsidRPr="00F47FAF">
        <w:t xml:space="preserve">Stryer L. Bioquímica. </w:t>
      </w:r>
      <w:r w:rsidRPr="004D5B16">
        <w:rPr>
          <w:lang w:val="pt-BR"/>
        </w:rPr>
        <w:t xml:space="preserve">5 edição. Reverte; 2000. </w:t>
      </w:r>
    </w:p>
    <w:p w:rsidR="00ED3A9C" w:rsidRDefault="00ED3A9C">
      <w:pPr>
        <w:rPr>
          <w:rFonts w:cs="Arial"/>
          <w:lang w:val="pt-BR"/>
        </w:rPr>
      </w:pPr>
      <w:r>
        <w:rPr>
          <w:rFonts w:cs="Arial"/>
          <w:lang w:val="pt-BR"/>
        </w:rPr>
        <w:br w:type="page"/>
      </w:r>
    </w:p>
    <w:p w:rsidR="004D5B16" w:rsidRPr="00F47FAF" w:rsidRDefault="004D5B16" w:rsidP="004D5B16">
      <w:pPr>
        <w:shd w:val="clear" w:color="auto" w:fill="B8CCE4"/>
        <w:tabs>
          <w:tab w:val="left" w:pos="1276"/>
          <w:tab w:val="right" w:pos="8550"/>
        </w:tabs>
        <w:spacing w:before="120" w:after="120"/>
        <w:ind w:right="-43"/>
        <w:jc w:val="both"/>
        <w:rPr>
          <w:rFonts w:cs="Arial"/>
          <w:b/>
          <w:sz w:val="24"/>
          <w:lang w:val="pt-BR"/>
        </w:rPr>
      </w:pPr>
      <w:r w:rsidRPr="00F47FAF">
        <w:rPr>
          <w:rFonts w:cs="Arial"/>
          <w:b/>
          <w:sz w:val="24"/>
          <w:lang w:val="pt-BR"/>
        </w:rPr>
        <w:lastRenderedPageBreak/>
        <w:t>BLOCO 1: INTRODUÇÃO À AULA</w:t>
      </w:r>
      <w:r w:rsidRPr="00F47FAF">
        <w:rPr>
          <w:rFonts w:cs="Arial"/>
          <w:b/>
          <w:sz w:val="24"/>
          <w:lang w:val="pt-BR"/>
        </w:rPr>
        <w:tab/>
      </w:r>
    </w:p>
    <w:p w:rsidR="004D5B16" w:rsidRDefault="004D5B16" w:rsidP="00C52E09">
      <w:pPr>
        <w:pStyle w:val="ListParagraph"/>
        <w:numPr>
          <w:ilvl w:val="1"/>
          <w:numId w:val="29"/>
        </w:numPr>
        <w:spacing w:before="120" w:after="0"/>
        <w:ind w:right="-43"/>
        <w:jc w:val="both"/>
        <w:rPr>
          <w:rFonts w:cs="Arial"/>
          <w:lang w:val="pt-BR"/>
        </w:rPr>
      </w:pPr>
      <w:r w:rsidRPr="004D5B16">
        <w:rPr>
          <w:rFonts w:cs="Arial"/>
          <w:lang w:val="pt-BR"/>
        </w:rPr>
        <w:t>Apresentação do tópico, conteúdos e objectivos de aprendizagem.</w:t>
      </w:r>
    </w:p>
    <w:p w:rsidR="004D5B16" w:rsidRDefault="004D5B16" w:rsidP="00C52E09">
      <w:pPr>
        <w:pStyle w:val="ListParagraph"/>
        <w:numPr>
          <w:ilvl w:val="1"/>
          <w:numId w:val="29"/>
        </w:numPr>
        <w:spacing w:before="120" w:after="0"/>
        <w:ind w:right="-43"/>
        <w:jc w:val="both"/>
        <w:rPr>
          <w:rFonts w:cs="Arial"/>
          <w:lang w:val="pt-BR"/>
        </w:rPr>
      </w:pPr>
      <w:r w:rsidRPr="004D5B16">
        <w:rPr>
          <w:rFonts w:cs="Arial"/>
          <w:lang w:val="pt-BR"/>
        </w:rPr>
        <w:t>Apresentação da estrutura da aula.</w:t>
      </w:r>
    </w:p>
    <w:p w:rsidR="004D5B16" w:rsidRPr="004D5B16" w:rsidRDefault="004D5B16" w:rsidP="00C52E09">
      <w:pPr>
        <w:pStyle w:val="ListParagraph"/>
        <w:numPr>
          <w:ilvl w:val="1"/>
          <w:numId w:val="29"/>
        </w:numPr>
        <w:spacing w:before="120" w:after="0"/>
        <w:ind w:right="-43"/>
        <w:jc w:val="both"/>
        <w:rPr>
          <w:rFonts w:cs="Arial"/>
          <w:lang w:val="pt-BR"/>
        </w:rPr>
      </w:pPr>
      <w:r w:rsidRPr="004D5B16">
        <w:rPr>
          <w:rFonts w:cs="Arial"/>
          <w:lang w:val="pt-BR"/>
        </w:rPr>
        <w:t>Apresentação da bibliografia que o aluno deverá manejar para ampliar os conhecimentos.</w:t>
      </w:r>
    </w:p>
    <w:p w:rsidR="004D5B16" w:rsidRPr="004D5B16" w:rsidRDefault="004D5B16" w:rsidP="006C62EE">
      <w:pPr>
        <w:tabs>
          <w:tab w:val="left" w:pos="424"/>
        </w:tabs>
        <w:spacing w:after="0" w:line="240" w:lineRule="auto"/>
        <w:rPr>
          <w:lang w:val="pt-BR"/>
        </w:rPr>
      </w:pPr>
    </w:p>
    <w:p w:rsidR="004D5B16" w:rsidRPr="005C54DD" w:rsidRDefault="004D5B16" w:rsidP="004D5B16">
      <w:pPr>
        <w:shd w:val="clear" w:color="auto" w:fill="B8CCE4"/>
        <w:tabs>
          <w:tab w:val="left" w:pos="1276"/>
          <w:tab w:val="right" w:pos="8550"/>
        </w:tabs>
        <w:spacing w:before="120" w:after="120"/>
        <w:ind w:right="-43"/>
        <w:jc w:val="both"/>
        <w:rPr>
          <w:rFonts w:cs="Arial"/>
          <w:b/>
          <w:sz w:val="24"/>
        </w:rPr>
      </w:pPr>
      <w:r w:rsidRPr="005C54DD">
        <w:rPr>
          <w:rFonts w:cs="Arial"/>
          <w:b/>
          <w:sz w:val="24"/>
        </w:rPr>
        <w:t xml:space="preserve">BLOCO </w:t>
      </w:r>
      <w:r>
        <w:rPr>
          <w:rFonts w:cs="Arial"/>
          <w:b/>
          <w:sz w:val="24"/>
        </w:rPr>
        <w:t>2</w:t>
      </w:r>
      <w:r w:rsidRPr="005C54DD">
        <w:rPr>
          <w:rFonts w:cs="Arial"/>
          <w:b/>
          <w:sz w:val="24"/>
        </w:rPr>
        <w:t>: BIOMOLÉCULAS</w:t>
      </w:r>
    </w:p>
    <w:p w:rsidR="004D5B16" w:rsidRPr="004E1933" w:rsidRDefault="004D5B16" w:rsidP="00C52E09">
      <w:pPr>
        <w:numPr>
          <w:ilvl w:val="1"/>
          <w:numId w:val="21"/>
        </w:numPr>
        <w:spacing w:before="120" w:after="0"/>
        <w:jc w:val="both"/>
        <w:rPr>
          <w:rFonts w:cs="Arial"/>
          <w:b/>
          <w:bCs/>
          <w:lang w:val="pt-BR"/>
        </w:rPr>
      </w:pPr>
      <w:r w:rsidRPr="004E1933">
        <w:rPr>
          <w:rFonts w:cs="Arial"/>
          <w:lang w:val="pt-BR"/>
        </w:rPr>
        <w:t>Definição: biomoléculas são compostos químicos  sintetizados  pelos seres vivos, e que participam da estrutura e do funcionamento da matéria viva.</w:t>
      </w:r>
    </w:p>
    <w:p w:rsidR="004D5B16" w:rsidRPr="004E1933" w:rsidRDefault="004D5B16" w:rsidP="00C52E09">
      <w:pPr>
        <w:numPr>
          <w:ilvl w:val="1"/>
          <w:numId w:val="21"/>
        </w:numPr>
        <w:spacing w:before="120" w:after="0"/>
        <w:jc w:val="both"/>
        <w:rPr>
          <w:rFonts w:cs="Arial"/>
          <w:lang w:val="pt-BR"/>
        </w:rPr>
      </w:pPr>
      <w:r w:rsidRPr="004E1933">
        <w:rPr>
          <w:rFonts w:cs="Arial"/>
          <w:lang w:val="pt-BR"/>
        </w:rPr>
        <w:t xml:space="preserve">As biomoléculas podem ser compostos orgânicos </w:t>
      </w:r>
      <w:r w:rsidRPr="004E1933">
        <w:rPr>
          <w:rFonts w:cs="Arial"/>
          <w:b/>
          <w:lang w:val="pt-BR"/>
        </w:rPr>
        <w:t>(na sua maioria)</w:t>
      </w:r>
      <w:r w:rsidRPr="004E1933">
        <w:rPr>
          <w:rFonts w:cs="Arial"/>
          <w:lang w:val="pt-BR"/>
        </w:rPr>
        <w:t xml:space="preserve"> como as proteínas, carboidratos, lípidos e ácidos nucléicos e formam moléculas de grandes dimensões, designados por </w:t>
      </w:r>
      <w:r w:rsidRPr="004E1933">
        <w:rPr>
          <w:rFonts w:cs="Arial"/>
          <w:b/>
          <w:lang w:val="pt-BR"/>
        </w:rPr>
        <w:t>macromoléculas</w:t>
      </w:r>
      <w:r w:rsidRPr="004E1933">
        <w:rPr>
          <w:rFonts w:cs="Arial"/>
          <w:lang w:val="pt-BR"/>
        </w:rPr>
        <w:t>, ou podem ser compostos inorgânicos, no caso da água e sais minerais.</w:t>
      </w:r>
    </w:p>
    <w:p w:rsidR="004D5B16" w:rsidRDefault="004D5B16" w:rsidP="004D5B16">
      <w:pPr>
        <w:spacing w:before="120"/>
        <w:ind w:left="450"/>
        <w:jc w:val="center"/>
        <w:rPr>
          <w:rFonts w:cs="Arial"/>
        </w:rPr>
      </w:pPr>
      <w:r>
        <w:rPr>
          <w:rFonts w:cs="Arial"/>
          <w:noProof/>
          <w:lang w:val="en-ZW" w:eastAsia="en-ZW"/>
        </w:rPr>
        <w:drawing>
          <wp:inline distT="0" distB="0" distL="0" distR="0" wp14:anchorId="2FE5C286" wp14:editId="1C645B2F">
            <wp:extent cx="4723074" cy="2748004"/>
            <wp:effectExtent l="0" t="57150" r="0" b="33655"/>
            <wp:docPr id="239" name="Diagram 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p>
    <w:p w:rsidR="004D5B16" w:rsidRDefault="004D5B16" w:rsidP="004D5B16">
      <w:pPr>
        <w:spacing w:before="120"/>
        <w:ind w:left="450"/>
        <w:jc w:val="center"/>
        <w:rPr>
          <w:rFonts w:cs="Arial"/>
        </w:rPr>
      </w:pPr>
      <w:r w:rsidRPr="00506DE0">
        <w:rPr>
          <w:rFonts w:cs="Arial"/>
          <w:b/>
        </w:rPr>
        <w:t>Figura 1:</w:t>
      </w:r>
      <w:r>
        <w:rPr>
          <w:rFonts w:cs="Arial"/>
        </w:rPr>
        <w:t xml:space="preserve"> Biomoléculas e sua Classificação</w:t>
      </w:r>
    </w:p>
    <w:p w:rsidR="004D5B16" w:rsidRPr="004D5B16" w:rsidRDefault="004D5B16" w:rsidP="00C52E09">
      <w:pPr>
        <w:numPr>
          <w:ilvl w:val="1"/>
          <w:numId w:val="21"/>
        </w:numPr>
        <w:spacing w:before="120" w:after="0"/>
        <w:jc w:val="both"/>
        <w:rPr>
          <w:rFonts w:cs="Arial"/>
          <w:lang w:val="pt-BR"/>
        </w:rPr>
      </w:pPr>
      <w:r w:rsidRPr="004D5B16">
        <w:rPr>
          <w:rFonts w:cs="Arial"/>
          <w:lang w:val="pt-BR"/>
        </w:rPr>
        <w:t>Muitas biomoléculas, especialmente as de grande tamanho (macromoléculas), estão formadas por unidades mais pequenas unidas entre elas.</w:t>
      </w:r>
    </w:p>
    <w:p w:rsidR="004D5B16" w:rsidRPr="004D5B16" w:rsidRDefault="004D5B16" w:rsidP="00C52E09">
      <w:pPr>
        <w:numPr>
          <w:ilvl w:val="1"/>
          <w:numId w:val="21"/>
        </w:numPr>
        <w:spacing w:before="120" w:after="0"/>
        <w:jc w:val="both"/>
        <w:rPr>
          <w:rFonts w:cs="Arial"/>
          <w:lang w:val="pt-BR"/>
        </w:rPr>
      </w:pPr>
      <w:r w:rsidRPr="004D5B16">
        <w:rPr>
          <w:rFonts w:cs="Arial"/>
          <w:lang w:val="pt-BR"/>
        </w:rPr>
        <w:t xml:space="preserve">Estas unidades mais pequenas são chamadas </w:t>
      </w:r>
      <w:r w:rsidRPr="004D5B16">
        <w:rPr>
          <w:rFonts w:cs="Arial"/>
          <w:b/>
          <w:lang w:val="pt-BR"/>
        </w:rPr>
        <w:t>monómeros</w:t>
      </w:r>
      <w:r w:rsidRPr="004D5B16">
        <w:rPr>
          <w:rFonts w:cs="Arial"/>
          <w:lang w:val="pt-BR"/>
        </w:rPr>
        <w:t xml:space="preserve">. As moléculas de grande tamanho formadas pela união de monómeros são chamadas </w:t>
      </w:r>
      <w:r w:rsidRPr="004D5B16">
        <w:rPr>
          <w:rFonts w:cs="Arial"/>
          <w:b/>
          <w:lang w:val="pt-BR"/>
        </w:rPr>
        <w:t>polímeros</w:t>
      </w:r>
      <w:r w:rsidRPr="004D5B16">
        <w:rPr>
          <w:rFonts w:cs="Arial"/>
          <w:lang w:val="pt-BR"/>
        </w:rPr>
        <w:t>.</w:t>
      </w:r>
    </w:p>
    <w:p w:rsidR="004D5B16" w:rsidRPr="004D5B16" w:rsidRDefault="004D5B16" w:rsidP="00C52E09">
      <w:pPr>
        <w:numPr>
          <w:ilvl w:val="1"/>
          <w:numId w:val="21"/>
        </w:numPr>
        <w:spacing w:before="120" w:after="0"/>
        <w:jc w:val="both"/>
        <w:rPr>
          <w:rFonts w:cs="Arial"/>
          <w:b/>
          <w:bCs/>
          <w:lang w:val="pt-BR"/>
        </w:rPr>
      </w:pPr>
      <w:r w:rsidRPr="004D5B16">
        <w:rPr>
          <w:rFonts w:cs="Arial"/>
          <w:lang w:val="pt-BR"/>
        </w:rPr>
        <w:t>Nas biomoléculas podem-se encontrar três tipos diferentes de monómeros:</w:t>
      </w:r>
    </w:p>
    <w:p w:rsidR="004D5B16" w:rsidRPr="004D5B16" w:rsidRDefault="004D5B16" w:rsidP="00C52E09">
      <w:pPr>
        <w:numPr>
          <w:ilvl w:val="2"/>
          <w:numId w:val="21"/>
        </w:numPr>
        <w:spacing w:before="120" w:after="0"/>
        <w:ind w:firstLine="0"/>
        <w:jc w:val="both"/>
        <w:rPr>
          <w:rFonts w:cs="Arial"/>
          <w:lang w:val="pt-BR"/>
        </w:rPr>
      </w:pPr>
      <w:r w:rsidRPr="004D5B16">
        <w:rPr>
          <w:rFonts w:cs="Arial"/>
          <w:lang w:val="pt-BR"/>
        </w:rPr>
        <w:t>Monossacarídeos. São os componentes dos carboidratos. Entre eles temos glicose, frutose ou galactose.</w:t>
      </w:r>
    </w:p>
    <w:p w:rsidR="004D5B16" w:rsidRPr="004D5B16" w:rsidRDefault="004D5B16" w:rsidP="00C52E09">
      <w:pPr>
        <w:numPr>
          <w:ilvl w:val="2"/>
          <w:numId w:val="21"/>
        </w:numPr>
        <w:spacing w:before="120" w:after="0"/>
        <w:ind w:firstLine="0"/>
        <w:jc w:val="both"/>
        <w:rPr>
          <w:rFonts w:cs="Arial"/>
          <w:lang w:val="pt-BR"/>
        </w:rPr>
      </w:pPr>
      <w:r w:rsidRPr="004D5B16">
        <w:rPr>
          <w:rFonts w:cs="Arial"/>
          <w:lang w:val="pt-BR"/>
        </w:rPr>
        <w:t>Aminoácidos. São os componentes das proteínas. No ser humano, as proteínas estão formadas por 20 tipos diferentes de aminoácidos.</w:t>
      </w:r>
    </w:p>
    <w:p w:rsidR="004D5B16" w:rsidRPr="004D5B16" w:rsidRDefault="004D5B16" w:rsidP="00C52E09">
      <w:pPr>
        <w:numPr>
          <w:ilvl w:val="2"/>
          <w:numId w:val="21"/>
        </w:numPr>
        <w:spacing w:before="120" w:after="0"/>
        <w:ind w:firstLine="0"/>
        <w:jc w:val="both"/>
        <w:rPr>
          <w:rFonts w:cs="Arial"/>
          <w:lang w:val="pt-BR"/>
        </w:rPr>
      </w:pPr>
      <w:r w:rsidRPr="004D5B16">
        <w:rPr>
          <w:rFonts w:cs="Arial"/>
          <w:lang w:val="pt-BR"/>
        </w:rPr>
        <w:t>Nucleotídeos. São os componentes dos ácidos nucleicos. Existem cinco nucleotídeos diferentes. Três deles são comuns para ADN (Ácido desoxi-ribonucléico) e ARN (Ácido ribonucleico), sendo que o quarto nucleotídeo é diferente para ambas moléculas – será abordado no bloco 6.</w:t>
      </w:r>
    </w:p>
    <w:p w:rsidR="00ED3A9C" w:rsidRDefault="00ED3A9C">
      <w:pPr>
        <w:rPr>
          <w:rFonts w:cs="Arial"/>
          <w:lang w:val="pt-BR"/>
        </w:rPr>
      </w:pPr>
      <w:r>
        <w:rPr>
          <w:rFonts w:cs="Arial"/>
          <w:lang w:val="pt-BR"/>
        </w:rPr>
        <w:br w:type="page"/>
      </w:r>
    </w:p>
    <w:p w:rsidR="004D5B16" w:rsidRPr="004D5B16" w:rsidRDefault="004D5B16" w:rsidP="004D5B16">
      <w:pPr>
        <w:shd w:val="clear" w:color="auto" w:fill="B8CCE4"/>
        <w:tabs>
          <w:tab w:val="left" w:pos="1276"/>
          <w:tab w:val="right" w:pos="8550"/>
        </w:tabs>
        <w:spacing w:before="120" w:after="120"/>
        <w:ind w:right="-43"/>
        <w:jc w:val="both"/>
        <w:rPr>
          <w:rFonts w:cs="Arial"/>
          <w:b/>
          <w:sz w:val="24"/>
          <w:lang w:val="pt-BR"/>
        </w:rPr>
      </w:pPr>
      <w:r w:rsidRPr="004D5B16">
        <w:rPr>
          <w:rFonts w:cs="Arial"/>
          <w:b/>
          <w:sz w:val="24"/>
          <w:lang w:val="pt-BR"/>
        </w:rPr>
        <w:lastRenderedPageBreak/>
        <w:t>BLOCO 3: CARBOIDRATOS: DEFINIÇÃO, CLASSIFICAÇÃO E FUNÇÕES</w:t>
      </w:r>
    </w:p>
    <w:p w:rsidR="004D5B16" w:rsidRPr="004E1933" w:rsidRDefault="004D5B16" w:rsidP="00C52E09">
      <w:pPr>
        <w:numPr>
          <w:ilvl w:val="1"/>
          <w:numId w:val="22"/>
        </w:numPr>
        <w:spacing w:before="120" w:after="0"/>
        <w:jc w:val="both"/>
        <w:rPr>
          <w:rFonts w:cs="Arial"/>
          <w:b/>
          <w:bCs/>
          <w:lang w:val="pt-BR"/>
        </w:rPr>
      </w:pPr>
      <w:r w:rsidRPr="004E1933">
        <w:rPr>
          <w:rFonts w:cs="Arial"/>
          <w:lang w:val="pt-BR"/>
        </w:rPr>
        <w:t xml:space="preserve">Os </w:t>
      </w:r>
      <w:r w:rsidRPr="004E1933">
        <w:rPr>
          <w:rFonts w:cs="Arial"/>
          <w:b/>
          <w:bCs/>
          <w:lang w:val="pt-BR"/>
        </w:rPr>
        <w:t>carboidratos</w:t>
      </w:r>
      <w:r w:rsidRPr="004E1933">
        <w:rPr>
          <w:rFonts w:cs="Arial"/>
          <w:lang w:val="pt-BR"/>
        </w:rPr>
        <w:t xml:space="preserve"> podem ser chamados também de </w:t>
      </w:r>
      <w:r w:rsidRPr="004E1933">
        <w:rPr>
          <w:rFonts w:cs="Arial"/>
          <w:b/>
          <w:bCs/>
          <w:lang w:val="pt-BR"/>
        </w:rPr>
        <w:t>sacarídeos</w:t>
      </w:r>
      <w:r w:rsidRPr="004E1933">
        <w:rPr>
          <w:rFonts w:cs="Arial"/>
          <w:lang w:val="pt-BR"/>
        </w:rPr>
        <w:t xml:space="preserve">, </w:t>
      </w:r>
      <w:r w:rsidRPr="004E1933">
        <w:rPr>
          <w:rFonts w:cs="Arial"/>
          <w:b/>
          <w:bCs/>
          <w:lang w:val="pt-BR"/>
        </w:rPr>
        <w:t>hidratos de carbono</w:t>
      </w:r>
      <w:r w:rsidRPr="004E1933">
        <w:rPr>
          <w:rFonts w:cs="Arial"/>
          <w:lang w:val="pt-BR"/>
        </w:rPr>
        <w:t xml:space="preserve"> ou </w:t>
      </w:r>
      <w:r w:rsidRPr="004E1933">
        <w:rPr>
          <w:rFonts w:cs="Arial"/>
          <w:b/>
          <w:bCs/>
          <w:lang w:val="pt-BR"/>
        </w:rPr>
        <w:t>açúcares</w:t>
      </w:r>
      <w:r w:rsidRPr="004E1933">
        <w:rPr>
          <w:rFonts w:cs="Arial"/>
          <w:lang w:val="pt-BR"/>
        </w:rPr>
        <w:t>. São formados fundamentalmente por moléculas de carbono (C), hidrogénio (H) e oxigénio (O), dai a sua denominação. Elas são as biomoléculas mais abundantes na natureza, e são o principal produto da fotossíntese realizada pelas plantas.</w:t>
      </w:r>
    </w:p>
    <w:p w:rsidR="004D5B16" w:rsidRPr="004D5B16" w:rsidRDefault="004D5B16" w:rsidP="00C52E09">
      <w:pPr>
        <w:numPr>
          <w:ilvl w:val="1"/>
          <w:numId w:val="22"/>
        </w:numPr>
        <w:spacing w:before="120" w:after="0"/>
        <w:jc w:val="both"/>
        <w:rPr>
          <w:rFonts w:cs="Arial"/>
          <w:lang w:val="pt-BR"/>
        </w:rPr>
      </w:pPr>
      <w:r w:rsidRPr="004D5B16">
        <w:rPr>
          <w:rFonts w:cs="Arial"/>
          <w:lang w:val="pt-BR"/>
        </w:rPr>
        <w:t>Nos seres vivos, os carboidratos desempenham uma ampla variedade de funções, entre elas:</w:t>
      </w:r>
    </w:p>
    <w:p w:rsidR="004D5B16" w:rsidRPr="005C54DD" w:rsidRDefault="004D5B16" w:rsidP="00C52E09">
      <w:pPr>
        <w:numPr>
          <w:ilvl w:val="2"/>
          <w:numId w:val="22"/>
        </w:numPr>
        <w:spacing w:before="120" w:after="0"/>
        <w:ind w:firstLine="0"/>
        <w:jc w:val="both"/>
        <w:rPr>
          <w:rFonts w:cs="Arial"/>
        </w:rPr>
      </w:pPr>
      <w:r w:rsidRPr="005C54DD">
        <w:rPr>
          <w:rFonts w:cs="Arial"/>
        </w:rPr>
        <w:t>Fonte e reserva de energia</w:t>
      </w:r>
    </w:p>
    <w:p w:rsidR="004D5B16" w:rsidRPr="005C54DD" w:rsidRDefault="004D5B16" w:rsidP="00C52E09">
      <w:pPr>
        <w:numPr>
          <w:ilvl w:val="2"/>
          <w:numId w:val="22"/>
        </w:numPr>
        <w:spacing w:before="120" w:after="0"/>
        <w:ind w:firstLine="0"/>
        <w:jc w:val="both"/>
        <w:rPr>
          <w:rFonts w:cs="Arial"/>
        </w:rPr>
      </w:pPr>
      <w:r w:rsidRPr="005C54DD">
        <w:rPr>
          <w:rFonts w:cs="Arial"/>
        </w:rPr>
        <w:t>Componentes estruturais das células</w:t>
      </w:r>
    </w:p>
    <w:p w:rsidR="004D5B16" w:rsidRPr="005C54DD" w:rsidRDefault="004D5B16" w:rsidP="00C52E09">
      <w:pPr>
        <w:numPr>
          <w:ilvl w:val="2"/>
          <w:numId w:val="22"/>
        </w:numPr>
        <w:spacing w:before="120" w:after="0"/>
        <w:ind w:firstLine="0"/>
        <w:jc w:val="both"/>
        <w:rPr>
          <w:rFonts w:cs="Arial"/>
        </w:rPr>
      </w:pPr>
      <w:r w:rsidRPr="005C54DD">
        <w:rPr>
          <w:rFonts w:cs="Arial"/>
        </w:rPr>
        <w:t>Componentes de biomoléculas mais complexas</w:t>
      </w:r>
    </w:p>
    <w:p w:rsidR="004D5B16" w:rsidRPr="004D5B16" w:rsidRDefault="004D5B16" w:rsidP="00C52E09">
      <w:pPr>
        <w:numPr>
          <w:ilvl w:val="2"/>
          <w:numId w:val="22"/>
        </w:numPr>
        <w:spacing w:before="120" w:after="0"/>
        <w:ind w:firstLine="0"/>
        <w:jc w:val="both"/>
        <w:rPr>
          <w:rFonts w:cs="Arial"/>
          <w:lang w:val="pt-BR"/>
        </w:rPr>
      </w:pPr>
      <w:r w:rsidRPr="004D5B16">
        <w:rPr>
          <w:rFonts w:cs="Arial"/>
          <w:lang w:val="pt-BR"/>
        </w:rPr>
        <w:t>Tem um papel importante em diferentes processos vitais, como desenvolvimento, coagulação, imunidade</w:t>
      </w:r>
    </w:p>
    <w:p w:rsidR="004D5B16" w:rsidRPr="004E1933" w:rsidRDefault="004D5B16" w:rsidP="00C52E09">
      <w:pPr>
        <w:numPr>
          <w:ilvl w:val="1"/>
          <w:numId w:val="22"/>
        </w:numPr>
        <w:spacing w:before="120" w:after="0"/>
        <w:jc w:val="both"/>
        <w:rPr>
          <w:rFonts w:cs="Arial"/>
          <w:lang w:val="pt-BR"/>
        </w:rPr>
      </w:pPr>
      <w:r w:rsidRPr="004E1933">
        <w:rPr>
          <w:rFonts w:cs="Arial"/>
          <w:lang w:val="pt-BR"/>
        </w:rPr>
        <w:t>Em base ao seu tamanho, os carboidratos podem-se dividir em três classes principais: monossacarídeos, oligossacarídeos e polissacarídeos.</w:t>
      </w:r>
    </w:p>
    <w:p w:rsidR="004D5B16" w:rsidRPr="004E1933" w:rsidRDefault="004D5B16" w:rsidP="00C52E09">
      <w:pPr>
        <w:numPr>
          <w:ilvl w:val="2"/>
          <w:numId w:val="22"/>
        </w:numPr>
        <w:spacing w:before="120" w:after="0"/>
        <w:ind w:firstLine="0"/>
        <w:jc w:val="both"/>
        <w:rPr>
          <w:rFonts w:cs="Arial"/>
          <w:lang w:val="pt-BR"/>
        </w:rPr>
      </w:pPr>
      <w:r w:rsidRPr="004E1933">
        <w:rPr>
          <w:rFonts w:cs="Arial"/>
          <w:lang w:val="pt-BR"/>
        </w:rPr>
        <w:t xml:space="preserve">Os carboidratos mais simples são os </w:t>
      </w:r>
      <w:r w:rsidRPr="004E1933">
        <w:rPr>
          <w:rFonts w:cs="Arial"/>
          <w:b/>
          <w:bCs/>
          <w:lang w:val="pt-BR"/>
        </w:rPr>
        <w:t>monossacarídeos</w:t>
      </w:r>
      <w:r w:rsidRPr="004E1933">
        <w:rPr>
          <w:rFonts w:cs="Arial"/>
          <w:lang w:val="pt-BR"/>
        </w:rPr>
        <w:t xml:space="preserve"> ou açúcares simples, que tem a fórmula geral (CH</w:t>
      </w:r>
      <w:r w:rsidRPr="004E1933">
        <w:rPr>
          <w:rFonts w:cs="Arial"/>
          <w:vertAlign w:val="subscript"/>
          <w:lang w:val="pt-BR"/>
        </w:rPr>
        <w:t>2</w:t>
      </w:r>
      <w:r w:rsidRPr="004E1933">
        <w:rPr>
          <w:rFonts w:cs="Arial"/>
          <w:lang w:val="pt-BR"/>
        </w:rPr>
        <w:t>O)</w:t>
      </w:r>
      <w:r w:rsidRPr="004E1933">
        <w:rPr>
          <w:rFonts w:cs="Arial"/>
          <w:vertAlign w:val="subscript"/>
          <w:lang w:val="pt-BR"/>
        </w:rPr>
        <w:t>n</w:t>
      </w:r>
      <w:r w:rsidRPr="004E1933">
        <w:rPr>
          <w:rFonts w:cs="Arial"/>
          <w:lang w:val="pt-BR"/>
        </w:rPr>
        <w:t xml:space="preserve">, onde n é um número variável entre 3 e 7. Nos seres vivos, os monossacarídeos de mais de 4 carbonos adoptam frequentemente forma cíclica. O monossacarídeo mais abundante na natureza é a </w:t>
      </w:r>
      <w:r w:rsidRPr="004E1933">
        <w:rPr>
          <w:rFonts w:cs="Arial"/>
          <w:b/>
          <w:bCs/>
          <w:lang w:val="pt-BR"/>
        </w:rPr>
        <w:t>glicose (C</w:t>
      </w:r>
      <w:r w:rsidRPr="004E1933">
        <w:rPr>
          <w:rFonts w:cs="Arial"/>
          <w:b/>
          <w:bCs/>
          <w:sz w:val="18"/>
          <w:szCs w:val="18"/>
          <w:lang w:val="pt-BR"/>
        </w:rPr>
        <w:t>6</w:t>
      </w:r>
      <w:r w:rsidRPr="004E1933">
        <w:rPr>
          <w:rFonts w:cs="Arial"/>
          <w:b/>
          <w:bCs/>
          <w:lang w:val="pt-BR"/>
        </w:rPr>
        <w:t>H</w:t>
      </w:r>
      <w:r w:rsidRPr="004E1933">
        <w:rPr>
          <w:rFonts w:cs="Arial"/>
          <w:b/>
          <w:bCs/>
          <w:sz w:val="18"/>
          <w:szCs w:val="18"/>
          <w:lang w:val="pt-BR"/>
        </w:rPr>
        <w:t>12</w:t>
      </w:r>
      <w:r w:rsidRPr="004E1933">
        <w:rPr>
          <w:rFonts w:cs="Arial"/>
          <w:b/>
          <w:bCs/>
          <w:lang w:val="pt-BR"/>
        </w:rPr>
        <w:t>O</w:t>
      </w:r>
      <w:r w:rsidRPr="004E1933">
        <w:rPr>
          <w:rFonts w:cs="Arial"/>
          <w:b/>
          <w:bCs/>
          <w:sz w:val="18"/>
          <w:szCs w:val="18"/>
          <w:lang w:val="pt-BR"/>
        </w:rPr>
        <w:t>6</w:t>
      </w:r>
      <w:r w:rsidRPr="004E1933">
        <w:rPr>
          <w:rFonts w:cs="Arial"/>
          <w:b/>
          <w:bCs/>
          <w:lang w:val="pt-BR"/>
        </w:rPr>
        <w:t>)</w:t>
      </w:r>
      <w:r w:rsidRPr="004E1933">
        <w:rPr>
          <w:rFonts w:cs="Arial"/>
          <w:lang w:val="pt-BR"/>
        </w:rPr>
        <w:t xml:space="preserve">, com seis átomos de carbono na sua estrutura. </w:t>
      </w:r>
    </w:p>
    <w:p w:rsidR="004D5B16" w:rsidRPr="004D5B16" w:rsidRDefault="004D5B16" w:rsidP="00C52E09">
      <w:pPr>
        <w:numPr>
          <w:ilvl w:val="2"/>
          <w:numId w:val="22"/>
        </w:numPr>
        <w:spacing w:before="120" w:after="0"/>
        <w:ind w:firstLine="0"/>
        <w:jc w:val="both"/>
        <w:rPr>
          <w:rFonts w:cs="Arial"/>
          <w:lang w:val="pt-BR"/>
        </w:rPr>
      </w:pPr>
      <w:r w:rsidRPr="004E1933">
        <w:rPr>
          <w:rFonts w:cs="Arial"/>
          <w:lang w:val="pt-BR"/>
        </w:rPr>
        <w:t xml:space="preserve">A </w:t>
      </w:r>
      <w:r w:rsidRPr="004E1933">
        <w:rPr>
          <w:rFonts w:cs="Arial"/>
          <w:b/>
          <w:lang w:val="pt-BR"/>
        </w:rPr>
        <w:t>glicose</w:t>
      </w:r>
      <w:r w:rsidRPr="004E1933">
        <w:rPr>
          <w:rFonts w:cs="Arial"/>
          <w:lang w:val="pt-BR"/>
        </w:rPr>
        <w:t xml:space="preserve"> ocupa uma posição central no metabolismo de plantas, animais, e de muitos microrganismos. A sua oxidação produz dióxido de carbono e água e libertação de uma grande quantidade de energia em forma de ATP (Adenosina Trifosfato), que é uma molécula utilizada como fonte imediata de energia em inúmeras reacções metabólicas. Combinando a glicose na forma de polímeros de alto peso molecular, como amido e glicogénio, a célula pode armazenar grandes quantidades de energia, que será libertada nos momentos de aumenta da demanda energética. </w:t>
      </w:r>
      <w:r w:rsidRPr="004D5B16">
        <w:rPr>
          <w:rFonts w:cs="Arial"/>
          <w:lang w:val="pt-BR"/>
        </w:rPr>
        <w:t>Além do seu papel como combustível celular, a glicose pode ser utilizada como precursora para fornecer uma grande quantidade de metabólitos intermediários em reacções de biossíntese</w:t>
      </w:r>
    </w:p>
    <w:p w:rsidR="004D5B16" w:rsidRDefault="004D5B16" w:rsidP="004D5B16">
      <w:pPr>
        <w:jc w:val="center"/>
      </w:pPr>
      <w:r>
        <w:rPr>
          <w:noProof/>
          <w:lang w:val="en-ZW" w:eastAsia="en-ZW"/>
        </w:rPr>
        <w:drawing>
          <wp:inline distT="0" distB="0" distL="0" distR="0" wp14:anchorId="510ADF02" wp14:editId="291A2DC3">
            <wp:extent cx="2514600" cy="2095500"/>
            <wp:effectExtent l="19050" t="0" r="0" b="0"/>
            <wp:docPr id="24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srcRect/>
                    <a:stretch>
                      <a:fillRect/>
                    </a:stretch>
                  </pic:blipFill>
                  <pic:spPr bwMode="auto">
                    <a:xfrm>
                      <a:off x="0" y="0"/>
                      <a:ext cx="2514600" cy="2095500"/>
                    </a:xfrm>
                    <a:prstGeom prst="rect">
                      <a:avLst/>
                    </a:prstGeom>
                    <a:noFill/>
                    <a:ln w="9525">
                      <a:noFill/>
                      <a:miter lim="800000"/>
                      <a:headEnd/>
                      <a:tailEnd/>
                    </a:ln>
                  </pic:spPr>
                </pic:pic>
              </a:graphicData>
            </a:graphic>
          </wp:inline>
        </w:drawing>
      </w:r>
    </w:p>
    <w:p w:rsidR="004D5B16" w:rsidRPr="004E1933" w:rsidRDefault="004D5B16" w:rsidP="004D5B16">
      <w:pPr>
        <w:jc w:val="center"/>
        <w:rPr>
          <w:rFonts w:cs="Arial"/>
          <w:sz w:val="20"/>
          <w:lang w:val="pt-BR"/>
        </w:rPr>
      </w:pPr>
      <w:r w:rsidRPr="004E1933">
        <w:rPr>
          <w:rFonts w:cs="Arial"/>
          <w:b/>
          <w:sz w:val="20"/>
          <w:lang w:val="pt-BR"/>
        </w:rPr>
        <w:t>Figura 2</w:t>
      </w:r>
      <w:r w:rsidR="00506DE0">
        <w:rPr>
          <w:rFonts w:cs="Arial"/>
          <w:b/>
          <w:sz w:val="20"/>
          <w:lang w:val="pt-BR"/>
        </w:rPr>
        <w:t>:</w:t>
      </w:r>
      <w:r w:rsidRPr="004E1933">
        <w:rPr>
          <w:rFonts w:cs="Arial"/>
          <w:sz w:val="20"/>
          <w:lang w:val="pt-BR"/>
        </w:rPr>
        <w:t xml:space="preserve"> Esquema de uma molécula de glicose, nas suas formas linear e cíclica.</w:t>
      </w:r>
    </w:p>
    <w:p w:rsidR="004D5B16" w:rsidRPr="004E1933" w:rsidRDefault="004D5B16" w:rsidP="00C52E09">
      <w:pPr>
        <w:numPr>
          <w:ilvl w:val="2"/>
          <w:numId w:val="22"/>
        </w:numPr>
        <w:spacing w:before="120" w:after="0"/>
        <w:ind w:firstLine="0"/>
        <w:jc w:val="both"/>
        <w:rPr>
          <w:rFonts w:cs="Arial"/>
          <w:lang w:val="pt-BR"/>
        </w:rPr>
      </w:pPr>
      <w:r w:rsidRPr="004E1933">
        <w:rPr>
          <w:rFonts w:cs="Arial"/>
          <w:lang w:val="pt-BR"/>
        </w:rPr>
        <w:t xml:space="preserve">Os </w:t>
      </w:r>
      <w:r w:rsidRPr="004E1933">
        <w:rPr>
          <w:rFonts w:cs="Arial"/>
          <w:b/>
          <w:bCs/>
          <w:lang w:val="pt-BR"/>
        </w:rPr>
        <w:t>oligossacarídeos</w:t>
      </w:r>
      <w:r w:rsidRPr="004E1933">
        <w:rPr>
          <w:rFonts w:cs="Arial"/>
          <w:lang w:val="pt-BR"/>
        </w:rPr>
        <w:t xml:space="preserve"> são cadeias curtas de monossacarídeos, no geral entre 2 (dissacarídeos) a 10 unidades. Estas unidades estão unidas entre elas por um tipo especial de ligação química, a </w:t>
      </w:r>
      <w:r w:rsidRPr="004E1933">
        <w:rPr>
          <w:rFonts w:cs="Arial"/>
          <w:b/>
          <w:bCs/>
          <w:lang w:val="pt-BR"/>
        </w:rPr>
        <w:t>ligação glicosídica</w:t>
      </w:r>
      <w:r w:rsidRPr="004E1933">
        <w:rPr>
          <w:rFonts w:cs="Arial"/>
          <w:lang w:val="pt-BR"/>
        </w:rPr>
        <w:t xml:space="preserve">. Os oligossacarídeos mais abundantes são os </w:t>
      </w:r>
      <w:r w:rsidRPr="004E1933">
        <w:rPr>
          <w:rFonts w:cs="Arial"/>
          <w:b/>
          <w:bCs/>
          <w:lang w:val="pt-BR"/>
        </w:rPr>
        <w:t>dissacarídeos</w:t>
      </w:r>
      <w:r w:rsidRPr="004E1933">
        <w:rPr>
          <w:rFonts w:cs="Arial"/>
          <w:lang w:val="pt-BR"/>
        </w:rPr>
        <w:t xml:space="preserve">, que constam de 2 unidades monossacarídeas. Um dissacarídeo típico é a sucrose ou sacarose (açúcar de mesa), formada por uma molécula de glicose e outra de frutose. </w:t>
      </w:r>
      <w:r w:rsidRPr="004E1933">
        <w:rPr>
          <w:rFonts w:cs="Arial"/>
          <w:lang w:val="pt-BR"/>
        </w:rPr>
        <w:lastRenderedPageBreak/>
        <w:t>Outro é a lactose (açúcar do leite e seus derivados), formada por dois monossacarídeos, a  glicose e a  galactose.</w:t>
      </w:r>
    </w:p>
    <w:p w:rsidR="004D5B16" w:rsidRDefault="004D5B16" w:rsidP="004D5B16">
      <w:pPr>
        <w:jc w:val="both"/>
        <w:rPr>
          <w:sz w:val="20"/>
        </w:rPr>
      </w:pPr>
      <w:r>
        <w:rPr>
          <w:noProof/>
          <w:sz w:val="20"/>
          <w:lang w:val="en-ZW" w:eastAsia="en-ZW"/>
        </w:rPr>
        <w:drawing>
          <wp:inline distT="0" distB="0" distL="0" distR="0" wp14:anchorId="6C5A6A1A" wp14:editId="63A56699">
            <wp:extent cx="5686425" cy="1714500"/>
            <wp:effectExtent l="19050" t="0" r="9525" b="0"/>
            <wp:docPr id="24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grayscl/>
                    </a:blip>
                    <a:srcRect/>
                    <a:stretch>
                      <a:fillRect/>
                    </a:stretch>
                  </pic:blipFill>
                  <pic:spPr bwMode="auto">
                    <a:xfrm>
                      <a:off x="0" y="0"/>
                      <a:ext cx="5686425" cy="1714500"/>
                    </a:xfrm>
                    <a:prstGeom prst="rect">
                      <a:avLst/>
                    </a:prstGeom>
                    <a:noFill/>
                    <a:ln w="9525">
                      <a:noFill/>
                      <a:miter lim="800000"/>
                      <a:headEnd/>
                      <a:tailEnd/>
                    </a:ln>
                  </pic:spPr>
                </pic:pic>
              </a:graphicData>
            </a:graphic>
          </wp:inline>
        </w:drawing>
      </w:r>
    </w:p>
    <w:p w:rsidR="004D5B16" w:rsidRPr="004E1933" w:rsidRDefault="004D5B16" w:rsidP="004D5B16">
      <w:pPr>
        <w:jc w:val="center"/>
        <w:rPr>
          <w:rFonts w:cs="Arial"/>
          <w:sz w:val="20"/>
          <w:lang w:val="pt-BR"/>
        </w:rPr>
      </w:pPr>
      <w:r w:rsidRPr="004E1933">
        <w:rPr>
          <w:rFonts w:cs="Arial"/>
          <w:b/>
          <w:sz w:val="20"/>
          <w:lang w:val="pt-BR"/>
        </w:rPr>
        <w:t>Figura 3</w:t>
      </w:r>
      <w:r w:rsidR="00506DE0">
        <w:rPr>
          <w:rFonts w:cs="Arial"/>
          <w:b/>
          <w:sz w:val="20"/>
          <w:lang w:val="pt-BR"/>
        </w:rPr>
        <w:t>:</w:t>
      </w:r>
      <w:r w:rsidRPr="004E1933">
        <w:rPr>
          <w:rFonts w:cs="Arial"/>
          <w:sz w:val="20"/>
          <w:lang w:val="pt-BR"/>
        </w:rPr>
        <w:t xml:space="preserve"> Esquema da formação de uma ligação glicosídica.</w:t>
      </w:r>
    </w:p>
    <w:p w:rsidR="004D5B16" w:rsidRPr="004D5B16" w:rsidRDefault="004D5B16" w:rsidP="00C52E09">
      <w:pPr>
        <w:numPr>
          <w:ilvl w:val="2"/>
          <w:numId w:val="22"/>
        </w:numPr>
        <w:spacing w:before="120" w:after="0"/>
        <w:ind w:firstLine="0"/>
        <w:jc w:val="both"/>
        <w:rPr>
          <w:rFonts w:cs="Arial"/>
          <w:lang w:val="pt-BR"/>
        </w:rPr>
      </w:pPr>
      <w:r w:rsidRPr="004D5B16">
        <w:rPr>
          <w:rFonts w:cs="Arial"/>
          <w:lang w:val="pt-BR"/>
        </w:rPr>
        <w:t xml:space="preserve">Os polissacarídeos são polímeros que contem um número elevado de unidades monossacarídeo, mas podem ter até centenas ou milhares de unidades. </w:t>
      </w:r>
    </w:p>
    <w:p w:rsidR="004D5B16" w:rsidRPr="004D5B16" w:rsidRDefault="004D5B16" w:rsidP="006C62EE">
      <w:pPr>
        <w:spacing w:before="120"/>
        <w:ind w:left="720"/>
        <w:jc w:val="both"/>
        <w:rPr>
          <w:rFonts w:cs="Arial"/>
          <w:lang w:val="pt-BR"/>
        </w:rPr>
      </w:pPr>
      <w:r w:rsidRPr="006C62EE">
        <w:rPr>
          <w:rFonts w:cs="Arial"/>
          <w:b/>
          <w:lang w:val="pt-BR"/>
        </w:rPr>
        <w:t>3.3.5</w:t>
      </w:r>
      <w:r w:rsidRPr="004D5B16">
        <w:rPr>
          <w:rFonts w:cs="Arial"/>
          <w:lang w:val="pt-BR"/>
        </w:rPr>
        <w:t xml:space="preserve"> Nos organismos, os polissacarídeos são classificados em dois grupos dependendo da função biológica que desempenham:</w:t>
      </w:r>
    </w:p>
    <w:p w:rsidR="004D5B16" w:rsidRPr="004D5B16" w:rsidRDefault="004D5B16" w:rsidP="00C52E09">
      <w:pPr>
        <w:numPr>
          <w:ilvl w:val="0"/>
          <w:numId w:val="23"/>
        </w:numPr>
        <w:spacing w:before="120" w:after="0"/>
        <w:jc w:val="both"/>
        <w:rPr>
          <w:rFonts w:cs="Arial"/>
          <w:lang w:val="pt-BR"/>
        </w:rPr>
      </w:pPr>
      <w:r w:rsidRPr="004D5B16">
        <w:rPr>
          <w:rFonts w:cs="Arial"/>
          <w:lang w:val="pt-BR"/>
        </w:rPr>
        <w:t>Polissacarídeos de reserva energética – a molécula provedora de energia para os seres vivos é principalmente a glicose (monossacarídeo), no entanto, quando esta não participa na produção de energia, é armazenada na forma de um polissacarídeo (amido nas plantas e glicogénio nos animais)</w:t>
      </w:r>
    </w:p>
    <w:p w:rsidR="004D5B16" w:rsidRPr="004D5B16" w:rsidRDefault="004D5B16" w:rsidP="00C52E09">
      <w:pPr>
        <w:numPr>
          <w:ilvl w:val="0"/>
          <w:numId w:val="23"/>
        </w:numPr>
        <w:spacing w:before="120" w:after="0"/>
        <w:jc w:val="both"/>
        <w:rPr>
          <w:rFonts w:cs="Arial"/>
          <w:lang w:val="pt-BR"/>
        </w:rPr>
      </w:pPr>
      <w:r w:rsidRPr="004E1933">
        <w:rPr>
          <w:rFonts w:cs="Arial"/>
          <w:lang w:val="pt-BR"/>
        </w:rPr>
        <w:t xml:space="preserve">Polissacarídeos estruturais – que participam na formação de estruturas orgânicas, estando entre os mais importantes a celulose, que é um dos componentes principais da parede celular das plantas. A quitina é um material composto por unidades do monossacarídeo N-acetilglicosamina, com consistência dura, e é o componente principal dos exoesqueletos dos artrópodes. Outros polissacarídeos, como glicanos e agarose, formam parte das paredes celulares de bactérias e algas. </w:t>
      </w:r>
      <w:r w:rsidRPr="004D5B16">
        <w:rPr>
          <w:rFonts w:cs="Arial"/>
          <w:lang w:val="pt-BR"/>
        </w:rPr>
        <w:t>Por último, os glicosaminoglicanos integram a matriz extracelular em animais multicelulares.</w:t>
      </w:r>
    </w:p>
    <w:p w:rsidR="004D5B16" w:rsidRPr="004D5B16" w:rsidRDefault="004D5B16" w:rsidP="004D5B16">
      <w:pPr>
        <w:spacing w:before="120"/>
        <w:ind w:left="1080"/>
        <w:jc w:val="both"/>
        <w:rPr>
          <w:rFonts w:cs="Arial"/>
          <w:lang w:val="pt-BR"/>
        </w:rPr>
      </w:pPr>
    </w:p>
    <w:p w:rsidR="004D5B16" w:rsidRDefault="004D5B16" w:rsidP="004D5B16">
      <w:pPr>
        <w:jc w:val="center"/>
        <w:rPr>
          <w:sz w:val="20"/>
        </w:rPr>
      </w:pPr>
      <w:r>
        <w:rPr>
          <w:noProof/>
          <w:sz w:val="20"/>
          <w:lang w:val="en-ZW" w:eastAsia="en-ZW"/>
        </w:rPr>
        <w:drawing>
          <wp:inline distT="0" distB="0" distL="0" distR="0" wp14:anchorId="5B5DDEDC" wp14:editId="3B3B919D">
            <wp:extent cx="2133600" cy="1514475"/>
            <wp:effectExtent l="19050" t="0" r="0" b="0"/>
            <wp:docPr id="24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grayscl/>
                    </a:blip>
                    <a:srcRect t="19925" r="64043" b="20300"/>
                    <a:stretch>
                      <a:fillRect/>
                    </a:stretch>
                  </pic:blipFill>
                  <pic:spPr bwMode="auto">
                    <a:xfrm>
                      <a:off x="0" y="0"/>
                      <a:ext cx="2133600" cy="1514475"/>
                    </a:xfrm>
                    <a:prstGeom prst="rect">
                      <a:avLst/>
                    </a:prstGeom>
                    <a:noFill/>
                    <a:ln w="9525">
                      <a:noFill/>
                      <a:miter lim="800000"/>
                      <a:headEnd/>
                      <a:tailEnd/>
                    </a:ln>
                  </pic:spPr>
                </pic:pic>
              </a:graphicData>
            </a:graphic>
          </wp:inline>
        </w:drawing>
      </w:r>
      <w:r>
        <w:rPr>
          <w:noProof/>
          <w:sz w:val="20"/>
          <w:lang w:val="en-ZW" w:eastAsia="en-ZW"/>
        </w:rPr>
        <w:drawing>
          <wp:inline distT="0" distB="0" distL="0" distR="0" wp14:anchorId="774DF8E4" wp14:editId="05524043">
            <wp:extent cx="1905000" cy="1514475"/>
            <wp:effectExtent l="19050" t="0" r="0" b="0"/>
            <wp:docPr id="2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grayscl/>
                    </a:blip>
                    <a:srcRect l="68224" t="19925" r="-330" b="20300"/>
                    <a:stretch>
                      <a:fillRect/>
                    </a:stretch>
                  </pic:blipFill>
                  <pic:spPr bwMode="auto">
                    <a:xfrm>
                      <a:off x="0" y="0"/>
                      <a:ext cx="1905000" cy="1514475"/>
                    </a:xfrm>
                    <a:prstGeom prst="rect">
                      <a:avLst/>
                    </a:prstGeom>
                    <a:noFill/>
                    <a:ln w="9525">
                      <a:noFill/>
                      <a:miter lim="800000"/>
                      <a:headEnd/>
                      <a:tailEnd/>
                    </a:ln>
                  </pic:spPr>
                </pic:pic>
              </a:graphicData>
            </a:graphic>
          </wp:inline>
        </w:drawing>
      </w:r>
    </w:p>
    <w:p w:rsidR="004D5B16" w:rsidRPr="004E1933" w:rsidRDefault="004D5B16" w:rsidP="00506DE0">
      <w:pPr>
        <w:jc w:val="center"/>
        <w:rPr>
          <w:rFonts w:cs="Arial"/>
          <w:sz w:val="20"/>
          <w:lang w:val="pt-BR"/>
        </w:rPr>
      </w:pPr>
      <w:r w:rsidRPr="004E1933">
        <w:rPr>
          <w:rFonts w:cs="Arial"/>
          <w:b/>
          <w:sz w:val="20"/>
          <w:lang w:val="pt-BR"/>
        </w:rPr>
        <w:t>Figura 4</w:t>
      </w:r>
      <w:r w:rsidR="00506DE0">
        <w:rPr>
          <w:rFonts w:cs="Arial"/>
          <w:b/>
          <w:sz w:val="20"/>
          <w:lang w:val="pt-BR"/>
        </w:rPr>
        <w:t xml:space="preserve">: </w:t>
      </w:r>
      <w:r w:rsidRPr="004E1933">
        <w:rPr>
          <w:rFonts w:cs="Arial"/>
          <w:sz w:val="20"/>
          <w:lang w:val="pt-BR"/>
        </w:rPr>
        <w:t>Representação esquemática de um polissacarídeo linear e outro ramificado.</w:t>
      </w:r>
    </w:p>
    <w:p w:rsidR="004D5B16" w:rsidRPr="004D5B16" w:rsidRDefault="004D5B16" w:rsidP="00C52E09">
      <w:pPr>
        <w:numPr>
          <w:ilvl w:val="2"/>
          <w:numId w:val="24"/>
        </w:numPr>
        <w:spacing w:before="120" w:after="0"/>
        <w:ind w:firstLine="90"/>
        <w:jc w:val="both"/>
        <w:rPr>
          <w:rFonts w:cs="Arial"/>
          <w:lang w:val="pt-BR"/>
        </w:rPr>
      </w:pPr>
      <w:r w:rsidRPr="004E1933">
        <w:rPr>
          <w:rFonts w:cs="Arial"/>
          <w:lang w:val="pt-BR"/>
        </w:rPr>
        <w:t xml:space="preserve">Oligossacarídeos e polissacarídeos podem agir também como </w:t>
      </w:r>
      <w:r w:rsidRPr="004E1933">
        <w:rPr>
          <w:rFonts w:cs="Arial"/>
          <w:b/>
          <w:bCs/>
          <w:lang w:val="pt-BR"/>
        </w:rPr>
        <w:t>portadores de informação</w:t>
      </w:r>
      <w:r w:rsidRPr="004E1933">
        <w:rPr>
          <w:rFonts w:cs="Arial"/>
          <w:lang w:val="pt-BR"/>
        </w:rPr>
        <w:t xml:space="preserve">. Eles podem ser reconhecidos como alvo por algumas proteínas, e podem também funcionar como mediadores de interacções entre células ou entre células e a matriz extracelular. Determinadas moléculas que contem carboidratos na sua estrutura jogam papel importante no reconhecimento célula-célula, aderência celular, migração celular, coagulação sanguínea, cicatrização e reconhecimento imune. </w:t>
      </w:r>
      <w:r w:rsidRPr="004D5B16">
        <w:rPr>
          <w:rFonts w:cs="Arial"/>
          <w:lang w:val="pt-BR"/>
        </w:rPr>
        <w:t>Estas moléculas podem-se agrupar com outras moléculas formando por exemplo: proteoglicanos ou glicoproteínas, e glicolípidos.</w:t>
      </w:r>
    </w:p>
    <w:p w:rsidR="004D5B16" w:rsidRPr="004D5B16" w:rsidRDefault="004D5B16" w:rsidP="004D5B16">
      <w:pPr>
        <w:shd w:val="clear" w:color="auto" w:fill="B8CCE4"/>
        <w:tabs>
          <w:tab w:val="left" w:pos="1276"/>
          <w:tab w:val="right" w:pos="8550"/>
        </w:tabs>
        <w:spacing w:before="120" w:after="120"/>
        <w:ind w:right="-43"/>
        <w:jc w:val="both"/>
        <w:rPr>
          <w:rFonts w:cs="Arial"/>
          <w:b/>
          <w:sz w:val="24"/>
          <w:lang w:val="pt-BR"/>
        </w:rPr>
      </w:pPr>
      <w:r w:rsidRPr="004D5B16">
        <w:rPr>
          <w:rFonts w:cs="Arial"/>
          <w:b/>
          <w:sz w:val="24"/>
          <w:lang w:val="pt-BR"/>
        </w:rPr>
        <w:lastRenderedPageBreak/>
        <w:t>BLOCO 4: LÍPIDOS: DEFINIÇÃO, CLASSIFICAÇÃO E FUNÇÕES</w:t>
      </w:r>
    </w:p>
    <w:p w:rsidR="004D5B16" w:rsidRPr="0005579B" w:rsidRDefault="004D5B16" w:rsidP="00C52E09">
      <w:pPr>
        <w:numPr>
          <w:ilvl w:val="1"/>
          <w:numId w:val="25"/>
        </w:numPr>
        <w:spacing w:before="120" w:after="0"/>
        <w:rPr>
          <w:rFonts w:cs="Arial"/>
        </w:rPr>
      </w:pPr>
      <w:r w:rsidRPr="004D5B16">
        <w:rPr>
          <w:rFonts w:cs="Arial"/>
          <w:lang w:val="pt-BR"/>
        </w:rPr>
        <w:t xml:space="preserve">Os lípidos são um grupo de diversos compostos de carbono, cuja característica comum e definidora é a sua baixa solubilidade em água. </w:t>
      </w:r>
      <w:r w:rsidRPr="0005579B">
        <w:rPr>
          <w:rFonts w:cs="Arial"/>
        </w:rPr>
        <w:t xml:space="preserve">Quer dizer, eles são compostos </w:t>
      </w:r>
      <w:r w:rsidRPr="0005579B">
        <w:rPr>
          <w:rFonts w:cs="Arial"/>
          <w:b/>
          <w:bCs/>
        </w:rPr>
        <w:t>hidrófobos</w:t>
      </w:r>
      <w:r w:rsidRPr="0005579B">
        <w:rPr>
          <w:rFonts w:cs="Arial"/>
        </w:rPr>
        <w:t>.</w:t>
      </w:r>
    </w:p>
    <w:p w:rsidR="004D5B16" w:rsidRPr="004D5B16" w:rsidRDefault="004D5B16" w:rsidP="00C52E09">
      <w:pPr>
        <w:numPr>
          <w:ilvl w:val="1"/>
          <w:numId w:val="25"/>
        </w:numPr>
        <w:spacing w:before="120" w:after="0"/>
        <w:rPr>
          <w:rFonts w:cs="Arial"/>
          <w:lang w:val="pt-BR"/>
        </w:rPr>
      </w:pPr>
      <w:r w:rsidRPr="004D5B16">
        <w:rPr>
          <w:rFonts w:cs="Arial"/>
          <w:lang w:val="pt-BR"/>
        </w:rPr>
        <w:t>Devido a sua grande diversidade em composição e estrutura química, os lípidos classificam-se normalmente com base as suas funções biológicas:</w:t>
      </w:r>
    </w:p>
    <w:p w:rsidR="004D5B16" w:rsidRPr="0005579B" w:rsidRDefault="004D5B16" w:rsidP="00C52E09">
      <w:pPr>
        <w:numPr>
          <w:ilvl w:val="2"/>
          <w:numId w:val="25"/>
        </w:numPr>
        <w:spacing w:before="120" w:after="0"/>
        <w:ind w:firstLine="0"/>
        <w:rPr>
          <w:rFonts w:cs="Arial"/>
        </w:rPr>
      </w:pPr>
      <w:r w:rsidRPr="0005579B">
        <w:rPr>
          <w:rFonts w:cs="Arial"/>
        </w:rPr>
        <w:t>Armazenamento de energia.</w:t>
      </w:r>
    </w:p>
    <w:p w:rsidR="004D5B16" w:rsidRPr="0005579B" w:rsidRDefault="004D5B16" w:rsidP="004D5B16">
      <w:pPr>
        <w:pStyle w:val="TM-4n"/>
        <w:tabs>
          <w:tab w:val="clear" w:pos="458"/>
          <w:tab w:val="clear" w:pos="1134"/>
        </w:tabs>
        <w:spacing w:before="120" w:after="0" w:line="276" w:lineRule="auto"/>
        <w:ind w:left="1440"/>
      </w:pPr>
      <w:r w:rsidRPr="0005579B">
        <w:t xml:space="preserve">De forma quase universal, os seres vivos armazenam a </w:t>
      </w:r>
      <w:r w:rsidRPr="0005579B">
        <w:rPr>
          <w:b/>
          <w:bCs/>
        </w:rPr>
        <w:t>energia a longo prazo</w:t>
      </w:r>
      <w:r w:rsidRPr="0005579B">
        <w:t xml:space="preserve"> em forma de derivados de ácidos graxos (gordos). Os </w:t>
      </w:r>
      <w:r w:rsidRPr="0005579B">
        <w:rPr>
          <w:b/>
          <w:bCs/>
        </w:rPr>
        <w:t>ácidos graxos</w:t>
      </w:r>
      <w:r w:rsidRPr="0005579B">
        <w:t xml:space="preserve"> são compostos lineares hidrocarbonados, e a sua oxidação a dióxido de carbono e água desprende uma grande quantidade de energia. Dependendo da estrutura das ligações químicas entre os átomos de carbono do ácido graxo, estes podem-se dividir em </w:t>
      </w:r>
      <w:r w:rsidRPr="0005579B">
        <w:rPr>
          <w:b/>
          <w:bCs/>
        </w:rPr>
        <w:t>ácidos graxos saturados</w:t>
      </w:r>
      <w:r w:rsidRPr="0005579B">
        <w:t xml:space="preserve"> (não existem ligações duplas em nenhum ponto da cadeia) e </w:t>
      </w:r>
      <w:r w:rsidRPr="0005579B">
        <w:rPr>
          <w:b/>
          <w:bCs/>
        </w:rPr>
        <w:t>ácidos graxos insaturados</w:t>
      </w:r>
      <w:r w:rsidRPr="0005579B">
        <w:t xml:space="preserve"> (contem uma ou mais ligações duplas na cadeia). O ácido graxo saturado é praticamente insolúvel em água, e a sua consistência é cérea. No sangue, os ácidos graxos aparecem normalmente combinados com o álcool glicerol, formando os </w:t>
      </w:r>
      <w:r w:rsidRPr="0005579B">
        <w:rPr>
          <w:b/>
          <w:bCs/>
        </w:rPr>
        <w:t>triglicerídeos</w:t>
      </w:r>
      <w:r w:rsidRPr="0005579B">
        <w:t>, que estão compostos por três moléculas de ácido graxo ligadas a uma molécula de glicerol. Os triglicerídeos são altamente insolúveis em água, e se a sua concentração no sangue supera os limites normais, podem aparecer acúmulos de gorduras que se aderem à parede interna dos vasos (aterosclerose) que provocam alterações patológica na circulação do sangue.</w:t>
      </w:r>
    </w:p>
    <w:p w:rsidR="004D5B16" w:rsidRDefault="004D5B16" w:rsidP="004D5B16">
      <w:pPr>
        <w:jc w:val="center"/>
        <w:rPr>
          <w:sz w:val="20"/>
        </w:rPr>
      </w:pPr>
      <w:r>
        <w:rPr>
          <w:noProof/>
          <w:sz w:val="20"/>
          <w:lang w:val="en-ZW" w:eastAsia="en-ZW"/>
        </w:rPr>
        <w:drawing>
          <wp:inline distT="0" distB="0" distL="0" distR="0" wp14:anchorId="3F78005D" wp14:editId="79B2C833">
            <wp:extent cx="3705225" cy="2457450"/>
            <wp:effectExtent l="19050" t="0" r="9525" b="0"/>
            <wp:docPr id="24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grayscl/>
                    </a:blip>
                    <a:srcRect/>
                    <a:stretch>
                      <a:fillRect/>
                    </a:stretch>
                  </pic:blipFill>
                  <pic:spPr bwMode="auto">
                    <a:xfrm>
                      <a:off x="0" y="0"/>
                      <a:ext cx="3705225" cy="2457450"/>
                    </a:xfrm>
                    <a:prstGeom prst="rect">
                      <a:avLst/>
                    </a:prstGeom>
                    <a:noFill/>
                    <a:ln w="9525">
                      <a:noFill/>
                      <a:miter lim="800000"/>
                      <a:headEnd/>
                      <a:tailEnd/>
                    </a:ln>
                  </pic:spPr>
                </pic:pic>
              </a:graphicData>
            </a:graphic>
          </wp:inline>
        </w:drawing>
      </w:r>
    </w:p>
    <w:p w:rsidR="004D5B16" w:rsidRPr="004E1933" w:rsidRDefault="004D5B16" w:rsidP="004D5B16">
      <w:pPr>
        <w:jc w:val="center"/>
        <w:rPr>
          <w:rFonts w:cs="Arial"/>
          <w:sz w:val="20"/>
          <w:lang w:val="pt-BR"/>
        </w:rPr>
      </w:pPr>
      <w:r w:rsidRPr="004E1933">
        <w:rPr>
          <w:rFonts w:cs="Arial"/>
          <w:b/>
          <w:sz w:val="20"/>
          <w:lang w:val="pt-BR"/>
        </w:rPr>
        <w:t>Figura 5</w:t>
      </w:r>
      <w:r w:rsidR="00506DE0">
        <w:rPr>
          <w:rFonts w:cs="Arial"/>
          <w:b/>
          <w:sz w:val="20"/>
          <w:lang w:val="pt-BR"/>
        </w:rPr>
        <w:t>:</w:t>
      </w:r>
      <w:r w:rsidRPr="004E1933">
        <w:rPr>
          <w:rFonts w:cs="Arial"/>
          <w:sz w:val="20"/>
          <w:lang w:val="pt-BR"/>
        </w:rPr>
        <w:t xml:space="preserve"> Esquema de um ácido graxo e de um triglicerídeo.</w:t>
      </w:r>
    </w:p>
    <w:p w:rsidR="004D5B16" w:rsidRDefault="004D5B16" w:rsidP="004D5B16">
      <w:pPr>
        <w:pStyle w:val="TM-4n"/>
        <w:tabs>
          <w:tab w:val="clear" w:pos="458"/>
        </w:tabs>
        <w:spacing w:before="120" w:after="0" w:line="276" w:lineRule="auto"/>
        <w:ind w:left="1080" w:firstLine="0"/>
      </w:pPr>
      <w:r w:rsidRPr="0005579B">
        <w:t xml:space="preserve">Os triglicerídeos (óleos e gorduras) podem armazenar mais do dobro de energia que os polissacarídeos no mesmo peso. Em muitos animais, incluindo o ser humano, os triglicerídeos depositam-se numas células especiais chamadas </w:t>
      </w:r>
      <w:r w:rsidRPr="0005579B">
        <w:rPr>
          <w:b/>
          <w:bCs/>
        </w:rPr>
        <w:t>adipocitos</w:t>
      </w:r>
      <w:r w:rsidRPr="0005579B">
        <w:t>, que formam o tecido graxo subcutâneo. Uma pessoa moderadamente obesa, com 10-15 quilogramas de gorduras distribuídos no seu corpo, tem garantido as suas necessidades energéticas durante meses, utilizando os seus depósitos de gordura. Os depósitos de triglicerídeos subcutâneos têm também uma função de isolamento térmico, já que ajudam a conservar o calor corporal.</w:t>
      </w:r>
    </w:p>
    <w:p w:rsidR="004D5B16" w:rsidRPr="004D5B16" w:rsidRDefault="004D5B16" w:rsidP="00C52E09">
      <w:pPr>
        <w:numPr>
          <w:ilvl w:val="2"/>
          <w:numId w:val="25"/>
        </w:numPr>
        <w:spacing w:before="120" w:after="0"/>
        <w:ind w:firstLine="0"/>
        <w:rPr>
          <w:rFonts w:cs="Arial"/>
          <w:lang w:val="pt-BR"/>
        </w:rPr>
      </w:pPr>
      <w:r w:rsidRPr="004D5B16">
        <w:rPr>
          <w:rFonts w:cs="Arial"/>
          <w:lang w:val="pt-BR"/>
        </w:rPr>
        <w:t>Componentes estruturais da membrana celular.</w:t>
      </w:r>
    </w:p>
    <w:p w:rsidR="004D5B16" w:rsidRPr="0005579B" w:rsidRDefault="004D5B16" w:rsidP="00C52E09">
      <w:pPr>
        <w:pStyle w:val="TM-4n"/>
        <w:numPr>
          <w:ilvl w:val="0"/>
          <w:numId w:val="284"/>
        </w:numPr>
        <w:spacing w:before="120" w:after="0" w:line="276" w:lineRule="auto"/>
      </w:pPr>
      <w:r w:rsidRPr="0005579B">
        <w:t>A característica estrutural mais importante de todas as membranas biológicas é uma camada dupla de lípidos</w:t>
      </w:r>
      <w:r>
        <w:t xml:space="preserve"> (vide aula 1 da disciplina de Anatomia e Fisiologia)</w:t>
      </w:r>
      <w:r w:rsidRPr="0005579B">
        <w:t xml:space="preserve">. Esta dupla camada impede a passagem de moléculas carregadas e iões. Os lípidos de </w:t>
      </w:r>
      <w:r w:rsidRPr="0005579B">
        <w:lastRenderedPageBreak/>
        <w:t>membrana podem ser divididos em grupos diferentes, dos quais podemos considerar os fosfolípidos, os galactolípidos, os esfingolípidos e os esteróides.</w:t>
      </w:r>
    </w:p>
    <w:p w:rsidR="004D5B16" w:rsidRPr="0005579B" w:rsidRDefault="004D5B16" w:rsidP="00C52E09">
      <w:pPr>
        <w:numPr>
          <w:ilvl w:val="2"/>
          <w:numId w:val="25"/>
        </w:numPr>
        <w:spacing w:before="120" w:after="0"/>
        <w:ind w:firstLine="0"/>
        <w:rPr>
          <w:rFonts w:cs="Arial"/>
        </w:rPr>
      </w:pPr>
      <w:r w:rsidRPr="004D5B16">
        <w:rPr>
          <w:rFonts w:cs="Arial"/>
          <w:lang w:val="pt-BR"/>
        </w:rPr>
        <w:t xml:space="preserve">Porém, outros grupos de lípidos têm </w:t>
      </w:r>
      <w:r w:rsidRPr="004D5B16">
        <w:rPr>
          <w:rFonts w:cs="Arial"/>
          <w:b/>
          <w:bCs/>
          <w:lang w:val="pt-BR"/>
        </w:rPr>
        <w:t>funções activas no metabolismo celular</w:t>
      </w:r>
      <w:r w:rsidRPr="004D5B16">
        <w:rPr>
          <w:rFonts w:cs="Arial"/>
          <w:lang w:val="pt-BR"/>
        </w:rPr>
        <w:t xml:space="preserve">. </w:t>
      </w:r>
      <w:r w:rsidRPr="0005579B">
        <w:rPr>
          <w:rFonts w:cs="Arial"/>
        </w:rPr>
        <w:t>Entre estes, podemos destacar os seguintes:</w:t>
      </w:r>
    </w:p>
    <w:p w:rsidR="004D5B16" w:rsidRPr="0005579B" w:rsidRDefault="004D5B16" w:rsidP="00C52E09">
      <w:pPr>
        <w:pStyle w:val="TM-4n"/>
        <w:numPr>
          <w:ilvl w:val="0"/>
          <w:numId w:val="284"/>
        </w:numPr>
        <w:tabs>
          <w:tab w:val="clear" w:pos="1134"/>
        </w:tabs>
        <w:spacing w:before="120" w:after="0" w:line="276" w:lineRule="auto"/>
      </w:pPr>
      <w:r w:rsidRPr="0005579B">
        <w:rPr>
          <w:b/>
          <w:bCs/>
        </w:rPr>
        <w:t>Prostaglandinas</w:t>
      </w:r>
      <w:r w:rsidRPr="0005579B">
        <w:t xml:space="preserve">, </w:t>
      </w:r>
      <w:r w:rsidRPr="0005579B">
        <w:rPr>
          <w:b/>
          <w:bCs/>
        </w:rPr>
        <w:t>tromboxanos</w:t>
      </w:r>
      <w:r w:rsidRPr="0005579B">
        <w:t xml:space="preserve"> e </w:t>
      </w:r>
      <w:r w:rsidRPr="0005579B">
        <w:rPr>
          <w:b/>
          <w:bCs/>
        </w:rPr>
        <w:t>leucotrienos</w:t>
      </w:r>
      <w:r w:rsidRPr="0005579B">
        <w:t xml:space="preserve">. Eles agem como </w:t>
      </w:r>
      <w:r w:rsidRPr="0005579B">
        <w:rPr>
          <w:b/>
          <w:bCs/>
        </w:rPr>
        <w:t>hormonas paracrinas</w:t>
      </w:r>
      <w:r w:rsidRPr="0005579B">
        <w:t>, isto é, que actuam nas células próximas ao local da sua síntese, em vez de ser transportadas pelo sangue aos tecidos alvos., Estão envolvidos principalmente em funções reprodutivas; na tríada inflamação, febre e dor associada a lesões ou doenças; na coagulação; na regulação da tensão arterial; e na secreção de ácidos no estômago.</w:t>
      </w:r>
    </w:p>
    <w:p w:rsidR="004D5B16" w:rsidRPr="0005579B" w:rsidRDefault="004D5B16" w:rsidP="00C52E09">
      <w:pPr>
        <w:pStyle w:val="TM-4n"/>
        <w:numPr>
          <w:ilvl w:val="0"/>
          <w:numId w:val="284"/>
        </w:numPr>
        <w:tabs>
          <w:tab w:val="clear" w:pos="1134"/>
        </w:tabs>
        <w:spacing w:before="120" w:after="0" w:line="276" w:lineRule="auto"/>
      </w:pPr>
      <w:r w:rsidRPr="0005579B">
        <w:rPr>
          <w:b/>
          <w:bCs/>
        </w:rPr>
        <w:t>Hormonas esteróides</w:t>
      </w:r>
      <w:r w:rsidRPr="0005579B">
        <w:t>. Derivadas do colesterol, que é uma molécula encontrada em todas as membranas celulares, e que tem importância clínica por que a sua acumulação nos vasos sanguíneos pode causar doenças cardiovasculares. Podem-se dividir em hormonas sexuais (masculinas e femininas), e hormonas produzidas na glândula supra-renal, como cortisol (envolvido no metabolismo da glicose) e aldosterona (envolvida na regulação da excreção de sódio e potássio na urina).</w:t>
      </w:r>
    </w:p>
    <w:p w:rsidR="004D5B16" w:rsidRDefault="004D5B16" w:rsidP="004D5B16">
      <w:pPr>
        <w:jc w:val="center"/>
        <w:rPr>
          <w:sz w:val="20"/>
        </w:rPr>
      </w:pPr>
      <w:r>
        <w:rPr>
          <w:noProof/>
          <w:sz w:val="20"/>
          <w:lang w:val="en-ZW" w:eastAsia="en-ZW"/>
        </w:rPr>
        <w:drawing>
          <wp:inline distT="0" distB="0" distL="0" distR="0" wp14:anchorId="5AB73341" wp14:editId="41361FA7">
            <wp:extent cx="3648075" cy="1866900"/>
            <wp:effectExtent l="19050" t="0" r="9525" b="0"/>
            <wp:docPr id="24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cstate="print">
                      <a:grayscl/>
                    </a:blip>
                    <a:srcRect/>
                    <a:stretch>
                      <a:fillRect/>
                    </a:stretch>
                  </pic:blipFill>
                  <pic:spPr bwMode="auto">
                    <a:xfrm>
                      <a:off x="0" y="0"/>
                      <a:ext cx="3648075" cy="1866900"/>
                    </a:xfrm>
                    <a:prstGeom prst="rect">
                      <a:avLst/>
                    </a:prstGeom>
                    <a:noFill/>
                    <a:ln w="9525">
                      <a:noFill/>
                      <a:miter lim="800000"/>
                      <a:headEnd/>
                      <a:tailEnd/>
                    </a:ln>
                  </pic:spPr>
                </pic:pic>
              </a:graphicData>
            </a:graphic>
          </wp:inline>
        </w:drawing>
      </w:r>
    </w:p>
    <w:p w:rsidR="004D5B16" w:rsidRDefault="004D5B16" w:rsidP="004D5B16">
      <w:pPr>
        <w:jc w:val="center"/>
        <w:rPr>
          <w:rFonts w:cs="Arial"/>
          <w:sz w:val="20"/>
        </w:rPr>
      </w:pPr>
      <w:r>
        <w:rPr>
          <w:rFonts w:cs="Arial"/>
          <w:b/>
          <w:sz w:val="20"/>
        </w:rPr>
        <w:t>Figura 6</w:t>
      </w:r>
      <w:r w:rsidR="00506DE0">
        <w:rPr>
          <w:rFonts w:cs="Arial"/>
          <w:b/>
          <w:sz w:val="20"/>
        </w:rPr>
        <w:t>:</w:t>
      </w:r>
      <w:r w:rsidRPr="0019736C">
        <w:rPr>
          <w:rFonts w:cs="Arial"/>
          <w:sz w:val="20"/>
        </w:rPr>
        <w:t xml:space="preserve"> Esquema do colesterol</w:t>
      </w:r>
      <w:r>
        <w:rPr>
          <w:rFonts w:cs="Arial"/>
          <w:sz w:val="20"/>
        </w:rPr>
        <w:t>.</w:t>
      </w:r>
    </w:p>
    <w:p w:rsidR="004D5B16" w:rsidRDefault="004D5B16" w:rsidP="00C52E09">
      <w:pPr>
        <w:pStyle w:val="TM-4n"/>
        <w:numPr>
          <w:ilvl w:val="0"/>
          <w:numId w:val="285"/>
        </w:numPr>
        <w:tabs>
          <w:tab w:val="clear" w:pos="1134"/>
        </w:tabs>
        <w:spacing w:before="120" w:after="0" w:line="276" w:lineRule="auto"/>
      </w:pPr>
      <w:r w:rsidRPr="0005579B">
        <w:rPr>
          <w:b/>
          <w:bCs/>
        </w:rPr>
        <w:t>Vitaminas lipossolúveis</w:t>
      </w:r>
      <w:r w:rsidRPr="0005579B">
        <w:t>. A vitamina A está envolvida no desenvolvimento dos tecidos epiteliais e funciona como pigmento visual no olho dos vertebrados. A vitamina D participa na regulação de absorção de cálcio no intestino e o seu nível em ossos e rins. A vitamina E é um potente antioxidante. Por último, a vitamina K é imprescindível para a coagulação.</w:t>
      </w:r>
      <w:r>
        <w:t xml:space="preserve"> Essas vitaminas lipossolúveis podem ser lembradas usando a mnemónica ADEK.</w:t>
      </w:r>
    </w:p>
    <w:p w:rsidR="006C62EE" w:rsidRDefault="006C62EE" w:rsidP="00506DE0">
      <w:pPr>
        <w:pStyle w:val="TM-4n"/>
        <w:numPr>
          <w:ilvl w:val="0"/>
          <w:numId w:val="0"/>
        </w:numPr>
        <w:tabs>
          <w:tab w:val="clear" w:pos="1134"/>
        </w:tabs>
        <w:spacing w:after="0"/>
        <w:ind w:left="1440"/>
      </w:pPr>
    </w:p>
    <w:p w:rsidR="004D5B16" w:rsidRPr="004D5B16" w:rsidRDefault="004D5B16" w:rsidP="004D5B16">
      <w:pPr>
        <w:shd w:val="clear" w:color="auto" w:fill="B8CCE4"/>
        <w:tabs>
          <w:tab w:val="left" w:pos="1276"/>
          <w:tab w:val="right" w:pos="8550"/>
        </w:tabs>
        <w:spacing w:before="120" w:after="120"/>
        <w:ind w:right="-43"/>
        <w:jc w:val="both"/>
        <w:rPr>
          <w:rFonts w:cs="Arial"/>
          <w:b/>
          <w:sz w:val="24"/>
          <w:lang w:val="pt-BR"/>
        </w:rPr>
      </w:pPr>
      <w:r w:rsidRPr="004D5B16">
        <w:rPr>
          <w:rFonts w:cs="Arial"/>
          <w:b/>
          <w:sz w:val="24"/>
          <w:lang w:val="pt-BR"/>
        </w:rPr>
        <w:t>BLOCO 5: PROTEÍNAS: DEFINIÇÃO, CLASSIFICAÇÃO E FUNÇÕES</w:t>
      </w:r>
    </w:p>
    <w:p w:rsidR="004D5B16" w:rsidRPr="004D5B16" w:rsidRDefault="004D5B16" w:rsidP="00C52E09">
      <w:pPr>
        <w:numPr>
          <w:ilvl w:val="1"/>
          <w:numId w:val="26"/>
        </w:numPr>
        <w:spacing w:before="120" w:after="0"/>
        <w:jc w:val="both"/>
        <w:rPr>
          <w:rFonts w:cs="Arial"/>
          <w:lang w:val="pt-BR"/>
        </w:rPr>
      </w:pPr>
      <w:r w:rsidRPr="004E1933">
        <w:rPr>
          <w:rFonts w:cs="Arial"/>
          <w:lang w:val="pt-BR"/>
        </w:rPr>
        <w:t xml:space="preserve">As proteínas são as macromoléculas mais abundantes na natureza. </w:t>
      </w:r>
      <w:r w:rsidRPr="004D5B16">
        <w:rPr>
          <w:rFonts w:cs="Arial"/>
          <w:lang w:val="pt-BR"/>
        </w:rPr>
        <w:t>Tem tamanhos, estruturas, propriedades e funções biológicas imensamente variadas. As proteínas são o produto imediato da informação genética contida no ADN.</w:t>
      </w:r>
    </w:p>
    <w:p w:rsidR="004D5B16" w:rsidRPr="004D5B16" w:rsidRDefault="004D5B16" w:rsidP="00C52E09">
      <w:pPr>
        <w:numPr>
          <w:ilvl w:val="1"/>
          <w:numId w:val="26"/>
        </w:numPr>
        <w:spacing w:before="120" w:after="0"/>
        <w:jc w:val="both"/>
        <w:rPr>
          <w:rFonts w:cs="Arial"/>
          <w:lang w:val="pt-BR"/>
        </w:rPr>
      </w:pPr>
      <w:r w:rsidRPr="004D5B16">
        <w:rPr>
          <w:rFonts w:cs="Arial"/>
          <w:lang w:val="pt-BR"/>
        </w:rPr>
        <w:t xml:space="preserve">As proteínas são polímeros formados por </w:t>
      </w:r>
      <w:r w:rsidRPr="004D5B16">
        <w:rPr>
          <w:rFonts w:cs="Arial"/>
          <w:b/>
          <w:bCs/>
          <w:lang w:val="pt-BR"/>
        </w:rPr>
        <w:t>aminoácidos</w:t>
      </w:r>
      <w:r w:rsidRPr="004D5B16">
        <w:rPr>
          <w:rFonts w:cs="Arial"/>
          <w:lang w:val="pt-BR"/>
        </w:rPr>
        <w:t xml:space="preserve">. Normalmente, as proteínas estão formadas por combinações de 20 aminoácidos diferentes. A estrutura dos aminoácidos é similar para todos eles, com um grupo carbonado unidos a um átomo de carbono central; </w:t>
      </w:r>
    </w:p>
    <w:p w:rsidR="004D5B16" w:rsidRPr="004D5B16" w:rsidRDefault="004D5B16" w:rsidP="004D5B16">
      <w:pPr>
        <w:spacing w:before="120"/>
        <w:ind w:left="450"/>
        <w:rPr>
          <w:rFonts w:cs="Arial"/>
          <w:lang w:val="pt-BR"/>
        </w:rPr>
      </w:pPr>
    </w:p>
    <w:p w:rsidR="004D5B16" w:rsidRDefault="004D5B16" w:rsidP="004D5B16">
      <w:pPr>
        <w:jc w:val="center"/>
        <w:rPr>
          <w:sz w:val="20"/>
        </w:rPr>
      </w:pPr>
      <w:r>
        <w:rPr>
          <w:noProof/>
          <w:lang w:val="en-ZW" w:eastAsia="en-ZW"/>
        </w:rPr>
        <w:lastRenderedPageBreak/>
        <w:drawing>
          <wp:inline distT="0" distB="0" distL="0" distR="0" wp14:anchorId="546917BE" wp14:editId="5EC0B833">
            <wp:extent cx="3552825" cy="2371725"/>
            <wp:effectExtent l="0" t="0" r="9525" b="0"/>
            <wp:docPr id="246" name="Picture 31" descr="C:\Users\mdsantos\Desktop\estrutura_aminoacid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mdsantos\Desktop\estrutura_aminoacido.gif"/>
                    <pic:cNvPicPr>
                      <a:picLocks noChangeAspect="1" noChangeArrowheads="1"/>
                    </pic:cNvPicPr>
                  </pic:nvPicPr>
                  <pic:blipFill>
                    <a:blip r:embed="rId37" cstate="print">
                      <a:grayscl/>
                    </a:blip>
                    <a:srcRect/>
                    <a:stretch>
                      <a:fillRect/>
                    </a:stretch>
                  </pic:blipFill>
                  <pic:spPr bwMode="auto">
                    <a:xfrm>
                      <a:off x="0" y="0"/>
                      <a:ext cx="3552825" cy="2371725"/>
                    </a:xfrm>
                    <a:prstGeom prst="rect">
                      <a:avLst/>
                    </a:prstGeom>
                    <a:noFill/>
                    <a:ln w="9525">
                      <a:noFill/>
                      <a:miter lim="800000"/>
                      <a:headEnd/>
                      <a:tailEnd/>
                    </a:ln>
                  </pic:spPr>
                </pic:pic>
              </a:graphicData>
            </a:graphic>
          </wp:inline>
        </w:drawing>
      </w:r>
    </w:p>
    <w:p w:rsidR="004D5B16" w:rsidRPr="004E1933" w:rsidRDefault="004D5B16" w:rsidP="004D5B16">
      <w:pPr>
        <w:jc w:val="center"/>
        <w:rPr>
          <w:rFonts w:cs="Arial"/>
          <w:sz w:val="20"/>
          <w:lang w:val="pt-BR"/>
        </w:rPr>
      </w:pPr>
      <w:r w:rsidRPr="004E1933">
        <w:rPr>
          <w:rFonts w:cs="Arial"/>
          <w:b/>
          <w:sz w:val="20"/>
          <w:lang w:val="pt-BR"/>
        </w:rPr>
        <w:t>Figura 7</w:t>
      </w:r>
      <w:r w:rsidR="00506DE0">
        <w:rPr>
          <w:rFonts w:cs="Arial"/>
          <w:b/>
          <w:sz w:val="20"/>
          <w:lang w:val="pt-BR"/>
        </w:rPr>
        <w:t>:</w:t>
      </w:r>
      <w:r w:rsidRPr="004E1933">
        <w:rPr>
          <w:rFonts w:cs="Arial"/>
          <w:sz w:val="20"/>
          <w:lang w:val="pt-BR"/>
        </w:rPr>
        <w:t xml:space="preserve"> Esquema genérico de um aminoácido.</w:t>
      </w:r>
    </w:p>
    <w:p w:rsidR="004D5B16" w:rsidRPr="004E1933" w:rsidRDefault="004D5B16" w:rsidP="00C52E09">
      <w:pPr>
        <w:numPr>
          <w:ilvl w:val="1"/>
          <w:numId w:val="26"/>
        </w:numPr>
        <w:spacing w:before="120" w:after="0"/>
        <w:jc w:val="both"/>
        <w:rPr>
          <w:rFonts w:cs="Arial"/>
          <w:lang w:val="pt-BR"/>
        </w:rPr>
      </w:pPr>
      <w:r w:rsidRPr="004E1933">
        <w:rPr>
          <w:rFonts w:cs="Arial"/>
          <w:lang w:val="pt-BR"/>
        </w:rPr>
        <w:t xml:space="preserve">Alguns aminoácidos não podem ser sintetizados pelo organismo humano. Por esta razão, devem ser ingeridos na dieta. Estes aminoácidos são chamados </w:t>
      </w:r>
      <w:r w:rsidRPr="004E1933">
        <w:rPr>
          <w:rFonts w:cs="Arial"/>
          <w:b/>
          <w:lang w:val="pt-BR"/>
        </w:rPr>
        <w:t>aminoácidos essenciais.</w:t>
      </w:r>
    </w:p>
    <w:p w:rsidR="004D5B16" w:rsidRPr="004D5B16" w:rsidRDefault="004D5B16" w:rsidP="00C52E09">
      <w:pPr>
        <w:numPr>
          <w:ilvl w:val="1"/>
          <w:numId w:val="26"/>
        </w:numPr>
        <w:spacing w:before="120" w:after="0"/>
        <w:jc w:val="both"/>
        <w:rPr>
          <w:rFonts w:cs="Arial"/>
          <w:lang w:val="pt-BR"/>
        </w:rPr>
      </w:pPr>
      <w:r w:rsidRPr="004D5B16">
        <w:rPr>
          <w:rFonts w:cs="Arial"/>
          <w:lang w:val="pt-BR"/>
        </w:rPr>
        <w:t xml:space="preserve">Os aminoácidos estão unidos entre si por um tipo especial de ligação covalente, chamada </w:t>
      </w:r>
      <w:r w:rsidRPr="004D5B16">
        <w:rPr>
          <w:rFonts w:cs="Arial"/>
          <w:b/>
          <w:bCs/>
          <w:lang w:val="pt-BR"/>
        </w:rPr>
        <w:t>ligação peptídica</w:t>
      </w:r>
      <w:r w:rsidRPr="004D5B16">
        <w:rPr>
          <w:rFonts w:cs="Arial"/>
          <w:lang w:val="pt-BR"/>
        </w:rPr>
        <w:t xml:space="preserve">. Uma cadeia de vários aminoácidos forma um </w:t>
      </w:r>
      <w:r w:rsidRPr="004D5B16">
        <w:rPr>
          <w:rFonts w:cs="Arial"/>
          <w:b/>
          <w:bCs/>
          <w:lang w:val="pt-BR"/>
        </w:rPr>
        <w:t>oligopeptídeo</w:t>
      </w:r>
      <w:r w:rsidRPr="004D5B16">
        <w:rPr>
          <w:rFonts w:cs="Arial"/>
          <w:lang w:val="pt-BR"/>
        </w:rPr>
        <w:t xml:space="preserve">. Quando o número de aminoácidos é mais elevado, fala-se de </w:t>
      </w:r>
      <w:r w:rsidRPr="004D5B16">
        <w:rPr>
          <w:rFonts w:cs="Arial"/>
          <w:b/>
          <w:bCs/>
          <w:lang w:val="pt-BR"/>
        </w:rPr>
        <w:t>polipeptídeo</w:t>
      </w:r>
      <w:r w:rsidRPr="004D5B16">
        <w:rPr>
          <w:rFonts w:cs="Arial"/>
          <w:lang w:val="pt-BR"/>
        </w:rPr>
        <w:t>.</w:t>
      </w:r>
    </w:p>
    <w:p w:rsidR="004D5B16" w:rsidRPr="004D5B16" w:rsidRDefault="004D5B16" w:rsidP="004D5B16">
      <w:pPr>
        <w:spacing w:before="120"/>
        <w:ind w:left="450"/>
        <w:rPr>
          <w:rFonts w:cs="Arial"/>
          <w:lang w:val="pt-BR"/>
        </w:rPr>
      </w:pPr>
    </w:p>
    <w:p w:rsidR="004D5B16" w:rsidRDefault="004D5B16" w:rsidP="004D5B16">
      <w:pPr>
        <w:jc w:val="center"/>
        <w:rPr>
          <w:sz w:val="20"/>
        </w:rPr>
      </w:pPr>
      <w:r>
        <w:rPr>
          <w:noProof/>
          <w:sz w:val="20"/>
          <w:lang w:val="en-ZW" w:eastAsia="en-ZW"/>
        </w:rPr>
        <w:drawing>
          <wp:inline distT="0" distB="0" distL="0" distR="0" wp14:anchorId="2267771D" wp14:editId="76514D4D">
            <wp:extent cx="5943600" cy="1647825"/>
            <wp:effectExtent l="19050" t="0" r="0" b="0"/>
            <wp:docPr id="2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8" cstate="print">
                      <a:grayscl/>
                    </a:blip>
                    <a:srcRect t="20351" b="18947"/>
                    <a:stretch>
                      <a:fillRect/>
                    </a:stretch>
                  </pic:blipFill>
                  <pic:spPr bwMode="auto">
                    <a:xfrm>
                      <a:off x="0" y="0"/>
                      <a:ext cx="5943600" cy="1647825"/>
                    </a:xfrm>
                    <a:prstGeom prst="rect">
                      <a:avLst/>
                    </a:prstGeom>
                    <a:noFill/>
                    <a:ln w="9525">
                      <a:noFill/>
                      <a:miter lim="800000"/>
                      <a:headEnd/>
                      <a:tailEnd/>
                    </a:ln>
                  </pic:spPr>
                </pic:pic>
              </a:graphicData>
            </a:graphic>
          </wp:inline>
        </w:drawing>
      </w:r>
    </w:p>
    <w:p w:rsidR="004D5B16" w:rsidRPr="004E1933" w:rsidRDefault="004D5B16" w:rsidP="004D5B16">
      <w:pPr>
        <w:jc w:val="center"/>
        <w:rPr>
          <w:rFonts w:cs="Arial"/>
          <w:sz w:val="20"/>
          <w:lang w:val="pt-BR"/>
        </w:rPr>
      </w:pPr>
      <w:r w:rsidRPr="004E1933">
        <w:rPr>
          <w:rFonts w:cs="Arial"/>
          <w:b/>
          <w:sz w:val="20"/>
          <w:lang w:val="pt-BR"/>
        </w:rPr>
        <w:t>Figura 8</w:t>
      </w:r>
      <w:r w:rsidR="00506DE0">
        <w:rPr>
          <w:rFonts w:cs="Arial"/>
          <w:b/>
          <w:sz w:val="20"/>
          <w:lang w:val="pt-BR"/>
        </w:rPr>
        <w:t>:</w:t>
      </w:r>
      <w:r w:rsidRPr="004E1933">
        <w:rPr>
          <w:rFonts w:cs="Arial"/>
          <w:sz w:val="20"/>
          <w:lang w:val="pt-BR"/>
        </w:rPr>
        <w:t xml:space="preserve"> Esquema da formação de uma ligação peptídica.</w:t>
      </w:r>
    </w:p>
    <w:p w:rsidR="004D5B16" w:rsidRDefault="004D5B16" w:rsidP="00C52E09">
      <w:pPr>
        <w:numPr>
          <w:ilvl w:val="1"/>
          <w:numId w:val="26"/>
        </w:numPr>
        <w:spacing w:before="120" w:after="0"/>
        <w:jc w:val="both"/>
        <w:rPr>
          <w:rFonts w:cs="Arial"/>
        </w:rPr>
      </w:pPr>
      <w:r w:rsidRPr="004D5B16">
        <w:rPr>
          <w:rFonts w:cs="Arial"/>
          <w:lang w:val="pt-BR"/>
        </w:rPr>
        <w:t xml:space="preserve">Algumas proteínas estão formadas unicamente por aminoácidos, e são chamadas </w:t>
      </w:r>
      <w:r w:rsidRPr="004D5B16">
        <w:rPr>
          <w:rFonts w:cs="Arial"/>
          <w:b/>
          <w:bCs/>
          <w:lang w:val="pt-BR"/>
        </w:rPr>
        <w:t>proteínas simples</w:t>
      </w:r>
      <w:r w:rsidRPr="004D5B16">
        <w:rPr>
          <w:rFonts w:cs="Arial"/>
          <w:lang w:val="pt-BR"/>
        </w:rPr>
        <w:t xml:space="preserve">. Porém, outras proteínas têm outros componentes químicos além de aminoácidos; estas são chamadas </w:t>
      </w:r>
      <w:r w:rsidRPr="004D5B16">
        <w:rPr>
          <w:rFonts w:cs="Arial"/>
          <w:b/>
          <w:bCs/>
          <w:lang w:val="pt-BR"/>
        </w:rPr>
        <w:t xml:space="preserve">proteínas conjugadas. </w:t>
      </w:r>
      <w:r w:rsidRPr="004D5B16">
        <w:rPr>
          <w:rFonts w:cs="Arial"/>
          <w:bCs/>
          <w:lang w:val="pt-BR"/>
        </w:rPr>
        <w:t>Assim,</w:t>
      </w:r>
      <w:r w:rsidRPr="004D5B16">
        <w:rPr>
          <w:rFonts w:cs="Arial"/>
          <w:b/>
          <w:bCs/>
          <w:lang w:val="pt-BR"/>
        </w:rPr>
        <w:t xml:space="preserve"> </w:t>
      </w:r>
      <w:r w:rsidRPr="004D5B16">
        <w:rPr>
          <w:rFonts w:cs="Arial"/>
          <w:lang w:val="pt-BR"/>
        </w:rPr>
        <w:t xml:space="preserve">podemos encontrar lipoproteínas (conjugadas com lípidos), glicoproteínas (conjugada com carboidratos) ou metaloproteínas (conjugada com um ou mais metais). O tipo de molécula conjugada influência a função da proteína. </w:t>
      </w:r>
      <w:r>
        <w:rPr>
          <w:rFonts w:cs="Arial"/>
        </w:rPr>
        <w:t>Por exemplo:</w:t>
      </w:r>
    </w:p>
    <w:p w:rsidR="004D5B16" w:rsidRPr="004D5B16" w:rsidRDefault="004D5B16" w:rsidP="00C52E09">
      <w:pPr>
        <w:numPr>
          <w:ilvl w:val="2"/>
          <w:numId w:val="26"/>
        </w:numPr>
        <w:spacing w:before="120" w:after="0"/>
        <w:ind w:firstLine="0"/>
        <w:jc w:val="both"/>
        <w:rPr>
          <w:rFonts w:cs="Arial"/>
          <w:lang w:val="pt-BR"/>
        </w:rPr>
      </w:pPr>
      <w:r w:rsidRPr="004D5B16">
        <w:rPr>
          <w:rFonts w:cs="Arial"/>
          <w:lang w:val="pt-BR"/>
        </w:rPr>
        <w:t>Lipoproteinas – LDL (</w:t>
      </w:r>
      <w:r w:rsidRPr="004D5B16">
        <w:rPr>
          <w:rFonts w:cs="Arial"/>
          <w:i/>
          <w:lang w:val="pt-BR"/>
        </w:rPr>
        <w:t xml:space="preserve">Low Density Lipoproteins – </w:t>
      </w:r>
      <w:r w:rsidRPr="004D5B16">
        <w:rPr>
          <w:rFonts w:cs="Arial"/>
          <w:lang w:val="pt-BR"/>
        </w:rPr>
        <w:t>Lipoproteinas de Baixa Densidade - mau colesterol), HDL (</w:t>
      </w:r>
      <w:r w:rsidRPr="004D5B16">
        <w:rPr>
          <w:rFonts w:cs="Arial"/>
          <w:i/>
          <w:lang w:val="pt-BR"/>
        </w:rPr>
        <w:t xml:space="preserve">High Density Lipoprotein </w:t>
      </w:r>
      <w:r w:rsidRPr="004D5B16">
        <w:rPr>
          <w:rFonts w:cs="Arial"/>
          <w:lang w:val="pt-BR"/>
        </w:rPr>
        <w:t>– Lipoproteina de Alta Densidade - bom colesterol)</w:t>
      </w:r>
    </w:p>
    <w:p w:rsidR="004D5B16" w:rsidRPr="004D5B16" w:rsidRDefault="004D5B16" w:rsidP="00C52E09">
      <w:pPr>
        <w:numPr>
          <w:ilvl w:val="2"/>
          <w:numId w:val="26"/>
        </w:numPr>
        <w:spacing w:before="120" w:after="0"/>
        <w:ind w:firstLine="0"/>
        <w:jc w:val="both"/>
        <w:rPr>
          <w:rFonts w:cs="Arial"/>
          <w:lang w:val="pt-BR"/>
        </w:rPr>
      </w:pPr>
      <w:r w:rsidRPr="004D5B16">
        <w:rPr>
          <w:rFonts w:cs="Arial"/>
          <w:lang w:val="pt-BR"/>
        </w:rPr>
        <w:t>Glicoproteinas – imunoglobulinas (anticorpos), hormónio folículo-estimulantes (FSH), entre outras</w:t>
      </w:r>
    </w:p>
    <w:p w:rsidR="004D5B16" w:rsidRPr="004D5B16" w:rsidRDefault="004D5B16" w:rsidP="00C52E09">
      <w:pPr>
        <w:numPr>
          <w:ilvl w:val="2"/>
          <w:numId w:val="26"/>
        </w:numPr>
        <w:spacing w:before="120" w:after="0"/>
        <w:ind w:firstLine="0"/>
        <w:jc w:val="both"/>
        <w:rPr>
          <w:rFonts w:cs="Arial"/>
          <w:lang w:val="pt-BR"/>
        </w:rPr>
      </w:pPr>
      <w:r w:rsidRPr="004D5B16">
        <w:rPr>
          <w:rFonts w:cs="Arial"/>
          <w:lang w:val="pt-BR"/>
        </w:rPr>
        <w:t>Metaloproteinas – hemoglobina (proteína com ferro),  catalase (uma metaloenzima)</w:t>
      </w:r>
    </w:p>
    <w:p w:rsidR="004D5B16" w:rsidRPr="004D5B16" w:rsidRDefault="004D5B16" w:rsidP="00C52E09">
      <w:pPr>
        <w:numPr>
          <w:ilvl w:val="1"/>
          <w:numId w:val="26"/>
        </w:numPr>
        <w:spacing w:before="120" w:after="0"/>
        <w:jc w:val="both"/>
        <w:rPr>
          <w:rFonts w:cs="Arial"/>
          <w:lang w:val="pt-BR"/>
        </w:rPr>
      </w:pPr>
      <w:r w:rsidRPr="004D5B16">
        <w:rPr>
          <w:rFonts w:cs="Arial"/>
          <w:lang w:val="pt-BR"/>
        </w:rPr>
        <w:t>Atendendo à sua organização, podemos dividir as proteínas em fibrilares e globulares. As proteínas fibrilares são polipeptídeos organizados em filamentos ou camadas. Nas proteínas globulares, os polipeptídeos estão pregueados ou enrolados em forma esférica ou globular.</w:t>
      </w:r>
    </w:p>
    <w:p w:rsidR="004D5B16" w:rsidRPr="004E1933" w:rsidRDefault="004D5B16" w:rsidP="004D5B16">
      <w:pPr>
        <w:spacing w:before="120"/>
        <w:jc w:val="both"/>
        <w:rPr>
          <w:rFonts w:cs="Arial"/>
          <w:lang w:val="pt-BR"/>
        </w:rPr>
      </w:pPr>
      <w:r w:rsidRPr="006C62EE">
        <w:rPr>
          <w:rFonts w:cs="Arial"/>
          <w:b/>
          <w:lang w:val="pt-BR"/>
        </w:rPr>
        <w:lastRenderedPageBreak/>
        <w:t>5.7</w:t>
      </w:r>
      <w:r w:rsidR="006C62EE" w:rsidRPr="006C62EE">
        <w:rPr>
          <w:rFonts w:cs="Arial"/>
          <w:b/>
          <w:lang w:val="pt-BR"/>
        </w:rPr>
        <w:t>.</w:t>
      </w:r>
      <w:r w:rsidRPr="004E1933">
        <w:rPr>
          <w:rFonts w:cs="Arial"/>
          <w:lang w:val="pt-BR"/>
        </w:rPr>
        <w:t xml:space="preserve"> A função de uma proteína vai depender largamente da sua organização. As estruturas que fornecem suporte, forma e protecção externa aos vertebrados estão compostas por </w:t>
      </w:r>
      <w:r w:rsidRPr="004E1933">
        <w:rPr>
          <w:rFonts w:cs="Arial"/>
          <w:b/>
          <w:bCs/>
          <w:lang w:val="pt-BR"/>
        </w:rPr>
        <w:t>proteínas fibrilares</w:t>
      </w:r>
      <w:r w:rsidRPr="004E1933">
        <w:rPr>
          <w:rFonts w:cs="Arial"/>
          <w:lang w:val="pt-BR"/>
        </w:rPr>
        <w:t xml:space="preserve">. Entre tanto, enzimas e proteínas reguladoras costumam ser </w:t>
      </w:r>
      <w:r w:rsidRPr="004E1933">
        <w:rPr>
          <w:rFonts w:cs="Arial"/>
          <w:b/>
          <w:bCs/>
          <w:lang w:val="pt-BR"/>
        </w:rPr>
        <w:t>proteínas globulares</w:t>
      </w:r>
      <w:r w:rsidRPr="004E1933">
        <w:rPr>
          <w:rFonts w:cs="Arial"/>
          <w:lang w:val="pt-BR"/>
        </w:rPr>
        <w:t>.</w:t>
      </w:r>
    </w:p>
    <w:p w:rsidR="004D5B16" w:rsidRPr="004D5B16" w:rsidRDefault="004D5B16" w:rsidP="004D5B16">
      <w:pPr>
        <w:jc w:val="center"/>
        <w:rPr>
          <w:sz w:val="20"/>
          <w:lang w:val="pt-BR"/>
        </w:rPr>
      </w:pPr>
      <w:r>
        <w:rPr>
          <w:noProof/>
          <w:sz w:val="20"/>
          <w:lang w:val="en-ZW" w:eastAsia="en-ZW"/>
        </w:rPr>
        <w:drawing>
          <wp:inline distT="0" distB="0" distL="0" distR="0" wp14:anchorId="280F84E6" wp14:editId="766A440B">
            <wp:extent cx="666750" cy="3324225"/>
            <wp:effectExtent l="19050" t="0" r="0" b="0"/>
            <wp:docPr id="24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9" cstate="print">
                      <a:grayscl/>
                    </a:blip>
                    <a:srcRect/>
                    <a:stretch>
                      <a:fillRect/>
                    </a:stretch>
                  </pic:blipFill>
                  <pic:spPr bwMode="auto">
                    <a:xfrm>
                      <a:off x="0" y="0"/>
                      <a:ext cx="666750" cy="3324225"/>
                    </a:xfrm>
                    <a:prstGeom prst="rect">
                      <a:avLst/>
                    </a:prstGeom>
                    <a:noFill/>
                    <a:ln w="9525">
                      <a:noFill/>
                      <a:miter lim="800000"/>
                      <a:headEnd/>
                      <a:tailEnd/>
                    </a:ln>
                  </pic:spPr>
                </pic:pic>
              </a:graphicData>
            </a:graphic>
          </wp:inline>
        </w:drawing>
      </w:r>
      <w:r w:rsidRPr="004D5B16">
        <w:rPr>
          <w:sz w:val="20"/>
          <w:lang w:val="pt-BR"/>
        </w:rPr>
        <w:t xml:space="preserve"> </w:t>
      </w:r>
      <w:r>
        <w:rPr>
          <w:noProof/>
          <w:sz w:val="20"/>
          <w:lang w:val="en-ZW" w:eastAsia="en-ZW"/>
        </w:rPr>
        <w:drawing>
          <wp:inline distT="0" distB="0" distL="0" distR="0" wp14:anchorId="65C147B0" wp14:editId="42E82825">
            <wp:extent cx="2095500" cy="1933575"/>
            <wp:effectExtent l="19050" t="0" r="0" b="0"/>
            <wp:docPr id="24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0" cstate="print">
                      <a:grayscl/>
                    </a:blip>
                    <a:srcRect/>
                    <a:stretch>
                      <a:fillRect/>
                    </a:stretch>
                  </pic:blipFill>
                  <pic:spPr bwMode="auto">
                    <a:xfrm>
                      <a:off x="0" y="0"/>
                      <a:ext cx="2095500" cy="1933575"/>
                    </a:xfrm>
                    <a:prstGeom prst="rect">
                      <a:avLst/>
                    </a:prstGeom>
                    <a:noFill/>
                    <a:ln w="9525">
                      <a:noFill/>
                      <a:miter lim="800000"/>
                      <a:headEnd/>
                      <a:tailEnd/>
                    </a:ln>
                  </pic:spPr>
                </pic:pic>
              </a:graphicData>
            </a:graphic>
          </wp:inline>
        </w:drawing>
      </w:r>
    </w:p>
    <w:p w:rsidR="004D5B16" w:rsidRPr="004D5B16" w:rsidRDefault="004D5B16" w:rsidP="00506DE0">
      <w:pPr>
        <w:jc w:val="center"/>
        <w:rPr>
          <w:rFonts w:cs="Arial"/>
          <w:sz w:val="20"/>
          <w:lang w:val="pt-BR"/>
        </w:rPr>
      </w:pPr>
      <w:r w:rsidRPr="004D5B16">
        <w:rPr>
          <w:rFonts w:cs="Arial"/>
          <w:b/>
          <w:sz w:val="20"/>
          <w:lang w:val="pt-BR"/>
        </w:rPr>
        <w:t>Figura 9</w:t>
      </w:r>
      <w:r w:rsidR="00506DE0">
        <w:rPr>
          <w:rFonts w:cs="Arial"/>
          <w:b/>
          <w:sz w:val="20"/>
          <w:lang w:val="pt-BR"/>
        </w:rPr>
        <w:t>:</w:t>
      </w:r>
      <w:r w:rsidRPr="004D5B16">
        <w:rPr>
          <w:rFonts w:cs="Arial"/>
          <w:sz w:val="20"/>
          <w:lang w:val="pt-BR"/>
        </w:rPr>
        <w:t xml:space="preserve"> Representação de uma proteína fibrilar (p. ex. colágeno) e de outra globular (p. ex. hemoglobina)</w:t>
      </w:r>
    </w:p>
    <w:p w:rsidR="004D5B16" w:rsidRPr="004D5B16" w:rsidRDefault="004D5B16" w:rsidP="00C52E09">
      <w:pPr>
        <w:numPr>
          <w:ilvl w:val="1"/>
          <w:numId w:val="27"/>
        </w:numPr>
        <w:spacing w:before="120" w:after="0"/>
        <w:jc w:val="both"/>
        <w:rPr>
          <w:rFonts w:cs="Arial"/>
          <w:lang w:val="pt-BR"/>
        </w:rPr>
      </w:pPr>
      <w:r w:rsidRPr="004D5B16">
        <w:rPr>
          <w:rFonts w:cs="Arial"/>
          <w:lang w:val="pt-BR"/>
        </w:rPr>
        <w:t xml:space="preserve">As proteínas fibrilares partilham propriedades que lhes permitem prover rigidez, consistência e elasticidade aos tecidos. Em todos os casos, a subunidade estrutural fundamental é um elemento simples de estrutura secundária repetido um número determinado de vezes. Todas elas são insolúveis em água. Exemplos de proteínas fibrilares são </w:t>
      </w:r>
      <w:r w:rsidRPr="004D5B16">
        <w:rPr>
          <w:rFonts w:cs="Arial"/>
          <w:b/>
          <w:bCs/>
          <w:lang w:val="pt-BR"/>
        </w:rPr>
        <w:t>colagénio</w:t>
      </w:r>
      <w:r w:rsidRPr="004D5B16">
        <w:rPr>
          <w:rFonts w:cs="Arial"/>
          <w:lang w:val="pt-BR"/>
        </w:rPr>
        <w:t xml:space="preserve"> encontrado em tecido conectivo, cartilagem, tendões, e matriz óssea; </w:t>
      </w:r>
      <w:r w:rsidRPr="004D5B16">
        <w:rPr>
          <w:rFonts w:cs="Arial"/>
          <w:b/>
          <w:bCs/>
          <w:lang w:val="pt-BR"/>
        </w:rPr>
        <w:t>queratina</w:t>
      </w:r>
      <w:r w:rsidRPr="004D5B16">
        <w:rPr>
          <w:rFonts w:cs="Arial"/>
          <w:lang w:val="pt-BR"/>
        </w:rPr>
        <w:t xml:space="preserve"> encontrada no cabelo e unhas, e </w:t>
      </w:r>
      <w:r w:rsidRPr="004D5B16">
        <w:rPr>
          <w:rFonts w:cs="Arial"/>
          <w:b/>
          <w:bCs/>
          <w:lang w:val="pt-BR"/>
        </w:rPr>
        <w:t>fibrinogénio</w:t>
      </w:r>
      <w:r w:rsidRPr="004D5B16">
        <w:rPr>
          <w:rFonts w:cs="Arial"/>
          <w:lang w:val="pt-BR"/>
        </w:rPr>
        <w:t xml:space="preserve"> encontrado no sangue.</w:t>
      </w:r>
    </w:p>
    <w:p w:rsidR="004D5B16" w:rsidRPr="004D5B16" w:rsidRDefault="004D5B16" w:rsidP="00C52E09">
      <w:pPr>
        <w:numPr>
          <w:ilvl w:val="1"/>
          <w:numId w:val="27"/>
        </w:numPr>
        <w:spacing w:before="120" w:after="0"/>
        <w:jc w:val="both"/>
        <w:rPr>
          <w:rFonts w:cs="Arial"/>
          <w:lang w:val="pt-BR"/>
        </w:rPr>
      </w:pPr>
      <w:r w:rsidRPr="004E1933">
        <w:rPr>
          <w:rFonts w:cs="Arial"/>
          <w:lang w:val="pt-BR"/>
        </w:rPr>
        <w:t xml:space="preserve">As </w:t>
      </w:r>
      <w:r w:rsidRPr="004E1933">
        <w:rPr>
          <w:rFonts w:cs="Arial"/>
          <w:b/>
          <w:bCs/>
          <w:lang w:val="pt-BR"/>
        </w:rPr>
        <w:t>enzimas</w:t>
      </w:r>
      <w:r w:rsidRPr="004E1933">
        <w:rPr>
          <w:rFonts w:cs="Arial"/>
          <w:lang w:val="pt-BR"/>
        </w:rPr>
        <w:t xml:space="preserve"> são proteínas globulares que têm um extraordinário poder catalítico, isto é, </w:t>
      </w:r>
      <w:r w:rsidRPr="004E1933">
        <w:rPr>
          <w:rFonts w:cs="Arial"/>
          <w:b/>
          <w:lang w:val="pt-BR"/>
        </w:rPr>
        <w:t>facilitam reacções químicas que dificilmente aconteceriam sem a sua presença</w:t>
      </w:r>
      <w:r w:rsidRPr="004E1933">
        <w:rPr>
          <w:rFonts w:cs="Arial"/>
          <w:lang w:val="pt-BR"/>
        </w:rPr>
        <w:t xml:space="preserve">. Tem uma grande especificidade pelo seu substrato metabólico, aceleram enormemente as reacções químicas nas que participam, e funcionam em soluções aquosas em condições pouco rigorosas de pH e temperatura. </w:t>
      </w:r>
      <w:r w:rsidRPr="004E1933">
        <w:rPr>
          <w:rFonts w:cs="Arial"/>
          <w:b/>
          <w:lang w:val="pt-BR"/>
        </w:rPr>
        <w:t>As enzimas são essenciais para todos os processos bioquímicos, como na degradação de nutrientes, conservação e transformação de energia química, e síntese de macromoléculas a partir de precursores simples</w:t>
      </w:r>
      <w:r w:rsidRPr="004E1933">
        <w:rPr>
          <w:rFonts w:cs="Arial"/>
          <w:lang w:val="pt-BR"/>
        </w:rPr>
        <w:t xml:space="preserve">. </w:t>
      </w:r>
      <w:r w:rsidRPr="004D5B16">
        <w:rPr>
          <w:rFonts w:cs="Arial"/>
          <w:lang w:val="pt-BR"/>
        </w:rPr>
        <w:t>As enzimas são classificadas segundo o tipo de reacção que elas catalisam.</w:t>
      </w:r>
    </w:p>
    <w:p w:rsidR="004D5B16" w:rsidRPr="0005579B" w:rsidRDefault="004D5B16" w:rsidP="004D5B16">
      <w:pPr>
        <w:spacing w:before="120"/>
        <w:ind w:left="450"/>
        <w:jc w:val="center"/>
        <w:rPr>
          <w:rFonts w:cs="Arial"/>
        </w:rPr>
      </w:pPr>
      <w:r>
        <w:rPr>
          <w:rFonts w:cs="Arial"/>
          <w:noProof/>
          <w:lang w:val="en-ZW" w:eastAsia="en-ZW"/>
        </w:rPr>
        <w:lastRenderedPageBreak/>
        <w:drawing>
          <wp:inline distT="0" distB="0" distL="0" distR="0" wp14:anchorId="5F58DAEC" wp14:editId="6ED37483">
            <wp:extent cx="4328786" cy="3019425"/>
            <wp:effectExtent l="5089" t="0" r="0" b="0"/>
            <wp:docPr id="250" name="Object 1"/>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5184576" cy="3630597"/>
                      <a:chOff x="1907704" y="1412776"/>
                      <a:chExt cx="5184576" cy="3630597"/>
                    </a:xfrm>
                  </a:grpSpPr>
                  <a:grpSp>
                    <a:nvGrpSpPr>
                      <a:cNvPr id="13" name="Group 12"/>
                      <a:cNvGrpSpPr/>
                    </a:nvGrpSpPr>
                    <a:grpSpPr>
                      <a:xfrm>
                        <a:off x="1907704" y="1412776"/>
                        <a:ext cx="5184576" cy="3630597"/>
                        <a:chOff x="1907704" y="1412776"/>
                        <a:chExt cx="5184576" cy="3630597"/>
                      </a:xfrm>
                    </a:grpSpPr>
                    <a:grpSp>
                      <a:nvGrpSpPr>
                        <a:cNvPr id="3" name="Group 6"/>
                        <a:cNvGrpSpPr/>
                      </a:nvGrpSpPr>
                      <a:grpSpPr>
                        <a:xfrm>
                          <a:off x="1907704" y="1412776"/>
                          <a:ext cx="5184576" cy="3630597"/>
                          <a:chOff x="1907704" y="1412776"/>
                          <a:chExt cx="5184576" cy="3630597"/>
                        </a:xfrm>
                      </a:grpSpPr>
                      <a:pic>
                        <a:nvPicPr>
                          <a:cNvPr id="1027" name="Picture 3"/>
                          <a:cNvPicPr>
                            <a:picLocks noChangeAspect="1" noChangeArrowheads="1"/>
                          </a:cNvPicPr>
                        </a:nvPicPr>
                        <a:blipFill>
                          <a:blip r:embed="rId41"/>
                          <a:srcRect/>
                          <a:stretch>
                            <a:fillRect/>
                          </a:stretch>
                        </a:blipFill>
                        <a:spPr bwMode="auto">
                          <a:xfrm>
                            <a:off x="1907704" y="1412776"/>
                            <a:ext cx="5184576" cy="3506887"/>
                          </a:xfrm>
                          <a:prstGeom prst="rect">
                            <a:avLst/>
                          </a:prstGeom>
                          <a:noFill/>
                          <a:ln w="9525">
                            <a:noFill/>
                            <a:miter lim="800000"/>
                            <a:headEnd/>
                            <a:tailEnd/>
                          </a:ln>
                        </a:spPr>
                      </a:pic>
                      <a:sp>
                        <a:nvSpPr>
                          <a:cNvPr id="6" name="Rectangle 5"/>
                          <a:cNvSpPr/>
                        </a:nvSpPr>
                        <a:spPr>
                          <a:xfrm>
                            <a:off x="2483768" y="4797152"/>
                            <a:ext cx="4572000" cy="246221"/>
                          </a:xfrm>
                          <a:prstGeom prst="rect">
                            <a:avLst/>
                          </a:prstGeom>
                        </a:spPr>
                        <a:txSp>
                          <a:txBody>
                            <a:bodyPr>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GB" sz="1000" dirty="0" smtClean="0"/>
                                <a:t>http://pt.wikipedia.org/wiki/Cin%C3%A9tica_enzim%C3%A1tica</a:t>
                              </a:r>
                              <a:endParaRPr lang="en-GB" sz="1000" dirty="0"/>
                            </a:p>
                          </a:txBody>
                          <a:useSpRect/>
                        </a:txSp>
                      </a:sp>
                    </a:grpSp>
                    <a:cxnSp>
                      <a:nvCxnSpPr>
                        <a:cNvPr id="9" name="Straight Arrow Connector 8"/>
                        <a:cNvCxnSpPr/>
                      </a:nvCxnSpPr>
                      <a:spPr>
                        <a:xfrm rot="5400000">
                          <a:off x="4067944" y="2204864"/>
                          <a:ext cx="288032" cy="288032"/>
                        </a:xfrm>
                        <a:prstGeom prst="straightConnector1">
                          <a:avLst/>
                        </a:prstGeom>
                        <a:ln w="28575">
                          <a:solidFill>
                            <a:schemeClr val="tx1"/>
                          </a:solidFill>
                          <a:tailEnd type="arrow"/>
                        </a:ln>
                      </a:spPr>
                      <a:style>
                        <a:lnRef idx="1">
                          <a:schemeClr val="accent1"/>
                        </a:lnRef>
                        <a:fillRef idx="0">
                          <a:schemeClr val="accent1"/>
                        </a:fillRef>
                        <a:effectRef idx="0">
                          <a:schemeClr val="accent1"/>
                        </a:effectRef>
                        <a:fontRef idx="minor">
                          <a:schemeClr val="tx1"/>
                        </a:fontRef>
                      </a:style>
                    </a:cxnSp>
                    <a:cxnSp>
                      <a:nvCxnSpPr>
                        <a:cNvPr id="10" name="Straight Arrow Connector 9"/>
                        <a:cNvCxnSpPr/>
                      </a:nvCxnSpPr>
                      <a:spPr>
                        <a:xfrm rot="16200000" flipV="1">
                          <a:off x="3527884" y="3032956"/>
                          <a:ext cx="576064" cy="72008"/>
                        </a:xfrm>
                        <a:prstGeom prst="straightConnector1">
                          <a:avLst/>
                        </a:prstGeom>
                        <a:ln w="28575">
                          <a:solidFill>
                            <a:schemeClr val="tx1"/>
                          </a:solidFill>
                          <a:tailEnd type="arrow"/>
                        </a:ln>
                      </a:spPr>
                      <a:style>
                        <a:lnRef idx="1">
                          <a:schemeClr val="accent1"/>
                        </a:lnRef>
                        <a:fillRef idx="0">
                          <a:schemeClr val="accent1"/>
                        </a:fillRef>
                        <a:effectRef idx="0">
                          <a:schemeClr val="accent1"/>
                        </a:effectRef>
                        <a:fontRef idx="minor">
                          <a:schemeClr val="tx1"/>
                        </a:fontRef>
                      </a:style>
                    </a:cxnSp>
                  </a:grpSp>
                </lc:lockedCanvas>
              </a:graphicData>
            </a:graphic>
          </wp:inline>
        </w:drawing>
      </w:r>
    </w:p>
    <w:p w:rsidR="004D5B16" w:rsidRPr="00CE5429" w:rsidRDefault="004D5B16" w:rsidP="004D5B16">
      <w:pPr>
        <w:pStyle w:val="TM-3"/>
        <w:spacing w:before="120" w:after="0" w:line="276" w:lineRule="auto"/>
        <w:ind w:left="1418" w:right="567" w:firstLine="0"/>
        <w:rPr>
          <w:sz w:val="20"/>
        </w:rPr>
      </w:pPr>
      <w:r w:rsidRPr="00506DE0">
        <w:rPr>
          <w:b/>
          <w:sz w:val="20"/>
        </w:rPr>
        <w:t>Figura 10</w:t>
      </w:r>
      <w:r w:rsidR="00506DE0">
        <w:rPr>
          <w:b/>
          <w:sz w:val="20"/>
        </w:rPr>
        <w:t>:</w:t>
      </w:r>
      <w:r w:rsidRPr="00CE5429">
        <w:rPr>
          <w:sz w:val="20"/>
        </w:rPr>
        <w:t xml:space="preserve"> Representação esquemática de uma reacção enzimática padrão</w:t>
      </w:r>
    </w:p>
    <w:p w:rsidR="004D5B16" w:rsidRPr="004D5B16" w:rsidRDefault="004D5B16" w:rsidP="00C52E09">
      <w:pPr>
        <w:numPr>
          <w:ilvl w:val="1"/>
          <w:numId w:val="27"/>
        </w:numPr>
        <w:spacing w:before="120" w:after="0"/>
        <w:jc w:val="both"/>
        <w:rPr>
          <w:rFonts w:cs="Arial"/>
          <w:lang w:val="pt-BR"/>
        </w:rPr>
      </w:pPr>
      <w:r w:rsidRPr="004E1933">
        <w:rPr>
          <w:rFonts w:cs="Arial"/>
          <w:lang w:val="pt-BR"/>
        </w:rPr>
        <w:t xml:space="preserve">O estudo das enzimas tem um grande interesse na prática médica. </w:t>
      </w:r>
      <w:r w:rsidRPr="004D5B16">
        <w:rPr>
          <w:rFonts w:cs="Arial"/>
          <w:lang w:val="pt-BR"/>
        </w:rPr>
        <w:t>Em algumas doenças, especialmente doenças hereditárias, existe uma deficiência ou mesmo ausência de um ou mais enzimas. Em outras situações patológicas, a causa pode ser o excesso de actividade de uma enzima. A determin</w:t>
      </w:r>
      <w:r w:rsidRPr="0005579B">
        <w:rPr>
          <w:rStyle w:val="TM-2nChar"/>
          <w:rFonts w:eastAsiaTheme="minorHAnsi"/>
        </w:rPr>
        <w:t>ação da actividade enzimática no plasma sanguíneo, glóbulos vermelhos ou amostras de tecido tem importância no diagnóstico de certas doenças. Por último, muitos fármacos conseguem o seu</w:t>
      </w:r>
      <w:r w:rsidRPr="004D5B16">
        <w:rPr>
          <w:rFonts w:cs="Arial"/>
          <w:lang w:val="pt-BR"/>
        </w:rPr>
        <w:t xml:space="preserve"> efeito biológico por meio da interacção com enzimas.</w:t>
      </w:r>
    </w:p>
    <w:p w:rsidR="004D5B16" w:rsidRPr="004D5B16" w:rsidRDefault="004D5B16" w:rsidP="00C52E09">
      <w:pPr>
        <w:numPr>
          <w:ilvl w:val="1"/>
          <w:numId w:val="27"/>
        </w:numPr>
        <w:spacing w:before="120" w:after="0"/>
        <w:jc w:val="both"/>
        <w:rPr>
          <w:rFonts w:cs="Arial"/>
          <w:lang w:val="pt-BR"/>
        </w:rPr>
      </w:pPr>
      <w:r w:rsidRPr="004E1933">
        <w:rPr>
          <w:rFonts w:cs="Arial"/>
          <w:lang w:val="pt-BR"/>
        </w:rPr>
        <w:t xml:space="preserve">Existem proteínas envolvidas em muitas outras funções biológicas. Entre elas podem-se destacar o </w:t>
      </w:r>
      <w:r w:rsidRPr="004E1933">
        <w:rPr>
          <w:rFonts w:cs="Arial"/>
          <w:b/>
          <w:bCs/>
          <w:lang w:val="pt-BR"/>
        </w:rPr>
        <w:t>transporte de moléculas</w:t>
      </w:r>
      <w:r w:rsidRPr="004E1933">
        <w:rPr>
          <w:rFonts w:cs="Arial"/>
          <w:lang w:val="pt-BR"/>
        </w:rPr>
        <w:t xml:space="preserve">, como por exemplo a hemoglobina, que é a proteína que transporta o oxigénio no sangue, desde os pulmões aos demais tecidos. </w:t>
      </w:r>
      <w:r w:rsidRPr="004D5B16">
        <w:rPr>
          <w:rFonts w:cs="Arial"/>
          <w:lang w:val="pt-BR"/>
        </w:rPr>
        <w:t xml:space="preserve">Outra proteína envolvida no transporte de moléculas é a albumina, que constitui cerca do 50% de todas as proteínas do plasma sanguíneo. Outras proteínas são partes essenciais do </w:t>
      </w:r>
      <w:r w:rsidRPr="004D5B16">
        <w:rPr>
          <w:rFonts w:cs="Arial"/>
          <w:b/>
          <w:bCs/>
          <w:lang w:val="pt-BR"/>
        </w:rPr>
        <w:t>sistema imune</w:t>
      </w:r>
      <w:r w:rsidRPr="004D5B16">
        <w:rPr>
          <w:rFonts w:cs="Arial"/>
          <w:lang w:val="pt-BR"/>
        </w:rPr>
        <w:t xml:space="preserve">, com várias funções diferentes: defesa do organismo contra agressões (as imunoglobulinas), fornecendo sinais químicos para regular a defesa do organismo (as citocinas produzidas por certos glóbulos brancos e outras células). </w:t>
      </w:r>
    </w:p>
    <w:p w:rsidR="004D5B16" w:rsidRPr="004D5B16" w:rsidRDefault="004D5B16" w:rsidP="004D5B16">
      <w:pPr>
        <w:spacing w:before="120"/>
        <w:ind w:left="360"/>
        <w:jc w:val="both"/>
        <w:rPr>
          <w:rFonts w:cs="Arial"/>
          <w:lang w:val="pt-BR"/>
        </w:rPr>
      </w:pPr>
    </w:p>
    <w:p w:rsidR="004D5B16" w:rsidRPr="0005579B" w:rsidRDefault="00ED3A9C" w:rsidP="004D5B16">
      <w:pPr>
        <w:shd w:val="clear" w:color="auto" w:fill="B8CCE4"/>
        <w:tabs>
          <w:tab w:val="left" w:pos="1276"/>
          <w:tab w:val="right" w:pos="8550"/>
        </w:tabs>
        <w:spacing w:before="120" w:after="120"/>
        <w:ind w:right="-43"/>
        <w:jc w:val="both"/>
        <w:rPr>
          <w:rFonts w:cs="Arial"/>
          <w:b/>
          <w:sz w:val="24"/>
        </w:rPr>
      </w:pPr>
      <w:r>
        <w:rPr>
          <w:rFonts w:cs="Arial"/>
          <w:b/>
          <w:sz w:val="24"/>
        </w:rPr>
        <w:t>BLOCO 6: PONTOS-CHAVE</w:t>
      </w:r>
    </w:p>
    <w:p w:rsidR="004D5B16" w:rsidRDefault="004D5B16" w:rsidP="00C52E09">
      <w:pPr>
        <w:pStyle w:val="TM-4n"/>
        <w:numPr>
          <w:ilvl w:val="1"/>
          <w:numId w:val="28"/>
        </w:numPr>
        <w:tabs>
          <w:tab w:val="clear" w:pos="1134"/>
        </w:tabs>
        <w:spacing w:before="120" w:after="0" w:line="276" w:lineRule="auto"/>
      </w:pPr>
      <w:r>
        <w:t xml:space="preserve">As biomoléculas </w:t>
      </w:r>
      <w:r w:rsidRPr="005C54DD">
        <w:t xml:space="preserve">são </w:t>
      </w:r>
      <w:r>
        <w:t xml:space="preserve">compostos químicos sintetizados </w:t>
      </w:r>
      <w:r w:rsidRPr="005C54DD">
        <w:t xml:space="preserve"> pelos seres vivos</w:t>
      </w:r>
      <w:r>
        <w:t>, e que participam da estrutura e do funcionamento da matéria viva</w:t>
      </w:r>
      <w:r w:rsidRPr="005C54DD">
        <w:t>.</w:t>
      </w:r>
    </w:p>
    <w:p w:rsidR="004D5B16" w:rsidRDefault="004D5B16" w:rsidP="00C52E09">
      <w:pPr>
        <w:pStyle w:val="TM-4n"/>
        <w:numPr>
          <w:ilvl w:val="1"/>
          <w:numId w:val="28"/>
        </w:numPr>
        <w:tabs>
          <w:tab w:val="clear" w:pos="1134"/>
        </w:tabs>
        <w:spacing w:before="120" w:after="0" w:line="276" w:lineRule="auto"/>
      </w:pPr>
      <w:r>
        <w:t>As biomoléculas são na sua maioria compostos orgânicos: proteínas, carboidratos, lípidos e ácidos nucléicos (</w:t>
      </w:r>
      <w:r>
        <w:rPr>
          <w:b/>
        </w:rPr>
        <w:t>macromoléculas</w:t>
      </w:r>
      <w:r>
        <w:t>)</w:t>
      </w:r>
    </w:p>
    <w:p w:rsidR="004D5B16" w:rsidRDefault="004D5B16" w:rsidP="00C52E09">
      <w:pPr>
        <w:pStyle w:val="TM-4n"/>
        <w:numPr>
          <w:ilvl w:val="1"/>
          <w:numId w:val="28"/>
        </w:numPr>
        <w:tabs>
          <w:tab w:val="clear" w:pos="1134"/>
        </w:tabs>
        <w:spacing w:before="120" w:after="0" w:line="276" w:lineRule="auto"/>
      </w:pPr>
      <w:r>
        <w:t>A glicose é a molécula principal provedora de energia para os seres vivos.</w:t>
      </w:r>
    </w:p>
    <w:p w:rsidR="004D5B16" w:rsidRPr="004D5B16" w:rsidRDefault="004D5B16" w:rsidP="004D5B16">
      <w:pPr>
        <w:tabs>
          <w:tab w:val="left" w:pos="1134"/>
        </w:tabs>
        <w:rPr>
          <w:rFonts w:cs="Arial"/>
          <w:b/>
          <w:bCs/>
          <w:lang w:val="pt-BR"/>
        </w:rPr>
      </w:pPr>
    </w:p>
    <w:p w:rsidR="004D5B16" w:rsidRDefault="004D5B16">
      <w:pPr>
        <w:rPr>
          <w:lang w:val="pt-BR"/>
        </w:rPr>
      </w:pPr>
      <w:r>
        <w:rPr>
          <w:lang w:val="pt-BR"/>
        </w:rPr>
        <w:br w:type="page"/>
      </w:r>
    </w:p>
    <w:tbl>
      <w:tblPr>
        <w:tblW w:w="10150" w:type="dxa"/>
        <w:tblLayout w:type="fixed"/>
        <w:tblCellMar>
          <w:left w:w="70" w:type="dxa"/>
          <w:right w:w="70" w:type="dxa"/>
        </w:tblCellMar>
        <w:tblLook w:val="0020" w:firstRow="1" w:lastRow="0" w:firstColumn="0" w:lastColumn="0" w:noHBand="0" w:noVBand="0"/>
      </w:tblPr>
      <w:tblGrid>
        <w:gridCol w:w="1418"/>
        <w:gridCol w:w="5222"/>
        <w:gridCol w:w="1620"/>
        <w:gridCol w:w="1890"/>
      </w:tblGrid>
      <w:tr w:rsidR="004D5B16" w:rsidRPr="007F10EF" w:rsidTr="00FC6E81">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4D5B16" w:rsidRPr="007F10EF" w:rsidRDefault="004D5B16" w:rsidP="004D5B16">
            <w:pPr>
              <w:spacing w:before="120"/>
              <w:jc w:val="both"/>
              <w:rPr>
                <w:rFonts w:cs="Arial"/>
                <w:b/>
                <w:szCs w:val="24"/>
              </w:rPr>
            </w:pPr>
            <w:r w:rsidRPr="007F10EF">
              <w:rPr>
                <w:rFonts w:cs="Arial"/>
                <w:b/>
                <w:szCs w:val="24"/>
              </w:rPr>
              <w:lastRenderedPageBreak/>
              <w:t>Disciplina</w:t>
            </w:r>
          </w:p>
        </w:tc>
        <w:tc>
          <w:tcPr>
            <w:tcW w:w="5222" w:type="dxa"/>
            <w:tcBorders>
              <w:top w:val="single" w:sz="6" w:space="0" w:color="000000"/>
              <w:left w:val="single" w:sz="6" w:space="0" w:color="000000"/>
              <w:bottom w:val="single" w:sz="6" w:space="0" w:color="000000"/>
              <w:right w:val="single" w:sz="6" w:space="0" w:color="000000"/>
            </w:tcBorders>
            <w:vAlign w:val="center"/>
          </w:tcPr>
          <w:p w:rsidR="004D5B16" w:rsidRPr="007F10EF" w:rsidRDefault="004D5B16" w:rsidP="004D5B16">
            <w:pPr>
              <w:spacing w:before="120"/>
              <w:jc w:val="both"/>
              <w:rPr>
                <w:rFonts w:cs="Arial"/>
                <w:szCs w:val="24"/>
              </w:rPr>
            </w:pPr>
            <w:r w:rsidRPr="007F10EF">
              <w:rPr>
                <w:rFonts w:cs="Arial"/>
                <w:szCs w:val="24"/>
              </w:rPr>
              <w:t>Introdução às Ciências Médicas</w:t>
            </w:r>
          </w:p>
        </w:tc>
        <w:tc>
          <w:tcPr>
            <w:tcW w:w="1620" w:type="dxa"/>
            <w:tcBorders>
              <w:top w:val="single" w:sz="6" w:space="0" w:color="000000"/>
              <w:left w:val="single" w:sz="6" w:space="0" w:color="000000"/>
              <w:bottom w:val="single" w:sz="6" w:space="0" w:color="000000"/>
              <w:right w:val="single" w:sz="6" w:space="0" w:color="000000"/>
            </w:tcBorders>
            <w:vAlign w:val="center"/>
          </w:tcPr>
          <w:p w:rsidR="004D5B16" w:rsidRPr="007F10EF" w:rsidRDefault="004D5B16" w:rsidP="004D5B16">
            <w:pPr>
              <w:spacing w:before="120"/>
              <w:jc w:val="both"/>
              <w:rPr>
                <w:rFonts w:cs="Arial"/>
                <w:b/>
                <w:szCs w:val="24"/>
              </w:rPr>
            </w:pPr>
            <w:r w:rsidRPr="007F10EF">
              <w:rPr>
                <w:rFonts w:cs="Arial"/>
                <w:b/>
                <w:szCs w:val="24"/>
              </w:rPr>
              <w:t xml:space="preserve">N° da Aula </w:t>
            </w:r>
          </w:p>
        </w:tc>
        <w:tc>
          <w:tcPr>
            <w:tcW w:w="1890" w:type="dxa"/>
            <w:tcBorders>
              <w:top w:val="single" w:sz="6" w:space="0" w:color="000000"/>
              <w:left w:val="single" w:sz="6" w:space="0" w:color="000000"/>
              <w:bottom w:val="single" w:sz="6" w:space="0" w:color="000000"/>
              <w:right w:val="single" w:sz="6" w:space="0" w:color="000000"/>
            </w:tcBorders>
            <w:vAlign w:val="center"/>
          </w:tcPr>
          <w:p w:rsidR="004D5B16" w:rsidRPr="007F10EF" w:rsidRDefault="004D5B16" w:rsidP="004D5B16">
            <w:pPr>
              <w:spacing w:before="120"/>
              <w:jc w:val="both"/>
              <w:rPr>
                <w:rFonts w:cs="Arial"/>
              </w:rPr>
            </w:pPr>
            <w:r>
              <w:rPr>
                <w:rFonts w:cs="Arial"/>
              </w:rPr>
              <w:t>3</w:t>
            </w:r>
          </w:p>
        </w:tc>
      </w:tr>
      <w:tr w:rsidR="004D5B16" w:rsidRPr="007F10EF" w:rsidTr="00FC6E81">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4D5B16" w:rsidRPr="007F10EF" w:rsidRDefault="004D5B16" w:rsidP="004D5B16">
            <w:pPr>
              <w:spacing w:before="120"/>
              <w:jc w:val="both"/>
              <w:rPr>
                <w:rFonts w:cs="Arial"/>
                <w:b/>
                <w:szCs w:val="24"/>
              </w:rPr>
            </w:pPr>
            <w:r w:rsidRPr="007F10EF">
              <w:rPr>
                <w:rFonts w:cs="Arial"/>
                <w:b/>
                <w:szCs w:val="24"/>
              </w:rPr>
              <w:t>Tópico</w:t>
            </w:r>
          </w:p>
        </w:tc>
        <w:tc>
          <w:tcPr>
            <w:tcW w:w="5222" w:type="dxa"/>
            <w:tcBorders>
              <w:top w:val="single" w:sz="6" w:space="0" w:color="000000"/>
              <w:left w:val="single" w:sz="6" w:space="0" w:color="000000"/>
              <w:bottom w:val="single" w:sz="6" w:space="0" w:color="000000"/>
              <w:right w:val="single" w:sz="6" w:space="0" w:color="000000"/>
            </w:tcBorders>
            <w:vAlign w:val="center"/>
          </w:tcPr>
          <w:p w:rsidR="004D5B16" w:rsidRPr="007F10EF" w:rsidRDefault="004D5B16" w:rsidP="004D5B16">
            <w:pPr>
              <w:spacing w:before="120"/>
              <w:jc w:val="both"/>
              <w:rPr>
                <w:rFonts w:cs="Arial"/>
                <w:szCs w:val="24"/>
              </w:rPr>
            </w:pPr>
            <w:r w:rsidRPr="007F10EF">
              <w:rPr>
                <w:rFonts w:cs="Arial"/>
                <w:szCs w:val="24"/>
              </w:rPr>
              <w:t>Bioquímica</w:t>
            </w:r>
            <w:r>
              <w:rPr>
                <w:rFonts w:cs="Arial"/>
                <w:szCs w:val="24"/>
              </w:rPr>
              <w:t xml:space="preserve"> (2)</w:t>
            </w:r>
          </w:p>
        </w:tc>
        <w:tc>
          <w:tcPr>
            <w:tcW w:w="1620" w:type="dxa"/>
            <w:tcBorders>
              <w:top w:val="single" w:sz="6" w:space="0" w:color="000000"/>
              <w:left w:val="single" w:sz="6" w:space="0" w:color="000000"/>
              <w:bottom w:val="single" w:sz="6" w:space="0" w:color="000000"/>
              <w:right w:val="single" w:sz="6" w:space="0" w:color="000000"/>
            </w:tcBorders>
            <w:vAlign w:val="center"/>
          </w:tcPr>
          <w:p w:rsidR="004D5B16" w:rsidRPr="007F10EF" w:rsidRDefault="004D5B16" w:rsidP="004D5B16">
            <w:pPr>
              <w:spacing w:before="120"/>
              <w:jc w:val="both"/>
              <w:rPr>
                <w:rFonts w:cs="Arial"/>
                <w:b/>
                <w:szCs w:val="24"/>
              </w:rPr>
            </w:pPr>
            <w:r w:rsidRPr="007F10EF">
              <w:rPr>
                <w:rFonts w:cs="Arial"/>
                <w:b/>
                <w:szCs w:val="24"/>
              </w:rPr>
              <w:t xml:space="preserve">Tipo </w:t>
            </w:r>
          </w:p>
        </w:tc>
        <w:tc>
          <w:tcPr>
            <w:tcW w:w="1890" w:type="dxa"/>
            <w:tcBorders>
              <w:top w:val="single" w:sz="6" w:space="0" w:color="000000"/>
              <w:left w:val="single" w:sz="6" w:space="0" w:color="000000"/>
              <w:bottom w:val="single" w:sz="6" w:space="0" w:color="000000"/>
              <w:right w:val="single" w:sz="6" w:space="0" w:color="000000"/>
            </w:tcBorders>
            <w:vAlign w:val="center"/>
          </w:tcPr>
          <w:p w:rsidR="004D5B16" w:rsidRPr="007F10EF" w:rsidRDefault="004D5B16" w:rsidP="004D5B16">
            <w:pPr>
              <w:spacing w:before="120"/>
              <w:jc w:val="both"/>
              <w:rPr>
                <w:rFonts w:cs="Arial"/>
              </w:rPr>
            </w:pPr>
            <w:r w:rsidRPr="007F10EF">
              <w:rPr>
                <w:rFonts w:cs="Arial"/>
              </w:rPr>
              <w:t>Teórica</w:t>
            </w:r>
          </w:p>
        </w:tc>
      </w:tr>
      <w:tr w:rsidR="004D5B16" w:rsidRPr="007F10EF" w:rsidTr="00FC6E81">
        <w:trPr>
          <w:cantSplit/>
          <w:trHeight w:val="414"/>
        </w:trPr>
        <w:tc>
          <w:tcPr>
            <w:tcW w:w="1418" w:type="dxa"/>
            <w:tcBorders>
              <w:top w:val="single" w:sz="6" w:space="0" w:color="000000"/>
              <w:left w:val="single" w:sz="6" w:space="0" w:color="000000"/>
              <w:bottom w:val="single" w:sz="6" w:space="0" w:color="000000"/>
              <w:right w:val="single" w:sz="6" w:space="0" w:color="000000"/>
            </w:tcBorders>
            <w:vAlign w:val="center"/>
          </w:tcPr>
          <w:p w:rsidR="004D5B16" w:rsidRPr="007F10EF" w:rsidRDefault="004D5B16" w:rsidP="004D5B16">
            <w:pPr>
              <w:spacing w:before="120"/>
              <w:jc w:val="both"/>
              <w:rPr>
                <w:rFonts w:cs="Arial"/>
                <w:b/>
                <w:szCs w:val="24"/>
              </w:rPr>
            </w:pPr>
            <w:r w:rsidRPr="007F10EF">
              <w:rPr>
                <w:rFonts w:cs="Arial"/>
                <w:b/>
                <w:szCs w:val="24"/>
              </w:rPr>
              <w:t>Conteúdos</w:t>
            </w:r>
          </w:p>
        </w:tc>
        <w:tc>
          <w:tcPr>
            <w:tcW w:w="5222" w:type="dxa"/>
            <w:tcBorders>
              <w:top w:val="single" w:sz="6" w:space="0" w:color="000000"/>
              <w:left w:val="single" w:sz="6" w:space="0" w:color="000000"/>
              <w:bottom w:val="single" w:sz="6" w:space="0" w:color="000000"/>
              <w:right w:val="single" w:sz="6" w:space="0" w:color="000000"/>
            </w:tcBorders>
            <w:vAlign w:val="center"/>
          </w:tcPr>
          <w:p w:rsidR="004D5B16" w:rsidRPr="00ED3A9C" w:rsidRDefault="004D5B16" w:rsidP="004D5B16">
            <w:pPr>
              <w:pStyle w:val="Heading1"/>
              <w:rPr>
                <w:b w:val="0"/>
                <w:sz w:val="22"/>
                <w:szCs w:val="22"/>
              </w:rPr>
            </w:pPr>
            <w:bookmarkStart w:id="7" w:name="_Toc329099751"/>
            <w:r w:rsidRPr="00ED3A9C">
              <w:rPr>
                <w:b w:val="0"/>
                <w:sz w:val="22"/>
                <w:szCs w:val="22"/>
              </w:rPr>
              <w:t>Biomoléculas e Micronutrientes</w:t>
            </w:r>
            <w:bookmarkEnd w:id="7"/>
          </w:p>
        </w:tc>
        <w:tc>
          <w:tcPr>
            <w:tcW w:w="1620" w:type="dxa"/>
            <w:tcBorders>
              <w:top w:val="single" w:sz="6" w:space="0" w:color="000000"/>
              <w:left w:val="single" w:sz="6" w:space="0" w:color="000000"/>
              <w:bottom w:val="single" w:sz="6" w:space="0" w:color="000000"/>
              <w:right w:val="single" w:sz="6" w:space="0" w:color="000000"/>
            </w:tcBorders>
            <w:vAlign w:val="center"/>
          </w:tcPr>
          <w:p w:rsidR="004D5B16" w:rsidRPr="007F10EF" w:rsidRDefault="004D5B16" w:rsidP="004D5B16">
            <w:pPr>
              <w:spacing w:before="120"/>
              <w:jc w:val="both"/>
              <w:rPr>
                <w:rFonts w:cs="Arial"/>
                <w:b/>
                <w:szCs w:val="24"/>
              </w:rPr>
            </w:pPr>
            <w:r w:rsidRPr="007F10EF">
              <w:rPr>
                <w:rFonts w:cs="Arial"/>
                <w:b/>
                <w:szCs w:val="24"/>
              </w:rPr>
              <w:t>Duração</w:t>
            </w:r>
          </w:p>
        </w:tc>
        <w:tc>
          <w:tcPr>
            <w:tcW w:w="1890" w:type="dxa"/>
            <w:tcBorders>
              <w:top w:val="single" w:sz="6" w:space="0" w:color="000000"/>
              <w:left w:val="single" w:sz="6" w:space="0" w:color="000000"/>
              <w:bottom w:val="single" w:sz="6" w:space="0" w:color="000000"/>
              <w:right w:val="single" w:sz="6" w:space="0" w:color="000000"/>
            </w:tcBorders>
            <w:vAlign w:val="center"/>
          </w:tcPr>
          <w:p w:rsidR="004D5B16" w:rsidRPr="007F10EF" w:rsidRDefault="004D5B16" w:rsidP="004D5B16">
            <w:pPr>
              <w:spacing w:before="120"/>
              <w:jc w:val="both"/>
              <w:rPr>
                <w:rFonts w:cs="Arial"/>
              </w:rPr>
            </w:pPr>
            <w:r w:rsidRPr="007F10EF">
              <w:rPr>
                <w:rFonts w:cs="Arial"/>
              </w:rPr>
              <w:t>2 h</w:t>
            </w:r>
          </w:p>
        </w:tc>
      </w:tr>
    </w:tbl>
    <w:p w:rsidR="0052785B" w:rsidRDefault="0052785B" w:rsidP="0052785B">
      <w:pPr>
        <w:rPr>
          <w:b/>
        </w:rPr>
      </w:pPr>
    </w:p>
    <w:p w:rsidR="004D5B16" w:rsidRPr="0052785B" w:rsidRDefault="004D5B16" w:rsidP="0052785B">
      <w:pPr>
        <w:rPr>
          <w:b/>
        </w:rPr>
      </w:pPr>
      <w:r w:rsidRPr="0052785B">
        <w:rPr>
          <w:b/>
        </w:rPr>
        <w:t>Objectivos de Aprendizagem:</w:t>
      </w:r>
    </w:p>
    <w:p w:rsidR="004D5B16" w:rsidRPr="004D5B16" w:rsidRDefault="004D5B16" w:rsidP="004D5B16">
      <w:pPr>
        <w:jc w:val="both"/>
        <w:rPr>
          <w:rFonts w:cs="Arial"/>
          <w:lang w:val="pt-BR"/>
        </w:rPr>
      </w:pPr>
      <w:r w:rsidRPr="004D5B16">
        <w:rPr>
          <w:rFonts w:cs="Arial"/>
          <w:lang w:val="pt-BR"/>
        </w:rPr>
        <w:t>Até ao fim da aula os alunos devem ser capazes de:</w:t>
      </w:r>
    </w:p>
    <w:p w:rsidR="004D5B16" w:rsidRPr="00506DE0" w:rsidRDefault="004D5B16" w:rsidP="00506DE0">
      <w:pPr>
        <w:spacing w:after="0"/>
        <w:jc w:val="both"/>
        <w:rPr>
          <w:rFonts w:cs="Arial"/>
          <w:lang w:val="pt-PT"/>
        </w:rPr>
      </w:pPr>
      <w:r w:rsidRPr="00506DE0">
        <w:rPr>
          <w:rFonts w:cs="Arial"/>
          <w:lang w:val="pt-PT"/>
        </w:rPr>
        <w:t>Sobre o conteúdo “Biomoléculas”:</w:t>
      </w:r>
    </w:p>
    <w:p w:rsidR="00506DE0" w:rsidRDefault="00506DE0" w:rsidP="00506DE0">
      <w:pPr>
        <w:pStyle w:val="ListParagraph"/>
        <w:spacing w:after="0"/>
        <w:ind w:left="360"/>
        <w:jc w:val="both"/>
        <w:rPr>
          <w:rFonts w:cs="Arial"/>
          <w:lang w:val="pt-BR"/>
        </w:rPr>
      </w:pPr>
      <w:r>
        <w:rPr>
          <w:rFonts w:cs="Arial"/>
          <w:lang w:val="pt-BR"/>
        </w:rPr>
        <w:t xml:space="preserve">1. </w:t>
      </w:r>
      <w:r w:rsidR="004D5B16" w:rsidRPr="00506DE0">
        <w:rPr>
          <w:rFonts w:cs="Arial"/>
          <w:lang w:val="pt-BR"/>
        </w:rPr>
        <w:t>Definir o que são os ácidos nucleícos</w:t>
      </w:r>
    </w:p>
    <w:p w:rsidR="00506DE0" w:rsidRDefault="00506DE0" w:rsidP="00506DE0">
      <w:pPr>
        <w:pStyle w:val="ListParagraph"/>
        <w:spacing w:after="0"/>
        <w:ind w:left="360"/>
        <w:jc w:val="both"/>
        <w:rPr>
          <w:rFonts w:cs="Arial"/>
          <w:lang w:val="pt-BR"/>
        </w:rPr>
      </w:pPr>
      <w:r>
        <w:rPr>
          <w:rFonts w:cs="Arial"/>
          <w:lang w:val="pt-BR"/>
        </w:rPr>
        <w:t xml:space="preserve">2. </w:t>
      </w:r>
      <w:r w:rsidR="004D5B16" w:rsidRPr="004D5B16">
        <w:rPr>
          <w:rFonts w:cs="Arial"/>
          <w:lang w:val="pt-BR"/>
        </w:rPr>
        <w:t>Explicar a estrutura de ADN e ARN e as suas propriedades</w:t>
      </w:r>
    </w:p>
    <w:p w:rsidR="00506DE0" w:rsidRDefault="00506DE0" w:rsidP="00506DE0">
      <w:pPr>
        <w:pStyle w:val="ListParagraph"/>
        <w:spacing w:after="0"/>
        <w:ind w:left="360"/>
        <w:jc w:val="both"/>
        <w:rPr>
          <w:rFonts w:cs="Arial"/>
          <w:lang w:val="pt-BR"/>
        </w:rPr>
      </w:pPr>
      <w:r>
        <w:rPr>
          <w:rFonts w:cs="Arial"/>
          <w:lang w:val="pt-BR"/>
        </w:rPr>
        <w:t xml:space="preserve">3. </w:t>
      </w:r>
      <w:r w:rsidR="004D5B16" w:rsidRPr="004D5B16">
        <w:rPr>
          <w:rFonts w:cs="Arial"/>
          <w:lang w:val="pt-BR"/>
        </w:rPr>
        <w:t>Descrever as funções biológicas do ADN</w:t>
      </w:r>
    </w:p>
    <w:p w:rsidR="00506DE0" w:rsidRDefault="00506DE0" w:rsidP="00506DE0">
      <w:pPr>
        <w:pStyle w:val="ListParagraph"/>
        <w:spacing w:after="0"/>
        <w:ind w:left="360"/>
        <w:jc w:val="both"/>
        <w:rPr>
          <w:rFonts w:cs="Arial"/>
          <w:lang w:val="pt-BR"/>
        </w:rPr>
      </w:pPr>
      <w:r>
        <w:rPr>
          <w:rFonts w:cs="Arial"/>
          <w:lang w:val="pt-BR"/>
        </w:rPr>
        <w:t xml:space="preserve">4. </w:t>
      </w:r>
      <w:r w:rsidR="004D5B16" w:rsidRPr="004D5B16">
        <w:rPr>
          <w:rFonts w:cs="Arial"/>
          <w:lang w:val="pt-BR"/>
        </w:rPr>
        <w:t>Listar os tipos de ARN e as suas funções</w:t>
      </w:r>
    </w:p>
    <w:p w:rsidR="00506DE0" w:rsidRDefault="00506DE0" w:rsidP="00506DE0">
      <w:pPr>
        <w:pStyle w:val="ListParagraph"/>
        <w:spacing w:after="0"/>
        <w:ind w:left="360"/>
        <w:jc w:val="both"/>
        <w:rPr>
          <w:rFonts w:cs="Arial"/>
          <w:lang w:val="pt-PT"/>
        </w:rPr>
      </w:pPr>
      <w:r>
        <w:rPr>
          <w:rFonts w:cs="Arial"/>
          <w:lang w:val="pt-BR"/>
        </w:rPr>
        <w:t xml:space="preserve">5. </w:t>
      </w:r>
      <w:r w:rsidR="004D5B16" w:rsidRPr="00506DE0">
        <w:rPr>
          <w:rFonts w:cs="Arial"/>
          <w:lang w:val="pt-PT"/>
        </w:rPr>
        <w:t>Explicar a síntese proteica</w:t>
      </w:r>
    </w:p>
    <w:p w:rsidR="004D5B16" w:rsidRDefault="00506DE0" w:rsidP="00506DE0">
      <w:pPr>
        <w:pStyle w:val="ListParagraph"/>
        <w:spacing w:after="0"/>
        <w:ind w:left="360"/>
        <w:jc w:val="both"/>
        <w:rPr>
          <w:rFonts w:cs="Arial"/>
          <w:lang w:val="pt-BR"/>
        </w:rPr>
      </w:pPr>
      <w:r>
        <w:rPr>
          <w:rFonts w:cs="Arial"/>
          <w:lang w:val="pt-PT"/>
        </w:rPr>
        <w:t xml:space="preserve">6. </w:t>
      </w:r>
      <w:r w:rsidR="004D5B16" w:rsidRPr="004D5B16">
        <w:rPr>
          <w:rFonts w:cs="Arial"/>
          <w:lang w:val="pt-BR"/>
        </w:rPr>
        <w:t>Explicar sucintamente em que consistem os processos de replicação, transcrição e tradução</w:t>
      </w:r>
    </w:p>
    <w:p w:rsidR="00506DE0" w:rsidRPr="00506DE0" w:rsidRDefault="00506DE0" w:rsidP="00506DE0">
      <w:pPr>
        <w:spacing w:after="0" w:line="240" w:lineRule="auto"/>
        <w:jc w:val="both"/>
        <w:rPr>
          <w:rFonts w:cs="Arial"/>
          <w:lang w:val="pt-BR"/>
        </w:rPr>
      </w:pPr>
    </w:p>
    <w:p w:rsidR="004D5B16" w:rsidRPr="00506DE0" w:rsidRDefault="004D5B16" w:rsidP="00506DE0">
      <w:pPr>
        <w:spacing w:after="0"/>
        <w:jc w:val="both"/>
        <w:rPr>
          <w:rFonts w:cs="Arial"/>
          <w:lang w:val="pt-PT"/>
        </w:rPr>
      </w:pPr>
      <w:r w:rsidRPr="00506DE0">
        <w:rPr>
          <w:rFonts w:cs="Arial"/>
          <w:lang w:val="pt-PT"/>
        </w:rPr>
        <w:t>Sobre o conteúdo “Micronutrientes”</w:t>
      </w:r>
    </w:p>
    <w:p w:rsidR="004D5B16" w:rsidRPr="006C62EE" w:rsidRDefault="004D5B16" w:rsidP="00C52E09">
      <w:pPr>
        <w:pStyle w:val="ListParagraph"/>
        <w:numPr>
          <w:ilvl w:val="1"/>
          <w:numId w:val="30"/>
        </w:numPr>
        <w:spacing w:after="0"/>
        <w:jc w:val="both"/>
        <w:rPr>
          <w:rFonts w:cs="Arial"/>
          <w:lang w:val="pt-PT"/>
        </w:rPr>
      </w:pPr>
      <w:r w:rsidRPr="006C62EE">
        <w:rPr>
          <w:rFonts w:cs="Arial"/>
          <w:lang w:val="pt-PT"/>
        </w:rPr>
        <w:t>Definir e classificar os micronutrientes</w:t>
      </w:r>
    </w:p>
    <w:p w:rsidR="004D5B16" w:rsidRPr="004D5B16" w:rsidRDefault="004D5B16" w:rsidP="00C52E09">
      <w:pPr>
        <w:numPr>
          <w:ilvl w:val="1"/>
          <w:numId w:val="30"/>
        </w:numPr>
        <w:spacing w:after="0"/>
        <w:jc w:val="both"/>
        <w:rPr>
          <w:rFonts w:cs="Arial"/>
          <w:lang w:val="pt-BR"/>
        </w:rPr>
      </w:pPr>
      <w:r w:rsidRPr="004D5B16">
        <w:rPr>
          <w:rFonts w:cs="Arial"/>
          <w:lang w:val="pt-BR"/>
        </w:rPr>
        <w:t>Listar as principais alterações produzidas por deficiências de micronutrientes</w:t>
      </w:r>
    </w:p>
    <w:p w:rsidR="004D5B16" w:rsidRPr="00D90EE3" w:rsidRDefault="004D5B16" w:rsidP="00C52E09">
      <w:pPr>
        <w:numPr>
          <w:ilvl w:val="1"/>
          <w:numId w:val="30"/>
        </w:numPr>
        <w:spacing w:after="0"/>
        <w:jc w:val="both"/>
        <w:rPr>
          <w:rFonts w:cs="Arial"/>
        </w:rPr>
      </w:pPr>
      <w:r w:rsidRPr="00D90EE3">
        <w:rPr>
          <w:rFonts w:cs="Arial"/>
        </w:rPr>
        <w:t xml:space="preserve">Definir </w:t>
      </w:r>
      <w:r>
        <w:rPr>
          <w:rFonts w:cs="Arial"/>
        </w:rPr>
        <w:t xml:space="preserve">e classificar as </w:t>
      </w:r>
      <w:r w:rsidRPr="00D90EE3">
        <w:rPr>
          <w:rFonts w:cs="Arial"/>
        </w:rPr>
        <w:t>vitaminas</w:t>
      </w:r>
    </w:p>
    <w:p w:rsidR="004D5B16" w:rsidRPr="004D5B16" w:rsidRDefault="004D5B16" w:rsidP="00C52E09">
      <w:pPr>
        <w:numPr>
          <w:ilvl w:val="1"/>
          <w:numId w:val="30"/>
        </w:numPr>
        <w:spacing w:after="0"/>
        <w:jc w:val="both"/>
        <w:rPr>
          <w:rFonts w:cs="Arial"/>
          <w:lang w:val="pt-BR"/>
        </w:rPr>
      </w:pPr>
      <w:r w:rsidRPr="004D5B16">
        <w:rPr>
          <w:rFonts w:cs="Arial"/>
          <w:lang w:val="pt-BR"/>
        </w:rPr>
        <w:t>Listar as principais alterações produzidas por deficiências de vitaminas</w:t>
      </w:r>
    </w:p>
    <w:p w:rsidR="004D5B16" w:rsidRPr="004D5B16" w:rsidRDefault="004D5B16" w:rsidP="00506DE0">
      <w:pPr>
        <w:tabs>
          <w:tab w:val="left" w:pos="244"/>
          <w:tab w:val="left" w:pos="2745"/>
        </w:tabs>
        <w:spacing w:before="60" w:after="60" w:line="240" w:lineRule="auto"/>
        <w:jc w:val="both"/>
        <w:outlineLvl w:val="0"/>
        <w:rPr>
          <w:rFonts w:cs="Arial"/>
          <w:b/>
          <w:bCs/>
          <w:sz w:val="20"/>
          <w:szCs w:val="20"/>
          <w:lang w:val="pt-BR"/>
        </w:rPr>
      </w:pPr>
    </w:p>
    <w:p w:rsidR="004D5B16" w:rsidRPr="0052785B" w:rsidRDefault="004D5B16" w:rsidP="0052785B">
      <w:pPr>
        <w:rPr>
          <w:b/>
        </w:rPr>
      </w:pPr>
      <w:r w:rsidRPr="0052785B">
        <w:rPr>
          <w:b/>
        </w:rPr>
        <w:t>Estrutura da Aula</w:t>
      </w:r>
    </w:p>
    <w:tbl>
      <w:tblPr>
        <w:tblW w:w="10188" w:type="dxa"/>
        <w:tblBorders>
          <w:top w:val="single" w:sz="18" w:space="0" w:color="auto"/>
          <w:bottom w:val="single" w:sz="18" w:space="0" w:color="auto"/>
        </w:tblBorders>
        <w:tblLayout w:type="fixed"/>
        <w:tblLook w:val="0400" w:firstRow="0" w:lastRow="0" w:firstColumn="0" w:lastColumn="0" w:noHBand="0" w:noVBand="1"/>
      </w:tblPr>
      <w:tblGrid>
        <w:gridCol w:w="738"/>
        <w:gridCol w:w="3150"/>
        <w:gridCol w:w="4770"/>
        <w:gridCol w:w="1530"/>
      </w:tblGrid>
      <w:tr w:rsidR="004D5B16" w:rsidRPr="007A5C5E" w:rsidTr="00FC6E81">
        <w:trPr>
          <w:trHeight w:val="490"/>
        </w:trPr>
        <w:tc>
          <w:tcPr>
            <w:tcW w:w="738" w:type="dxa"/>
            <w:tcBorders>
              <w:top w:val="single" w:sz="18" w:space="0" w:color="auto"/>
              <w:bottom w:val="single" w:sz="18" w:space="0" w:color="auto"/>
              <w:right w:val="single" w:sz="4" w:space="0" w:color="auto"/>
            </w:tcBorders>
            <w:shd w:val="clear" w:color="auto" w:fill="B8CCE4"/>
          </w:tcPr>
          <w:p w:rsidR="004D5B16" w:rsidRPr="007A5C5E" w:rsidRDefault="004D5B16" w:rsidP="004D5B16">
            <w:pPr>
              <w:spacing w:before="60" w:after="60" w:line="360" w:lineRule="auto"/>
              <w:ind w:left="-110" w:right="-108"/>
              <w:jc w:val="both"/>
              <w:rPr>
                <w:rFonts w:cs="Arial"/>
                <w:b/>
                <w:sz w:val="20"/>
                <w:szCs w:val="20"/>
              </w:rPr>
            </w:pPr>
            <w:r w:rsidRPr="007A5C5E">
              <w:rPr>
                <w:rFonts w:cs="Arial"/>
                <w:b/>
                <w:sz w:val="20"/>
                <w:szCs w:val="20"/>
              </w:rPr>
              <w:t>Bloco</w:t>
            </w:r>
          </w:p>
        </w:tc>
        <w:tc>
          <w:tcPr>
            <w:tcW w:w="3150" w:type="dxa"/>
            <w:tcBorders>
              <w:top w:val="single" w:sz="18" w:space="0" w:color="auto"/>
              <w:left w:val="single" w:sz="4" w:space="0" w:color="auto"/>
              <w:bottom w:val="single" w:sz="18" w:space="0" w:color="auto"/>
              <w:right w:val="single" w:sz="4" w:space="0" w:color="auto"/>
            </w:tcBorders>
            <w:shd w:val="clear" w:color="auto" w:fill="B8CCE4"/>
          </w:tcPr>
          <w:p w:rsidR="004D5B16" w:rsidRPr="007A5C5E" w:rsidRDefault="004D5B16" w:rsidP="004D5B16">
            <w:pPr>
              <w:spacing w:before="60" w:after="60" w:line="360" w:lineRule="auto"/>
              <w:jc w:val="both"/>
              <w:rPr>
                <w:rFonts w:cs="Arial"/>
                <w:b/>
                <w:sz w:val="20"/>
                <w:szCs w:val="20"/>
              </w:rPr>
            </w:pPr>
            <w:r w:rsidRPr="007A5C5E">
              <w:rPr>
                <w:rFonts w:cs="Arial"/>
                <w:b/>
                <w:sz w:val="20"/>
                <w:szCs w:val="20"/>
              </w:rPr>
              <w:t>Título do Bloco</w:t>
            </w:r>
          </w:p>
        </w:tc>
        <w:tc>
          <w:tcPr>
            <w:tcW w:w="4770" w:type="dxa"/>
            <w:tcBorders>
              <w:top w:val="single" w:sz="18" w:space="0" w:color="auto"/>
              <w:left w:val="single" w:sz="4" w:space="0" w:color="auto"/>
              <w:bottom w:val="single" w:sz="18" w:space="0" w:color="auto"/>
              <w:right w:val="single" w:sz="4" w:space="0" w:color="auto"/>
            </w:tcBorders>
            <w:shd w:val="clear" w:color="auto" w:fill="B8CCE4"/>
          </w:tcPr>
          <w:p w:rsidR="004D5B16" w:rsidRPr="007A5C5E" w:rsidRDefault="004D5B16" w:rsidP="004D5B16">
            <w:pPr>
              <w:tabs>
                <w:tab w:val="left" w:pos="244"/>
              </w:tabs>
              <w:spacing w:before="60" w:after="60" w:line="360" w:lineRule="auto"/>
              <w:jc w:val="both"/>
              <w:rPr>
                <w:rFonts w:cs="Arial"/>
                <w:b/>
                <w:sz w:val="20"/>
                <w:szCs w:val="20"/>
                <w:lang w:val="pt-BR"/>
              </w:rPr>
            </w:pPr>
            <w:r w:rsidRPr="007A5C5E">
              <w:rPr>
                <w:rFonts w:cs="Arial"/>
                <w:b/>
                <w:sz w:val="20"/>
                <w:szCs w:val="20"/>
              </w:rPr>
              <w:t>M</w:t>
            </w:r>
            <w:r w:rsidRPr="007A5C5E">
              <w:rPr>
                <w:rFonts w:cs="Arial"/>
                <w:b/>
                <w:sz w:val="20"/>
                <w:szCs w:val="20"/>
                <w:lang w:val="pt-BR"/>
              </w:rPr>
              <w:t>étodo de Ensino</w:t>
            </w:r>
          </w:p>
        </w:tc>
        <w:tc>
          <w:tcPr>
            <w:tcW w:w="1530" w:type="dxa"/>
            <w:tcBorders>
              <w:top w:val="single" w:sz="18" w:space="0" w:color="auto"/>
              <w:left w:val="single" w:sz="4" w:space="0" w:color="auto"/>
              <w:bottom w:val="single" w:sz="18" w:space="0" w:color="auto"/>
            </w:tcBorders>
            <w:shd w:val="clear" w:color="auto" w:fill="B8CCE4"/>
          </w:tcPr>
          <w:p w:rsidR="004D5B16" w:rsidRPr="007A5C5E" w:rsidRDefault="004D5B16" w:rsidP="004D5B16">
            <w:pPr>
              <w:tabs>
                <w:tab w:val="left" w:pos="244"/>
              </w:tabs>
              <w:spacing w:before="60" w:after="60" w:line="360" w:lineRule="auto"/>
              <w:jc w:val="both"/>
              <w:rPr>
                <w:rFonts w:cs="Arial"/>
                <w:b/>
                <w:sz w:val="20"/>
                <w:szCs w:val="20"/>
                <w:lang w:val="pt-BR"/>
              </w:rPr>
            </w:pPr>
            <w:r w:rsidRPr="007A5C5E">
              <w:rPr>
                <w:rFonts w:cs="Arial"/>
                <w:b/>
                <w:sz w:val="20"/>
                <w:szCs w:val="20"/>
              </w:rPr>
              <w:t>Duração</w:t>
            </w:r>
          </w:p>
        </w:tc>
      </w:tr>
      <w:tr w:rsidR="004D5B16" w:rsidRPr="007A5C5E" w:rsidTr="00FC6E81">
        <w:tc>
          <w:tcPr>
            <w:tcW w:w="738" w:type="dxa"/>
            <w:tcBorders>
              <w:top w:val="single" w:sz="18" w:space="0" w:color="auto"/>
              <w:bottom w:val="single" w:sz="4" w:space="0" w:color="auto"/>
              <w:right w:val="single" w:sz="4" w:space="0" w:color="auto"/>
            </w:tcBorders>
          </w:tcPr>
          <w:p w:rsidR="004D5B16" w:rsidRPr="007A5C5E" w:rsidRDefault="004D5B16" w:rsidP="004D5B16">
            <w:pPr>
              <w:spacing w:before="60" w:after="60" w:line="360" w:lineRule="auto"/>
              <w:ind w:left="-110" w:right="-108"/>
              <w:jc w:val="center"/>
              <w:rPr>
                <w:rFonts w:cs="Arial"/>
                <w:sz w:val="20"/>
                <w:szCs w:val="20"/>
              </w:rPr>
            </w:pPr>
            <w:r w:rsidRPr="007A5C5E">
              <w:rPr>
                <w:rFonts w:cs="Arial"/>
                <w:sz w:val="20"/>
                <w:szCs w:val="20"/>
              </w:rPr>
              <w:t>1</w:t>
            </w:r>
          </w:p>
        </w:tc>
        <w:tc>
          <w:tcPr>
            <w:tcW w:w="3150" w:type="dxa"/>
            <w:tcBorders>
              <w:top w:val="single" w:sz="18" w:space="0" w:color="auto"/>
              <w:left w:val="single" w:sz="4" w:space="0" w:color="auto"/>
              <w:bottom w:val="single" w:sz="4" w:space="0" w:color="auto"/>
              <w:right w:val="single" w:sz="4" w:space="0" w:color="auto"/>
            </w:tcBorders>
            <w:vAlign w:val="center"/>
          </w:tcPr>
          <w:p w:rsidR="004D5B16" w:rsidRPr="007A5C5E" w:rsidRDefault="004D5B16" w:rsidP="004D5B16">
            <w:pPr>
              <w:tabs>
                <w:tab w:val="left" w:pos="244"/>
              </w:tabs>
              <w:spacing w:before="60" w:after="60" w:line="360" w:lineRule="auto"/>
              <w:rPr>
                <w:rFonts w:cs="Arial"/>
                <w:sz w:val="20"/>
                <w:szCs w:val="20"/>
              </w:rPr>
            </w:pPr>
            <w:r w:rsidRPr="007A5C5E">
              <w:rPr>
                <w:rFonts w:cs="Arial"/>
                <w:sz w:val="20"/>
                <w:szCs w:val="20"/>
              </w:rPr>
              <w:t>Introdução à Aula</w:t>
            </w:r>
          </w:p>
          <w:p w:rsidR="004D5B16" w:rsidRPr="007A5C5E" w:rsidRDefault="004D5B16" w:rsidP="004D5B16">
            <w:pPr>
              <w:tabs>
                <w:tab w:val="left" w:pos="244"/>
              </w:tabs>
              <w:spacing w:before="60" w:after="60" w:line="360" w:lineRule="auto"/>
              <w:rPr>
                <w:rFonts w:cs="Arial"/>
                <w:sz w:val="20"/>
                <w:szCs w:val="20"/>
              </w:rPr>
            </w:pPr>
          </w:p>
        </w:tc>
        <w:tc>
          <w:tcPr>
            <w:tcW w:w="4770" w:type="dxa"/>
            <w:tcBorders>
              <w:top w:val="single" w:sz="18" w:space="0" w:color="auto"/>
              <w:left w:val="single" w:sz="4" w:space="0" w:color="auto"/>
              <w:bottom w:val="single" w:sz="4" w:space="0" w:color="auto"/>
              <w:right w:val="single" w:sz="4" w:space="0" w:color="auto"/>
            </w:tcBorders>
          </w:tcPr>
          <w:p w:rsidR="004D5B16" w:rsidRPr="007A5C5E" w:rsidRDefault="004D5B16" w:rsidP="004D5B16">
            <w:pPr>
              <w:tabs>
                <w:tab w:val="left" w:pos="244"/>
              </w:tabs>
              <w:spacing w:before="60" w:after="60" w:line="360" w:lineRule="auto"/>
              <w:jc w:val="both"/>
              <w:rPr>
                <w:rFonts w:cs="Arial"/>
                <w:sz w:val="20"/>
                <w:szCs w:val="20"/>
              </w:rPr>
            </w:pPr>
          </w:p>
        </w:tc>
        <w:tc>
          <w:tcPr>
            <w:tcW w:w="1530" w:type="dxa"/>
            <w:tcBorders>
              <w:top w:val="single" w:sz="18" w:space="0" w:color="auto"/>
              <w:left w:val="single" w:sz="4" w:space="0" w:color="auto"/>
              <w:bottom w:val="single" w:sz="4" w:space="0" w:color="auto"/>
            </w:tcBorders>
          </w:tcPr>
          <w:p w:rsidR="004D5B16" w:rsidRPr="007A5C5E" w:rsidRDefault="004D5B16" w:rsidP="004D5B16">
            <w:pPr>
              <w:tabs>
                <w:tab w:val="left" w:pos="244"/>
              </w:tabs>
              <w:spacing w:before="60" w:after="60" w:line="360" w:lineRule="auto"/>
              <w:jc w:val="both"/>
              <w:rPr>
                <w:rFonts w:cs="Arial"/>
                <w:sz w:val="20"/>
                <w:szCs w:val="20"/>
              </w:rPr>
            </w:pPr>
          </w:p>
        </w:tc>
      </w:tr>
      <w:tr w:rsidR="004D5B16" w:rsidRPr="00FC6E81" w:rsidTr="00FC6E81">
        <w:tc>
          <w:tcPr>
            <w:tcW w:w="738" w:type="dxa"/>
            <w:tcBorders>
              <w:top w:val="single" w:sz="4" w:space="0" w:color="auto"/>
              <w:bottom w:val="single" w:sz="4" w:space="0" w:color="auto"/>
              <w:right w:val="single" w:sz="4" w:space="0" w:color="auto"/>
            </w:tcBorders>
            <w:shd w:val="clear" w:color="auto" w:fill="D9D9D9"/>
          </w:tcPr>
          <w:p w:rsidR="004D5B16" w:rsidRPr="007A5C5E" w:rsidRDefault="004D5B16" w:rsidP="004D5B16">
            <w:pPr>
              <w:spacing w:before="60" w:after="60" w:line="360" w:lineRule="auto"/>
              <w:ind w:left="-110" w:right="-108"/>
              <w:jc w:val="center"/>
              <w:rPr>
                <w:rFonts w:cs="Arial"/>
                <w:sz w:val="20"/>
                <w:szCs w:val="20"/>
              </w:rPr>
            </w:pPr>
            <w:r w:rsidRPr="007A5C5E">
              <w:rPr>
                <w:rFonts w:cs="Arial"/>
                <w:sz w:val="20"/>
                <w:szCs w:val="20"/>
              </w:rPr>
              <w:t>2</w:t>
            </w:r>
          </w:p>
        </w:tc>
        <w:tc>
          <w:tcPr>
            <w:tcW w:w="3150" w:type="dxa"/>
            <w:tcBorders>
              <w:top w:val="single" w:sz="4" w:space="0" w:color="auto"/>
              <w:left w:val="single" w:sz="4" w:space="0" w:color="auto"/>
              <w:bottom w:val="single" w:sz="4" w:space="0" w:color="auto"/>
              <w:right w:val="single" w:sz="4" w:space="0" w:color="auto"/>
            </w:tcBorders>
            <w:shd w:val="clear" w:color="auto" w:fill="D9D9D9"/>
            <w:vAlign w:val="center"/>
          </w:tcPr>
          <w:p w:rsidR="004D5B16" w:rsidRPr="004D5B16" w:rsidRDefault="004D5B16" w:rsidP="004D5B16">
            <w:pPr>
              <w:tabs>
                <w:tab w:val="left" w:pos="244"/>
              </w:tabs>
              <w:spacing w:before="60" w:after="60" w:line="360" w:lineRule="auto"/>
              <w:rPr>
                <w:rFonts w:cs="Arial"/>
                <w:sz w:val="20"/>
                <w:szCs w:val="20"/>
                <w:lang w:val="pt-BR"/>
              </w:rPr>
            </w:pPr>
            <w:r w:rsidRPr="004D5B16">
              <w:rPr>
                <w:rFonts w:cs="Arial"/>
                <w:sz w:val="20"/>
                <w:szCs w:val="20"/>
                <w:lang w:val="pt-BR"/>
              </w:rPr>
              <w:t>Ácidos Nucléicos e Dogma Central da Biologia Molecular</w:t>
            </w:r>
          </w:p>
          <w:p w:rsidR="004D5B16" w:rsidRPr="004D5B16" w:rsidRDefault="004D5B16" w:rsidP="004D5B16">
            <w:pPr>
              <w:tabs>
                <w:tab w:val="left" w:pos="244"/>
              </w:tabs>
              <w:spacing w:before="60" w:after="60" w:line="360" w:lineRule="auto"/>
              <w:rPr>
                <w:rFonts w:cs="Arial"/>
                <w:sz w:val="20"/>
                <w:szCs w:val="20"/>
                <w:lang w:val="pt-BR"/>
              </w:rPr>
            </w:pPr>
          </w:p>
        </w:tc>
        <w:tc>
          <w:tcPr>
            <w:tcW w:w="4770" w:type="dxa"/>
            <w:tcBorders>
              <w:top w:val="single" w:sz="4" w:space="0" w:color="auto"/>
              <w:left w:val="single" w:sz="4" w:space="0" w:color="auto"/>
              <w:bottom w:val="single" w:sz="4" w:space="0" w:color="auto"/>
              <w:right w:val="single" w:sz="4" w:space="0" w:color="auto"/>
            </w:tcBorders>
            <w:shd w:val="clear" w:color="auto" w:fill="D9D9D9"/>
          </w:tcPr>
          <w:p w:rsidR="004D5B16" w:rsidRPr="004D5B16" w:rsidRDefault="004D5B16" w:rsidP="004D5B16">
            <w:pPr>
              <w:tabs>
                <w:tab w:val="left" w:pos="244"/>
              </w:tabs>
              <w:spacing w:before="60" w:after="60" w:line="360" w:lineRule="auto"/>
              <w:jc w:val="both"/>
              <w:rPr>
                <w:rFonts w:cs="Arial"/>
                <w:sz w:val="20"/>
                <w:szCs w:val="20"/>
                <w:lang w:val="pt-BR"/>
              </w:rPr>
            </w:pPr>
          </w:p>
        </w:tc>
        <w:tc>
          <w:tcPr>
            <w:tcW w:w="1530" w:type="dxa"/>
            <w:tcBorders>
              <w:top w:val="single" w:sz="4" w:space="0" w:color="auto"/>
              <w:left w:val="single" w:sz="4" w:space="0" w:color="auto"/>
              <w:bottom w:val="single" w:sz="4" w:space="0" w:color="auto"/>
            </w:tcBorders>
            <w:shd w:val="clear" w:color="auto" w:fill="D9D9D9"/>
          </w:tcPr>
          <w:p w:rsidR="004D5B16" w:rsidRPr="004D5B16" w:rsidRDefault="004D5B16" w:rsidP="004D5B16">
            <w:pPr>
              <w:tabs>
                <w:tab w:val="left" w:pos="244"/>
              </w:tabs>
              <w:spacing w:before="60" w:after="60" w:line="360" w:lineRule="auto"/>
              <w:jc w:val="both"/>
              <w:rPr>
                <w:rFonts w:cs="Arial"/>
                <w:sz w:val="20"/>
                <w:szCs w:val="20"/>
                <w:lang w:val="pt-BR"/>
              </w:rPr>
            </w:pPr>
          </w:p>
        </w:tc>
      </w:tr>
      <w:tr w:rsidR="004D5B16" w:rsidRPr="007A5C5E" w:rsidTr="00FC6E81">
        <w:tc>
          <w:tcPr>
            <w:tcW w:w="738" w:type="dxa"/>
            <w:tcBorders>
              <w:top w:val="single" w:sz="4" w:space="0" w:color="auto"/>
              <w:bottom w:val="single" w:sz="4" w:space="0" w:color="auto"/>
              <w:right w:val="single" w:sz="4" w:space="0" w:color="auto"/>
            </w:tcBorders>
            <w:shd w:val="clear" w:color="auto" w:fill="FFFFFF"/>
          </w:tcPr>
          <w:p w:rsidR="004D5B16" w:rsidRPr="007A5C5E" w:rsidRDefault="004D5B16" w:rsidP="004D5B16">
            <w:pPr>
              <w:spacing w:before="60" w:after="60" w:line="360" w:lineRule="auto"/>
              <w:ind w:left="-110" w:right="-108"/>
              <w:jc w:val="center"/>
              <w:rPr>
                <w:rFonts w:cs="Arial"/>
                <w:sz w:val="20"/>
                <w:szCs w:val="20"/>
              </w:rPr>
            </w:pPr>
            <w:r w:rsidRPr="007A5C5E">
              <w:rPr>
                <w:rFonts w:cs="Arial"/>
                <w:sz w:val="20"/>
                <w:szCs w:val="20"/>
              </w:rPr>
              <w:t>3</w:t>
            </w:r>
          </w:p>
        </w:tc>
        <w:tc>
          <w:tcPr>
            <w:tcW w:w="3150" w:type="dxa"/>
            <w:tcBorders>
              <w:top w:val="single" w:sz="4" w:space="0" w:color="auto"/>
              <w:left w:val="single" w:sz="4" w:space="0" w:color="auto"/>
              <w:bottom w:val="single" w:sz="4" w:space="0" w:color="auto"/>
              <w:right w:val="single" w:sz="4" w:space="0" w:color="auto"/>
            </w:tcBorders>
            <w:shd w:val="clear" w:color="auto" w:fill="FFFFFF"/>
            <w:vAlign w:val="center"/>
          </w:tcPr>
          <w:p w:rsidR="004D5B16" w:rsidRPr="007A5C5E" w:rsidRDefault="004D5B16" w:rsidP="004D5B16">
            <w:pPr>
              <w:tabs>
                <w:tab w:val="left" w:pos="244"/>
              </w:tabs>
              <w:spacing w:before="60" w:after="60" w:line="360" w:lineRule="auto"/>
              <w:rPr>
                <w:rFonts w:cs="Arial"/>
                <w:iCs/>
                <w:sz w:val="20"/>
                <w:szCs w:val="20"/>
              </w:rPr>
            </w:pPr>
            <w:r w:rsidRPr="007A5C5E">
              <w:rPr>
                <w:rFonts w:cs="Arial"/>
                <w:iCs/>
                <w:sz w:val="20"/>
                <w:szCs w:val="20"/>
              </w:rPr>
              <w:t xml:space="preserve">Micronutrientes: Definição e </w:t>
            </w:r>
          </w:p>
          <w:p w:rsidR="004D5B16" w:rsidRPr="007A5C5E" w:rsidRDefault="004D5B16" w:rsidP="004D5B16">
            <w:pPr>
              <w:tabs>
                <w:tab w:val="left" w:pos="244"/>
              </w:tabs>
              <w:spacing w:before="60" w:after="60" w:line="360" w:lineRule="auto"/>
              <w:rPr>
                <w:rFonts w:cs="Arial"/>
                <w:iCs/>
                <w:sz w:val="20"/>
                <w:szCs w:val="20"/>
              </w:rPr>
            </w:pPr>
            <w:r w:rsidRPr="007A5C5E">
              <w:rPr>
                <w:rFonts w:cs="Arial"/>
                <w:iCs/>
                <w:sz w:val="20"/>
                <w:szCs w:val="20"/>
              </w:rPr>
              <w:t>Classificação</w:t>
            </w:r>
          </w:p>
        </w:tc>
        <w:tc>
          <w:tcPr>
            <w:tcW w:w="4770" w:type="dxa"/>
            <w:tcBorders>
              <w:top w:val="single" w:sz="4" w:space="0" w:color="auto"/>
              <w:left w:val="single" w:sz="4" w:space="0" w:color="auto"/>
              <w:bottom w:val="single" w:sz="4" w:space="0" w:color="auto"/>
              <w:right w:val="single" w:sz="4" w:space="0" w:color="auto"/>
            </w:tcBorders>
            <w:shd w:val="clear" w:color="auto" w:fill="FFFFFF"/>
          </w:tcPr>
          <w:p w:rsidR="004D5B16" w:rsidRPr="007A5C5E" w:rsidRDefault="004D5B16" w:rsidP="004D5B16">
            <w:pPr>
              <w:spacing w:before="60" w:after="60" w:line="360" w:lineRule="auto"/>
              <w:ind w:left="-18" w:firstLine="18"/>
              <w:jc w:val="both"/>
              <w:rPr>
                <w:rFonts w:cs="Arial"/>
                <w:sz w:val="20"/>
                <w:szCs w:val="20"/>
              </w:rPr>
            </w:pPr>
          </w:p>
        </w:tc>
        <w:tc>
          <w:tcPr>
            <w:tcW w:w="1530" w:type="dxa"/>
            <w:tcBorders>
              <w:top w:val="single" w:sz="4" w:space="0" w:color="auto"/>
              <w:left w:val="single" w:sz="4" w:space="0" w:color="auto"/>
              <w:bottom w:val="single" w:sz="4" w:space="0" w:color="auto"/>
            </w:tcBorders>
            <w:shd w:val="clear" w:color="auto" w:fill="FFFFFF"/>
          </w:tcPr>
          <w:p w:rsidR="004D5B16" w:rsidRPr="007A5C5E" w:rsidRDefault="004D5B16" w:rsidP="004D5B16">
            <w:pPr>
              <w:spacing w:before="60" w:after="60" w:line="360" w:lineRule="auto"/>
              <w:ind w:left="-18" w:firstLine="18"/>
              <w:jc w:val="both"/>
              <w:rPr>
                <w:rFonts w:cs="Arial"/>
                <w:sz w:val="20"/>
                <w:szCs w:val="20"/>
              </w:rPr>
            </w:pPr>
          </w:p>
        </w:tc>
      </w:tr>
      <w:tr w:rsidR="004D5B16" w:rsidRPr="007A5C5E" w:rsidTr="00FC6E81">
        <w:tc>
          <w:tcPr>
            <w:tcW w:w="738" w:type="dxa"/>
            <w:tcBorders>
              <w:top w:val="single" w:sz="4" w:space="0" w:color="auto"/>
              <w:bottom w:val="single" w:sz="4" w:space="0" w:color="auto"/>
              <w:right w:val="single" w:sz="4" w:space="0" w:color="auto"/>
            </w:tcBorders>
            <w:shd w:val="clear" w:color="auto" w:fill="D9D9D9"/>
          </w:tcPr>
          <w:p w:rsidR="004D5B16" w:rsidRPr="007A5C5E" w:rsidRDefault="004D5B16" w:rsidP="004D5B16">
            <w:pPr>
              <w:spacing w:before="60" w:after="60" w:line="360" w:lineRule="auto"/>
              <w:ind w:left="-110" w:right="-108"/>
              <w:jc w:val="center"/>
              <w:rPr>
                <w:rFonts w:cs="Arial"/>
                <w:sz w:val="20"/>
                <w:szCs w:val="20"/>
              </w:rPr>
            </w:pPr>
            <w:r w:rsidRPr="007A5C5E">
              <w:rPr>
                <w:rFonts w:cs="Arial"/>
                <w:sz w:val="20"/>
                <w:szCs w:val="20"/>
              </w:rPr>
              <w:t>4</w:t>
            </w:r>
          </w:p>
        </w:tc>
        <w:tc>
          <w:tcPr>
            <w:tcW w:w="3150" w:type="dxa"/>
            <w:tcBorders>
              <w:top w:val="single" w:sz="4" w:space="0" w:color="auto"/>
              <w:left w:val="single" w:sz="4" w:space="0" w:color="auto"/>
              <w:bottom w:val="single" w:sz="4" w:space="0" w:color="auto"/>
              <w:right w:val="single" w:sz="4" w:space="0" w:color="auto"/>
            </w:tcBorders>
            <w:shd w:val="clear" w:color="auto" w:fill="D9D9D9"/>
            <w:vAlign w:val="center"/>
          </w:tcPr>
          <w:p w:rsidR="004D5B16" w:rsidRPr="007A5C5E" w:rsidRDefault="004D5B16" w:rsidP="004D5B16">
            <w:pPr>
              <w:tabs>
                <w:tab w:val="left" w:pos="244"/>
              </w:tabs>
              <w:spacing w:before="60" w:after="60" w:line="360" w:lineRule="auto"/>
              <w:rPr>
                <w:rFonts w:cs="Arial"/>
                <w:iCs/>
                <w:sz w:val="20"/>
                <w:szCs w:val="20"/>
              </w:rPr>
            </w:pPr>
            <w:r w:rsidRPr="007A5C5E">
              <w:rPr>
                <w:rFonts w:cs="Arial"/>
                <w:iCs/>
                <w:sz w:val="20"/>
                <w:szCs w:val="20"/>
              </w:rPr>
              <w:t>Minerais: Conceitos Básicos</w:t>
            </w:r>
          </w:p>
          <w:p w:rsidR="004D5B16" w:rsidRPr="007A5C5E" w:rsidRDefault="004D5B16" w:rsidP="004D5B16">
            <w:pPr>
              <w:tabs>
                <w:tab w:val="left" w:pos="244"/>
              </w:tabs>
              <w:spacing w:before="60" w:after="60" w:line="360" w:lineRule="auto"/>
              <w:rPr>
                <w:rFonts w:cs="Arial"/>
                <w:iCs/>
                <w:sz w:val="20"/>
                <w:szCs w:val="20"/>
              </w:rPr>
            </w:pPr>
          </w:p>
        </w:tc>
        <w:tc>
          <w:tcPr>
            <w:tcW w:w="4770" w:type="dxa"/>
            <w:tcBorders>
              <w:top w:val="single" w:sz="4" w:space="0" w:color="auto"/>
              <w:left w:val="single" w:sz="4" w:space="0" w:color="auto"/>
              <w:bottom w:val="single" w:sz="4" w:space="0" w:color="auto"/>
              <w:right w:val="single" w:sz="4" w:space="0" w:color="auto"/>
            </w:tcBorders>
            <w:shd w:val="clear" w:color="auto" w:fill="D9D9D9"/>
          </w:tcPr>
          <w:p w:rsidR="004D5B16" w:rsidRPr="007A5C5E" w:rsidRDefault="004D5B16" w:rsidP="004D5B16">
            <w:pPr>
              <w:spacing w:before="60" w:after="60" w:line="360" w:lineRule="auto"/>
              <w:ind w:left="-18" w:firstLine="18"/>
              <w:jc w:val="both"/>
              <w:rPr>
                <w:rFonts w:cs="Arial"/>
                <w:sz w:val="20"/>
                <w:szCs w:val="20"/>
              </w:rPr>
            </w:pPr>
          </w:p>
        </w:tc>
        <w:tc>
          <w:tcPr>
            <w:tcW w:w="1530" w:type="dxa"/>
            <w:tcBorders>
              <w:top w:val="single" w:sz="4" w:space="0" w:color="auto"/>
              <w:left w:val="single" w:sz="4" w:space="0" w:color="auto"/>
              <w:bottom w:val="single" w:sz="4" w:space="0" w:color="auto"/>
            </w:tcBorders>
            <w:shd w:val="clear" w:color="auto" w:fill="D9D9D9"/>
          </w:tcPr>
          <w:p w:rsidR="004D5B16" w:rsidRPr="007A5C5E" w:rsidRDefault="004D5B16" w:rsidP="004D5B16">
            <w:pPr>
              <w:spacing w:before="60" w:after="60" w:line="360" w:lineRule="auto"/>
              <w:ind w:left="-18" w:firstLine="18"/>
              <w:jc w:val="both"/>
              <w:rPr>
                <w:rFonts w:cs="Arial"/>
                <w:sz w:val="20"/>
                <w:szCs w:val="20"/>
              </w:rPr>
            </w:pPr>
          </w:p>
        </w:tc>
      </w:tr>
      <w:tr w:rsidR="004D5B16" w:rsidRPr="007A5C5E" w:rsidTr="00FC6E81">
        <w:tc>
          <w:tcPr>
            <w:tcW w:w="738" w:type="dxa"/>
            <w:tcBorders>
              <w:top w:val="single" w:sz="4" w:space="0" w:color="auto"/>
              <w:bottom w:val="single" w:sz="4" w:space="0" w:color="auto"/>
              <w:right w:val="single" w:sz="4" w:space="0" w:color="auto"/>
            </w:tcBorders>
            <w:shd w:val="clear" w:color="auto" w:fill="FFFFFF"/>
          </w:tcPr>
          <w:p w:rsidR="004D5B16" w:rsidRPr="007A5C5E" w:rsidRDefault="004D5B16" w:rsidP="004D5B16">
            <w:pPr>
              <w:spacing w:before="60" w:after="60" w:line="360" w:lineRule="auto"/>
              <w:ind w:left="-110" w:right="-108"/>
              <w:jc w:val="center"/>
              <w:rPr>
                <w:rFonts w:cs="Arial"/>
                <w:sz w:val="20"/>
                <w:szCs w:val="20"/>
              </w:rPr>
            </w:pPr>
            <w:r w:rsidRPr="007A5C5E">
              <w:rPr>
                <w:rFonts w:cs="Arial"/>
                <w:sz w:val="20"/>
                <w:szCs w:val="20"/>
              </w:rPr>
              <w:t>5</w:t>
            </w:r>
          </w:p>
        </w:tc>
        <w:tc>
          <w:tcPr>
            <w:tcW w:w="3150" w:type="dxa"/>
            <w:tcBorders>
              <w:top w:val="single" w:sz="4" w:space="0" w:color="auto"/>
              <w:left w:val="single" w:sz="4" w:space="0" w:color="auto"/>
              <w:bottom w:val="single" w:sz="4" w:space="0" w:color="auto"/>
              <w:right w:val="single" w:sz="4" w:space="0" w:color="auto"/>
            </w:tcBorders>
            <w:shd w:val="clear" w:color="auto" w:fill="FFFFFF"/>
            <w:vAlign w:val="center"/>
          </w:tcPr>
          <w:p w:rsidR="004D5B16" w:rsidRPr="007A5C5E" w:rsidRDefault="004D5B16" w:rsidP="004D5B16">
            <w:pPr>
              <w:tabs>
                <w:tab w:val="left" w:pos="244"/>
              </w:tabs>
              <w:spacing w:before="60" w:after="60" w:line="360" w:lineRule="auto"/>
              <w:rPr>
                <w:rFonts w:cs="Arial"/>
                <w:iCs/>
                <w:sz w:val="20"/>
                <w:szCs w:val="20"/>
              </w:rPr>
            </w:pPr>
            <w:r w:rsidRPr="007A5C5E">
              <w:rPr>
                <w:rFonts w:cs="Arial"/>
                <w:iCs/>
                <w:sz w:val="20"/>
                <w:szCs w:val="20"/>
              </w:rPr>
              <w:t>Vitaminas: Definição e Classificação</w:t>
            </w:r>
          </w:p>
          <w:p w:rsidR="004D5B16" w:rsidRPr="007A5C5E" w:rsidRDefault="004D5B16" w:rsidP="004D5B16">
            <w:pPr>
              <w:tabs>
                <w:tab w:val="left" w:pos="244"/>
              </w:tabs>
              <w:spacing w:before="60" w:after="60" w:line="360" w:lineRule="auto"/>
              <w:rPr>
                <w:rFonts w:cs="Arial"/>
                <w:iCs/>
                <w:sz w:val="20"/>
                <w:szCs w:val="20"/>
              </w:rPr>
            </w:pPr>
          </w:p>
        </w:tc>
        <w:tc>
          <w:tcPr>
            <w:tcW w:w="4770" w:type="dxa"/>
            <w:tcBorders>
              <w:top w:val="single" w:sz="4" w:space="0" w:color="auto"/>
              <w:left w:val="single" w:sz="4" w:space="0" w:color="auto"/>
              <w:bottom w:val="single" w:sz="4" w:space="0" w:color="auto"/>
              <w:right w:val="single" w:sz="4" w:space="0" w:color="auto"/>
            </w:tcBorders>
            <w:shd w:val="clear" w:color="auto" w:fill="FFFFFF"/>
          </w:tcPr>
          <w:p w:rsidR="004D5B16" w:rsidRPr="007A5C5E" w:rsidRDefault="004D5B16" w:rsidP="004D5B16">
            <w:pPr>
              <w:spacing w:before="60" w:after="60" w:line="360" w:lineRule="auto"/>
              <w:ind w:left="-18" w:firstLine="18"/>
              <w:jc w:val="both"/>
              <w:rPr>
                <w:rFonts w:cs="Arial"/>
                <w:sz w:val="20"/>
                <w:szCs w:val="20"/>
              </w:rPr>
            </w:pPr>
          </w:p>
        </w:tc>
        <w:tc>
          <w:tcPr>
            <w:tcW w:w="1530" w:type="dxa"/>
            <w:tcBorders>
              <w:top w:val="single" w:sz="4" w:space="0" w:color="auto"/>
              <w:left w:val="single" w:sz="4" w:space="0" w:color="auto"/>
              <w:bottom w:val="single" w:sz="4" w:space="0" w:color="auto"/>
            </w:tcBorders>
            <w:shd w:val="clear" w:color="auto" w:fill="FFFFFF"/>
          </w:tcPr>
          <w:p w:rsidR="004D5B16" w:rsidRPr="007A5C5E" w:rsidRDefault="004D5B16" w:rsidP="004D5B16">
            <w:pPr>
              <w:spacing w:before="60" w:after="60" w:line="360" w:lineRule="auto"/>
              <w:ind w:left="-18" w:firstLine="18"/>
              <w:jc w:val="both"/>
              <w:rPr>
                <w:rFonts w:cs="Arial"/>
                <w:sz w:val="20"/>
                <w:szCs w:val="20"/>
              </w:rPr>
            </w:pPr>
          </w:p>
        </w:tc>
      </w:tr>
      <w:tr w:rsidR="004D5B16" w:rsidRPr="007A5C5E" w:rsidTr="00FC6E81">
        <w:tc>
          <w:tcPr>
            <w:tcW w:w="738" w:type="dxa"/>
            <w:tcBorders>
              <w:top w:val="single" w:sz="4" w:space="0" w:color="auto"/>
              <w:bottom w:val="single" w:sz="18" w:space="0" w:color="auto"/>
              <w:right w:val="single" w:sz="4" w:space="0" w:color="auto"/>
            </w:tcBorders>
            <w:shd w:val="clear" w:color="auto" w:fill="D9D9D9"/>
          </w:tcPr>
          <w:p w:rsidR="004D5B16" w:rsidRPr="007A5C5E" w:rsidRDefault="004D5B16" w:rsidP="004D5B16">
            <w:pPr>
              <w:spacing w:before="60" w:after="60" w:line="360" w:lineRule="auto"/>
              <w:ind w:left="-110" w:right="-108"/>
              <w:jc w:val="center"/>
              <w:rPr>
                <w:rFonts w:cs="Arial"/>
                <w:sz w:val="20"/>
                <w:szCs w:val="20"/>
              </w:rPr>
            </w:pPr>
            <w:r w:rsidRPr="007A5C5E">
              <w:rPr>
                <w:rFonts w:cs="Arial"/>
                <w:sz w:val="20"/>
                <w:szCs w:val="20"/>
              </w:rPr>
              <w:t>6</w:t>
            </w:r>
          </w:p>
        </w:tc>
        <w:tc>
          <w:tcPr>
            <w:tcW w:w="3150" w:type="dxa"/>
            <w:tcBorders>
              <w:top w:val="single" w:sz="4" w:space="0" w:color="auto"/>
              <w:left w:val="single" w:sz="4" w:space="0" w:color="auto"/>
              <w:bottom w:val="single" w:sz="18" w:space="0" w:color="auto"/>
              <w:right w:val="single" w:sz="4" w:space="0" w:color="auto"/>
            </w:tcBorders>
            <w:shd w:val="clear" w:color="auto" w:fill="D9D9D9"/>
            <w:vAlign w:val="center"/>
          </w:tcPr>
          <w:p w:rsidR="004D5B16" w:rsidRPr="007A5C5E" w:rsidRDefault="004D5B16" w:rsidP="004D5B16">
            <w:pPr>
              <w:tabs>
                <w:tab w:val="left" w:pos="244"/>
              </w:tabs>
              <w:spacing w:before="60" w:after="60" w:line="360" w:lineRule="auto"/>
              <w:rPr>
                <w:rFonts w:cs="Arial"/>
                <w:sz w:val="20"/>
                <w:szCs w:val="20"/>
              </w:rPr>
            </w:pPr>
            <w:r w:rsidRPr="007A5C5E">
              <w:rPr>
                <w:rFonts w:cs="Arial"/>
                <w:sz w:val="20"/>
                <w:szCs w:val="20"/>
              </w:rPr>
              <w:t>Pontos-chave</w:t>
            </w:r>
          </w:p>
          <w:p w:rsidR="004D5B16" w:rsidRPr="007A5C5E" w:rsidRDefault="004D5B16" w:rsidP="004D5B16">
            <w:pPr>
              <w:tabs>
                <w:tab w:val="left" w:pos="244"/>
              </w:tabs>
              <w:spacing w:before="60" w:after="60" w:line="360" w:lineRule="auto"/>
              <w:rPr>
                <w:rFonts w:cs="Arial"/>
                <w:i/>
                <w:iCs/>
                <w:sz w:val="20"/>
                <w:szCs w:val="20"/>
              </w:rPr>
            </w:pPr>
          </w:p>
        </w:tc>
        <w:tc>
          <w:tcPr>
            <w:tcW w:w="4770" w:type="dxa"/>
            <w:tcBorders>
              <w:top w:val="single" w:sz="4" w:space="0" w:color="auto"/>
              <w:left w:val="single" w:sz="4" w:space="0" w:color="auto"/>
              <w:bottom w:val="single" w:sz="18" w:space="0" w:color="auto"/>
              <w:right w:val="single" w:sz="4" w:space="0" w:color="auto"/>
            </w:tcBorders>
            <w:shd w:val="clear" w:color="auto" w:fill="D9D9D9"/>
          </w:tcPr>
          <w:p w:rsidR="004D5B16" w:rsidRPr="007A5C5E" w:rsidRDefault="004D5B16" w:rsidP="004D5B16">
            <w:pPr>
              <w:spacing w:before="60" w:after="60" w:line="360" w:lineRule="auto"/>
              <w:ind w:left="-18" w:firstLine="18"/>
              <w:jc w:val="both"/>
              <w:rPr>
                <w:rFonts w:cs="Arial"/>
                <w:sz w:val="20"/>
                <w:szCs w:val="20"/>
              </w:rPr>
            </w:pPr>
          </w:p>
        </w:tc>
        <w:tc>
          <w:tcPr>
            <w:tcW w:w="1530" w:type="dxa"/>
            <w:tcBorders>
              <w:top w:val="single" w:sz="4" w:space="0" w:color="auto"/>
              <w:left w:val="single" w:sz="4" w:space="0" w:color="auto"/>
              <w:bottom w:val="single" w:sz="18" w:space="0" w:color="auto"/>
            </w:tcBorders>
            <w:shd w:val="clear" w:color="auto" w:fill="D9D9D9"/>
          </w:tcPr>
          <w:p w:rsidR="004D5B16" w:rsidRPr="007A5C5E" w:rsidRDefault="004D5B16" w:rsidP="004D5B16">
            <w:pPr>
              <w:spacing w:before="60" w:after="60" w:line="360" w:lineRule="auto"/>
              <w:ind w:left="-18" w:firstLine="18"/>
              <w:jc w:val="both"/>
              <w:rPr>
                <w:rFonts w:cs="Arial"/>
                <w:sz w:val="20"/>
                <w:szCs w:val="20"/>
              </w:rPr>
            </w:pPr>
          </w:p>
        </w:tc>
      </w:tr>
    </w:tbl>
    <w:p w:rsidR="004D5B16" w:rsidRPr="00D67BAC" w:rsidRDefault="004D5B16" w:rsidP="004D5B16">
      <w:pPr>
        <w:tabs>
          <w:tab w:val="left" w:pos="424"/>
        </w:tabs>
        <w:spacing w:before="120"/>
        <w:jc w:val="both"/>
        <w:rPr>
          <w:rFonts w:cs="Arial"/>
          <w:b/>
          <w:lang w:val="pt-BR"/>
        </w:rPr>
      </w:pPr>
      <w:r w:rsidRPr="00D67BAC">
        <w:rPr>
          <w:rFonts w:cs="Arial"/>
          <w:b/>
          <w:lang w:val="pt-BR"/>
        </w:rPr>
        <w:lastRenderedPageBreak/>
        <w:t>Equipamentos e meios audiovisuais necessários:</w:t>
      </w:r>
    </w:p>
    <w:p w:rsidR="004D5B16" w:rsidRDefault="004D5B16" w:rsidP="004D5B16">
      <w:pPr>
        <w:tabs>
          <w:tab w:val="left" w:pos="424"/>
        </w:tabs>
        <w:spacing w:before="120"/>
        <w:jc w:val="both"/>
        <w:rPr>
          <w:rFonts w:cs="Arial"/>
          <w:lang w:val="pt-BR"/>
        </w:rPr>
      </w:pPr>
    </w:p>
    <w:p w:rsidR="004D5B16" w:rsidRPr="00D67BAC" w:rsidRDefault="004D5B16" w:rsidP="004D5B16">
      <w:pPr>
        <w:tabs>
          <w:tab w:val="left" w:pos="424"/>
        </w:tabs>
        <w:spacing w:before="120"/>
        <w:jc w:val="both"/>
        <w:rPr>
          <w:rFonts w:cs="Arial"/>
          <w:lang w:val="pt-BR"/>
        </w:rPr>
      </w:pPr>
    </w:p>
    <w:p w:rsidR="004D5B16" w:rsidRDefault="004D5B16" w:rsidP="004D5B16">
      <w:pPr>
        <w:tabs>
          <w:tab w:val="left" w:pos="424"/>
        </w:tabs>
        <w:spacing w:before="120"/>
        <w:jc w:val="both"/>
        <w:rPr>
          <w:rFonts w:cs="Arial"/>
          <w:lang w:val="pt-BR"/>
        </w:rPr>
      </w:pPr>
    </w:p>
    <w:p w:rsidR="009B602C" w:rsidRDefault="009B602C" w:rsidP="004D5B16">
      <w:pPr>
        <w:tabs>
          <w:tab w:val="left" w:pos="424"/>
        </w:tabs>
        <w:spacing w:before="120"/>
        <w:jc w:val="both"/>
        <w:rPr>
          <w:rFonts w:cs="Arial"/>
          <w:lang w:val="pt-BR"/>
        </w:rPr>
      </w:pPr>
    </w:p>
    <w:p w:rsidR="009B602C" w:rsidRDefault="009B602C" w:rsidP="004D5B16">
      <w:pPr>
        <w:tabs>
          <w:tab w:val="left" w:pos="424"/>
        </w:tabs>
        <w:spacing w:before="120"/>
        <w:jc w:val="both"/>
        <w:rPr>
          <w:rFonts w:cs="Arial"/>
          <w:lang w:val="pt-BR"/>
        </w:rPr>
      </w:pPr>
    </w:p>
    <w:p w:rsidR="009B602C" w:rsidRDefault="009B602C" w:rsidP="004D5B16">
      <w:pPr>
        <w:tabs>
          <w:tab w:val="left" w:pos="424"/>
        </w:tabs>
        <w:spacing w:before="120"/>
        <w:jc w:val="both"/>
        <w:rPr>
          <w:rFonts w:cs="Arial"/>
          <w:lang w:val="pt-BR"/>
        </w:rPr>
      </w:pPr>
    </w:p>
    <w:p w:rsidR="009B602C" w:rsidRDefault="009B602C" w:rsidP="004D5B16">
      <w:pPr>
        <w:tabs>
          <w:tab w:val="left" w:pos="424"/>
        </w:tabs>
        <w:spacing w:before="120"/>
        <w:jc w:val="both"/>
        <w:rPr>
          <w:rFonts w:cs="Arial"/>
          <w:lang w:val="pt-BR"/>
        </w:rPr>
      </w:pPr>
    </w:p>
    <w:p w:rsidR="00ED3A9C" w:rsidRDefault="00ED3A9C" w:rsidP="004D5B16">
      <w:pPr>
        <w:tabs>
          <w:tab w:val="left" w:pos="424"/>
        </w:tabs>
        <w:spacing w:before="120"/>
        <w:jc w:val="both"/>
        <w:rPr>
          <w:rFonts w:cs="Arial"/>
          <w:lang w:val="pt-BR"/>
        </w:rPr>
      </w:pPr>
    </w:p>
    <w:p w:rsidR="00ED3A9C" w:rsidRPr="00D67BAC" w:rsidRDefault="00ED3A9C" w:rsidP="004D5B16">
      <w:pPr>
        <w:tabs>
          <w:tab w:val="left" w:pos="424"/>
        </w:tabs>
        <w:spacing w:before="120"/>
        <w:jc w:val="both"/>
        <w:rPr>
          <w:rFonts w:cs="Arial"/>
          <w:lang w:val="pt-BR"/>
        </w:rPr>
      </w:pPr>
    </w:p>
    <w:p w:rsidR="004D5B16" w:rsidRPr="00D67BAC" w:rsidRDefault="004D5B16" w:rsidP="004D5B16">
      <w:pPr>
        <w:tabs>
          <w:tab w:val="left" w:pos="424"/>
        </w:tabs>
        <w:spacing w:before="120"/>
        <w:jc w:val="both"/>
        <w:rPr>
          <w:rFonts w:cs="Arial"/>
          <w:lang w:val="pt-BR"/>
        </w:rPr>
      </w:pPr>
      <w:r w:rsidRPr="00D67BAC">
        <w:rPr>
          <w:rFonts w:cs="Arial"/>
          <w:b/>
          <w:lang w:val="pt-BR"/>
        </w:rPr>
        <w:t>Trabalhos para casa (TPC), Exercícios e textos para leitura – incluir data a ser entregue:</w:t>
      </w:r>
      <w:r w:rsidRPr="00D67BAC">
        <w:rPr>
          <w:rFonts w:cs="Arial"/>
          <w:lang w:val="pt-BR"/>
        </w:rPr>
        <w:t xml:space="preserve"> </w:t>
      </w:r>
    </w:p>
    <w:p w:rsidR="004D5B16" w:rsidRPr="00D67BAC" w:rsidRDefault="004D5B16" w:rsidP="004D5B16">
      <w:pPr>
        <w:tabs>
          <w:tab w:val="left" w:pos="424"/>
        </w:tabs>
        <w:spacing w:before="120"/>
        <w:jc w:val="both"/>
        <w:rPr>
          <w:rFonts w:cs="Arial"/>
          <w:lang w:val="pt-BR"/>
        </w:rPr>
      </w:pPr>
    </w:p>
    <w:p w:rsidR="004D5B16" w:rsidRPr="00D67BAC" w:rsidRDefault="004D5B16" w:rsidP="004D5B16">
      <w:pPr>
        <w:tabs>
          <w:tab w:val="left" w:pos="424"/>
        </w:tabs>
        <w:spacing w:before="120"/>
        <w:jc w:val="both"/>
        <w:rPr>
          <w:rFonts w:cs="Arial"/>
          <w:lang w:val="pt-BR"/>
        </w:rPr>
      </w:pPr>
    </w:p>
    <w:p w:rsidR="004D5B16" w:rsidRDefault="004D5B16" w:rsidP="004D5B16">
      <w:pPr>
        <w:tabs>
          <w:tab w:val="left" w:pos="424"/>
        </w:tabs>
        <w:spacing w:before="120"/>
        <w:jc w:val="both"/>
        <w:rPr>
          <w:rFonts w:cs="Arial"/>
          <w:lang w:val="pt-BR"/>
        </w:rPr>
      </w:pPr>
    </w:p>
    <w:p w:rsidR="00ED3A9C" w:rsidRDefault="00ED3A9C" w:rsidP="004D5B16">
      <w:pPr>
        <w:tabs>
          <w:tab w:val="left" w:pos="424"/>
        </w:tabs>
        <w:spacing w:before="120"/>
        <w:jc w:val="both"/>
        <w:rPr>
          <w:rFonts w:cs="Arial"/>
          <w:lang w:val="pt-BR"/>
        </w:rPr>
      </w:pPr>
    </w:p>
    <w:p w:rsidR="00ED3A9C" w:rsidRDefault="00ED3A9C" w:rsidP="004D5B16">
      <w:pPr>
        <w:tabs>
          <w:tab w:val="left" w:pos="424"/>
        </w:tabs>
        <w:spacing w:before="120"/>
        <w:jc w:val="both"/>
        <w:rPr>
          <w:rFonts w:cs="Arial"/>
          <w:lang w:val="pt-BR"/>
        </w:rPr>
      </w:pPr>
    </w:p>
    <w:p w:rsidR="00ED3A9C" w:rsidRDefault="00ED3A9C" w:rsidP="004D5B16">
      <w:pPr>
        <w:tabs>
          <w:tab w:val="left" w:pos="424"/>
        </w:tabs>
        <w:spacing w:before="120"/>
        <w:jc w:val="both"/>
        <w:rPr>
          <w:rFonts w:cs="Arial"/>
          <w:lang w:val="pt-BR"/>
        </w:rPr>
      </w:pPr>
    </w:p>
    <w:p w:rsidR="00ED3A9C" w:rsidRDefault="00ED3A9C" w:rsidP="004D5B16">
      <w:pPr>
        <w:tabs>
          <w:tab w:val="left" w:pos="424"/>
        </w:tabs>
        <w:spacing w:before="120"/>
        <w:jc w:val="both"/>
        <w:rPr>
          <w:rFonts w:cs="Arial"/>
          <w:lang w:val="pt-BR"/>
        </w:rPr>
      </w:pPr>
    </w:p>
    <w:p w:rsidR="00ED3A9C" w:rsidRDefault="00ED3A9C" w:rsidP="004D5B16">
      <w:pPr>
        <w:tabs>
          <w:tab w:val="left" w:pos="424"/>
        </w:tabs>
        <w:spacing w:before="120"/>
        <w:jc w:val="both"/>
        <w:rPr>
          <w:rFonts w:cs="Arial"/>
          <w:lang w:val="pt-BR"/>
        </w:rPr>
      </w:pPr>
    </w:p>
    <w:p w:rsidR="00ED3A9C" w:rsidRDefault="00ED3A9C" w:rsidP="004D5B16">
      <w:pPr>
        <w:tabs>
          <w:tab w:val="left" w:pos="424"/>
        </w:tabs>
        <w:spacing w:before="120"/>
        <w:jc w:val="both"/>
        <w:rPr>
          <w:rFonts w:cs="Arial"/>
          <w:lang w:val="pt-BR"/>
        </w:rPr>
      </w:pPr>
    </w:p>
    <w:p w:rsidR="00ED3A9C" w:rsidRDefault="00ED3A9C" w:rsidP="004D5B16">
      <w:pPr>
        <w:tabs>
          <w:tab w:val="left" w:pos="424"/>
        </w:tabs>
        <w:spacing w:before="120"/>
        <w:jc w:val="both"/>
        <w:rPr>
          <w:rFonts w:cs="Arial"/>
          <w:lang w:val="pt-BR"/>
        </w:rPr>
      </w:pPr>
    </w:p>
    <w:p w:rsidR="009B602C" w:rsidRDefault="009B602C" w:rsidP="004D5B16">
      <w:pPr>
        <w:tabs>
          <w:tab w:val="left" w:pos="424"/>
        </w:tabs>
        <w:spacing w:before="120"/>
        <w:jc w:val="both"/>
        <w:rPr>
          <w:rFonts w:cs="Arial"/>
          <w:lang w:val="pt-BR"/>
        </w:rPr>
      </w:pPr>
    </w:p>
    <w:p w:rsidR="009B602C" w:rsidRDefault="009B602C" w:rsidP="004D5B16">
      <w:pPr>
        <w:tabs>
          <w:tab w:val="left" w:pos="424"/>
        </w:tabs>
        <w:spacing w:before="120"/>
        <w:jc w:val="both"/>
        <w:rPr>
          <w:rFonts w:cs="Arial"/>
          <w:lang w:val="pt-BR"/>
        </w:rPr>
      </w:pPr>
    </w:p>
    <w:p w:rsidR="009B602C" w:rsidRPr="00D67BAC" w:rsidRDefault="009B602C" w:rsidP="004D5B16">
      <w:pPr>
        <w:tabs>
          <w:tab w:val="left" w:pos="424"/>
        </w:tabs>
        <w:spacing w:before="120"/>
        <w:jc w:val="both"/>
        <w:rPr>
          <w:rFonts w:cs="Arial"/>
          <w:lang w:val="pt-BR"/>
        </w:rPr>
      </w:pPr>
    </w:p>
    <w:p w:rsidR="004D5B16" w:rsidRPr="00D67BAC" w:rsidRDefault="004D5B16" w:rsidP="004D5B16">
      <w:pPr>
        <w:tabs>
          <w:tab w:val="left" w:pos="424"/>
        </w:tabs>
        <w:spacing w:before="120"/>
        <w:jc w:val="both"/>
        <w:rPr>
          <w:rFonts w:cs="Arial"/>
          <w:b/>
          <w:lang w:val="pt-BR"/>
        </w:rPr>
      </w:pPr>
      <w:r w:rsidRPr="00D67BAC">
        <w:rPr>
          <w:rFonts w:cs="Arial"/>
          <w:b/>
          <w:lang w:val="pt-BR"/>
        </w:rPr>
        <w:t>Bibliografia (referências usadas para o desenvolvimento do conteúdo):</w:t>
      </w:r>
    </w:p>
    <w:p w:rsidR="004D5B16" w:rsidRDefault="004D5B16" w:rsidP="004D5B16">
      <w:r w:rsidRPr="004D5B16">
        <w:rPr>
          <w:lang w:val="pt-BR"/>
        </w:rPr>
        <w:t xml:space="preserve">Nelson DL, Cox MM. Princípios de bioquímica do Lehninger. </w:t>
      </w:r>
      <w:proofErr w:type="gramStart"/>
      <w:r>
        <w:t>4 edição.</w:t>
      </w:r>
      <w:proofErr w:type="gramEnd"/>
      <w:r>
        <w:t xml:space="preserve"> </w:t>
      </w:r>
      <w:proofErr w:type="gramStart"/>
      <w:r>
        <w:t>W.H. Freeman; 2004.</w:t>
      </w:r>
      <w:proofErr w:type="gramEnd"/>
      <w:r>
        <w:t xml:space="preserve"> </w:t>
      </w:r>
    </w:p>
    <w:p w:rsidR="004D5B16" w:rsidRPr="004D5B16" w:rsidRDefault="004D5B16" w:rsidP="004D5B16">
      <w:pPr>
        <w:rPr>
          <w:lang w:val="pt-BR"/>
        </w:rPr>
      </w:pPr>
      <w:r w:rsidRPr="00F47FAF">
        <w:t xml:space="preserve">Stryer L. Bioquímica. </w:t>
      </w:r>
      <w:r w:rsidRPr="004D5B16">
        <w:rPr>
          <w:lang w:val="pt-BR"/>
        </w:rPr>
        <w:t xml:space="preserve">5 edição. Reverte; 2000. </w:t>
      </w:r>
    </w:p>
    <w:p w:rsidR="004D5B16" w:rsidRPr="004D5B16" w:rsidRDefault="004D5B16" w:rsidP="004D5B16">
      <w:pPr>
        <w:rPr>
          <w:lang w:val="pt-BR"/>
        </w:rPr>
      </w:pPr>
      <w:r w:rsidRPr="004D5B16">
        <w:rPr>
          <w:lang w:val="pt-BR"/>
        </w:rPr>
        <w:t>Devlin, Thomas M., Manual de Bioquímica com correlações clínicas, 6a edição, 2007</w:t>
      </w:r>
    </w:p>
    <w:p w:rsidR="00ED3A9C" w:rsidRDefault="00ED3A9C">
      <w:pPr>
        <w:rPr>
          <w:lang w:val="pt-BR"/>
        </w:rPr>
      </w:pPr>
      <w:r>
        <w:rPr>
          <w:lang w:val="pt-BR"/>
        </w:rPr>
        <w:br w:type="page"/>
      </w:r>
    </w:p>
    <w:p w:rsidR="004D5B16" w:rsidRPr="005C54DD" w:rsidRDefault="004D5B16" w:rsidP="004D5B16">
      <w:pPr>
        <w:shd w:val="clear" w:color="auto" w:fill="B8CCE4"/>
        <w:tabs>
          <w:tab w:val="left" w:pos="1276"/>
          <w:tab w:val="right" w:pos="8550"/>
        </w:tabs>
        <w:spacing w:before="120"/>
        <w:ind w:right="-43"/>
        <w:jc w:val="both"/>
        <w:rPr>
          <w:rFonts w:cs="Arial"/>
          <w:b/>
          <w:sz w:val="24"/>
          <w:szCs w:val="24"/>
        </w:rPr>
      </w:pPr>
      <w:r w:rsidRPr="005C54DD">
        <w:rPr>
          <w:rFonts w:cs="Arial"/>
          <w:b/>
          <w:sz w:val="24"/>
          <w:szCs w:val="24"/>
        </w:rPr>
        <w:lastRenderedPageBreak/>
        <w:t xml:space="preserve">BLOCO </w:t>
      </w:r>
      <w:r>
        <w:rPr>
          <w:rFonts w:cs="Arial"/>
          <w:b/>
          <w:sz w:val="24"/>
          <w:szCs w:val="24"/>
        </w:rPr>
        <w:t>1</w:t>
      </w:r>
      <w:r w:rsidRPr="005C54DD">
        <w:rPr>
          <w:rFonts w:cs="Arial"/>
          <w:b/>
          <w:sz w:val="24"/>
          <w:szCs w:val="24"/>
        </w:rPr>
        <w:t>: INTRODUÇÃO À AULA</w:t>
      </w:r>
      <w:r w:rsidRPr="005C54DD">
        <w:rPr>
          <w:rFonts w:cs="Arial"/>
          <w:b/>
          <w:sz w:val="24"/>
          <w:szCs w:val="24"/>
        </w:rPr>
        <w:tab/>
      </w:r>
    </w:p>
    <w:p w:rsidR="004D5B16" w:rsidRDefault="004D5B16" w:rsidP="00C52E09">
      <w:pPr>
        <w:pStyle w:val="ListParagraph"/>
        <w:numPr>
          <w:ilvl w:val="1"/>
          <w:numId w:val="41"/>
        </w:numPr>
        <w:spacing w:before="120" w:after="0"/>
        <w:ind w:right="-43"/>
        <w:jc w:val="both"/>
        <w:rPr>
          <w:rFonts w:cs="Arial"/>
          <w:lang w:val="pt-BR"/>
        </w:rPr>
      </w:pPr>
      <w:r w:rsidRPr="004D5B16">
        <w:rPr>
          <w:rFonts w:cs="Arial"/>
          <w:lang w:val="pt-BR"/>
        </w:rPr>
        <w:t>Apresentação do tópico, conteúdos e objectivos de aprendizagem.</w:t>
      </w:r>
    </w:p>
    <w:p w:rsidR="004D5B16" w:rsidRDefault="004D5B16" w:rsidP="00C52E09">
      <w:pPr>
        <w:pStyle w:val="ListParagraph"/>
        <w:numPr>
          <w:ilvl w:val="1"/>
          <w:numId w:val="41"/>
        </w:numPr>
        <w:spacing w:before="120" w:after="0"/>
        <w:ind w:right="-43"/>
        <w:jc w:val="both"/>
        <w:rPr>
          <w:rFonts w:cs="Arial"/>
          <w:lang w:val="pt-BR"/>
        </w:rPr>
      </w:pPr>
      <w:r w:rsidRPr="004D5B16">
        <w:rPr>
          <w:rFonts w:cs="Arial"/>
          <w:lang w:val="pt-BR"/>
        </w:rPr>
        <w:t>Apresentação da estrutura da aula.</w:t>
      </w:r>
    </w:p>
    <w:p w:rsidR="004D5B16" w:rsidRPr="004D5B16" w:rsidRDefault="004D5B16" w:rsidP="00C52E09">
      <w:pPr>
        <w:pStyle w:val="ListParagraph"/>
        <w:numPr>
          <w:ilvl w:val="1"/>
          <w:numId w:val="41"/>
        </w:numPr>
        <w:spacing w:before="120" w:after="0"/>
        <w:ind w:right="-43"/>
        <w:jc w:val="both"/>
        <w:rPr>
          <w:rFonts w:cs="Arial"/>
          <w:lang w:val="pt-BR"/>
        </w:rPr>
      </w:pPr>
      <w:r w:rsidRPr="004D5B16">
        <w:rPr>
          <w:rFonts w:cs="Arial"/>
          <w:lang w:val="pt-BR"/>
        </w:rPr>
        <w:t>Apresentação da bibliografia que o aluno deverá manejar para ampliar os conhecimentos.</w:t>
      </w:r>
    </w:p>
    <w:p w:rsidR="004D5B16" w:rsidRPr="004D5B16" w:rsidRDefault="004D5B16" w:rsidP="006C62EE">
      <w:pPr>
        <w:spacing w:after="0" w:line="240" w:lineRule="auto"/>
        <w:ind w:left="450"/>
        <w:jc w:val="both"/>
        <w:rPr>
          <w:rFonts w:cs="Arial"/>
          <w:lang w:val="pt-BR"/>
        </w:rPr>
      </w:pPr>
    </w:p>
    <w:p w:rsidR="004D5B16" w:rsidRPr="004D5B16" w:rsidRDefault="004D5B16" w:rsidP="004D5B16">
      <w:pPr>
        <w:shd w:val="clear" w:color="auto" w:fill="B8CCE4"/>
        <w:tabs>
          <w:tab w:val="left" w:pos="1276"/>
          <w:tab w:val="right" w:pos="8550"/>
        </w:tabs>
        <w:spacing w:before="120"/>
        <w:ind w:right="-43"/>
        <w:jc w:val="both"/>
        <w:rPr>
          <w:rFonts w:cs="Arial"/>
          <w:b/>
          <w:sz w:val="24"/>
          <w:szCs w:val="24"/>
          <w:lang w:val="pt-BR"/>
        </w:rPr>
      </w:pPr>
      <w:r w:rsidRPr="004D5B16">
        <w:rPr>
          <w:rFonts w:cs="Arial"/>
          <w:b/>
          <w:sz w:val="24"/>
          <w:szCs w:val="24"/>
          <w:lang w:val="pt-BR"/>
        </w:rPr>
        <w:t>BLOCO 2: ÁCIDOS NUCLEICOS E DOGMA CENTRAL DA BIOLOGIA MOLECULAR</w:t>
      </w:r>
    </w:p>
    <w:p w:rsidR="004D5B16" w:rsidRPr="004D5B16" w:rsidRDefault="004D5B16" w:rsidP="00C52E09">
      <w:pPr>
        <w:numPr>
          <w:ilvl w:val="1"/>
          <w:numId w:val="31"/>
        </w:numPr>
        <w:spacing w:before="120" w:after="0"/>
        <w:jc w:val="both"/>
        <w:rPr>
          <w:rFonts w:cs="Arial"/>
          <w:lang w:val="pt-BR"/>
        </w:rPr>
      </w:pPr>
      <w:r w:rsidRPr="004D5B16">
        <w:rPr>
          <w:rFonts w:cs="Arial"/>
          <w:lang w:val="pt-BR"/>
        </w:rPr>
        <w:t>Os ácidos nucléicos são macromoléculas, que existem em todas células vivas, e são responsáveis pelo armazenamento e transmissão da informação genética e síntese de proteínas.</w:t>
      </w:r>
    </w:p>
    <w:p w:rsidR="004D5B16" w:rsidRPr="004D5B16" w:rsidRDefault="004D5B16" w:rsidP="00C52E09">
      <w:pPr>
        <w:numPr>
          <w:ilvl w:val="1"/>
          <w:numId w:val="31"/>
        </w:numPr>
        <w:spacing w:before="120" w:after="0"/>
        <w:jc w:val="both"/>
        <w:rPr>
          <w:rFonts w:cs="Arial"/>
          <w:lang w:val="pt-BR"/>
        </w:rPr>
      </w:pPr>
      <w:r w:rsidRPr="004D5B16">
        <w:rPr>
          <w:rFonts w:cs="Arial"/>
          <w:lang w:val="pt-BR"/>
        </w:rPr>
        <w:t>Existem dois tipos de ácidos nucléicos: ácido desoxi-ribonucléico (ADN) e ácido ribonucleico (ARN)</w:t>
      </w:r>
    </w:p>
    <w:p w:rsidR="004D5B16" w:rsidRPr="004D5B16" w:rsidRDefault="004D5B16" w:rsidP="00C52E09">
      <w:pPr>
        <w:numPr>
          <w:ilvl w:val="1"/>
          <w:numId w:val="31"/>
        </w:numPr>
        <w:spacing w:before="120" w:after="0"/>
        <w:jc w:val="both"/>
        <w:rPr>
          <w:rFonts w:cs="Arial"/>
          <w:lang w:val="pt-BR"/>
        </w:rPr>
      </w:pPr>
      <w:r w:rsidRPr="004D5B16">
        <w:rPr>
          <w:rFonts w:cs="Arial"/>
          <w:lang w:val="pt-BR"/>
        </w:rPr>
        <w:t>Nos ácidos nucléicos podemos identificar três constituintes fundamentais:</w:t>
      </w:r>
    </w:p>
    <w:p w:rsidR="004D5B16" w:rsidRPr="004D5B16" w:rsidRDefault="004D5B16" w:rsidP="00C52E09">
      <w:pPr>
        <w:numPr>
          <w:ilvl w:val="2"/>
          <w:numId w:val="31"/>
        </w:numPr>
        <w:spacing w:before="120" w:after="0"/>
        <w:ind w:firstLine="0"/>
        <w:jc w:val="both"/>
        <w:rPr>
          <w:rFonts w:cs="Arial"/>
          <w:lang w:val="pt-BR"/>
        </w:rPr>
      </w:pPr>
      <w:r w:rsidRPr="004D5B16">
        <w:rPr>
          <w:rFonts w:cs="Arial"/>
          <w:lang w:val="pt-BR"/>
        </w:rPr>
        <w:t>Um grupo fosfato – o ácido fosfórico, que confere as suas características ácidas</w:t>
      </w:r>
    </w:p>
    <w:p w:rsidR="004D5B16" w:rsidRPr="004D5B16" w:rsidRDefault="004D5B16" w:rsidP="00C52E09">
      <w:pPr>
        <w:numPr>
          <w:ilvl w:val="2"/>
          <w:numId w:val="31"/>
        </w:numPr>
        <w:spacing w:before="120" w:after="0"/>
        <w:ind w:firstLine="0"/>
        <w:jc w:val="both"/>
        <w:rPr>
          <w:rFonts w:cs="Arial"/>
          <w:lang w:val="pt-BR"/>
        </w:rPr>
      </w:pPr>
      <w:r w:rsidRPr="004D5B16">
        <w:rPr>
          <w:rFonts w:cs="Arial"/>
          <w:lang w:val="pt-BR"/>
        </w:rPr>
        <w:t>Pentoses (açúcar de cinco carbonos) – são de dois tipos: a desoxirribose (no ADN) e a ribose (no ARN)</w:t>
      </w:r>
    </w:p>
    <w:p w:rsidR="004D5B16" w:rsidRPr="004D5B16" w:rsidRDefault="004D5B16" w:rsidP="00C52E09">
      <w:pPr>
        <w:numPr>
          <w:ilvl w:val="2"/>
          <w:numId w:val="31"/>
        </w:numPr>
        <w:spacing w:before="120" w:after="0"/>
        <w:ind w:firstLine="0"/>
        <w:jc w:val="both"/>
        <w:rPr>
          <w:rFonts w:cs="Arial"/>
          <w:lang w:val="pt-BR"/>
        </w:rPr>
      </w:pPr>
      <w:r w:rsidRPr="004D5B16">
        <w:rPr>
          <w:rFonts w:cs="Arial"/>
          <w:lang w:val="pt-BR"/>
        </w:rPr>
        <w:t>Base nitrogenada – a cinco bases nitrogenadas diferentes, divididas em dois grupos: bases de anel duplo (púricas) – adenina (A) e guanina (G); bases de anel simples (pirimídicas) – tiamina (T), citosina (C) e uracila (U). Assim, no ADN teremos as seguintes bases: A, G, T e C, e no ARN teremos A, G, C e U.</w:t>
      </w:r>
    </w:p>
    <w:p w:rsidR="004D5B16" w:rsidRPr="0073726A" w:rsidRDefault="004D5B16" w:rsidP="004D5B16">
      <w:pPr>
        <w:spacing w:before="120"/>
        <w:jc w:val="both"/>
        <w:rPr>
          <w:rFonts w:cs="Arial"/>
          <w:b/>
        </w:rPr>
      </w:pPr>
      <w:r w:rsidRPr="004D5B16">
        <w:rPr>
          <w:rFonts w:cs="Arial"/>
          <w:b/>
          <w:lang w:val="pt-BR"/>
        </w:rPr>
        <w:t xml:space="preserve">Estes três constituintes (grupo fosfato, açúcar pentose e base nitrogenada formam um nucleotídeo. </w:t>
      </w:r>
      <w:r w:rsidRPr="0073726A">
        <w:rPr>
          <w:rFonts w:cs="Arial"/>
          <w:b/>
        </w:rPr>
        <w:t>Portanto, os ácidos nucléicos são polímeros de nucleotídeos.</w:t>
      </w:r>
    </w:p>
    <w:p w:rsidR="004D5B16" w:rsidRPr="004D5B16" w:rsidRDefault="004D5B16" w:rsidP="00C52E09">
      <w:pPr>
        <w:numPr>
          <w:ilvl w:val="1"/>
          <w:numId w:val="31"/>
        </w:numPr>
        <w:spacing w:before="120" w:after="0"/>
        <w:jc w:val="both"/>
        <w:rPr>
          <w:rFonts w:cs="Arial"/>
          <w:lang w:val="pt-BR"/>
        </w:rPr>
      </w:pPr>
      <w:r w:rsidRPr="004D5B16">
        <w:rPr>
          <w:rFonts w:cs="Arial"/>
          <w:lang w:val="pt-BR"/>
        </w:rPr>
        <w:t>Os ácidos nucléicos são os agentes moleculares responsáveis da conservação, expressão e transmissão de informação genética.</w:t>
      </w:r>
    </w:p>
    <w:p w:rsidR="004D5B16" w:rsidRDefault="004D5B16" w:rsidP="004D5B16">
      <w:pPr>
        <w:spacing w:before="120"/>
        <w:jc w:val="center"/>
        <w:rPr>
          <w:sz w:val="20"/>
        </w:rPr>
      </w:pPr>
      <w:r>
        <w:rPr>
          <w:noProof/>
          <w:sz w:val="20"/>
          <w:lang w:val="en-ZW" w:eastAsia="en-ZW"/>
        </w:rPr>
        <w:drawing>
          <wp:inline distT="0" distB="0" distL="0" distR="0" wp14:anchorId="4129AB31" wp14:editId="76995C53">
            <wp:extent cx="3644900" cy="3238500"/>
            <wp:effectExtent l="19050" t="0" r="0" b="0"/>
            <wp:docPr id="48"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2" cstate="print">
                      <a:grayscl/>
                    </a:blip>
                    <a:srcRect/>
                    <a:stretch>
                      <a:fillRect/>
                    </a:stretch>
                  </pic:blipFill>
                  <pic:spPr bwMode="auto">
                    <a:xfrm>
                      <a:off x="0" y="0"/>
                      <a:ext cx="3644900" cy="3238500"/>
                    </a:xfrm>
                    <a:prstGeom prst="rect">
                      <a:avLst/>
                    </a:prstGeom>
                    <a:noFill/>
                    <a:ln w="9525">
                      <a:noFill/>
                      <a:miter lim="800000"/>
                      <a:headEnd/>
                      <a:tailEnd/>
                    </a:ln>
                  </pic:spPr>
                </pic:pic>
              </a:graphicData>
            </a:graphic>
          </wp:inline>
        </w:drawing>
      </w:r>
    </w:p>
    <w:p w:rsidR="004D5B16" w:rsidRPr="004D5B16" w:rsidRDefault="004D5B16" w:rsidP="004D5B16">
      <w:pPr>
        <w:spacing w:before="120"/>
        <w:jc w:val="both"/>
        <w:rPr>
          <w:rFonts w:cs="Arial"/>
          <w:sz w:val="20"/>
          <w:lang w:val="pt-BR"/>
        </w:rPr>
      </w:pPr>
      <w:r w:rsidRPr="004D5B16">
        <w:rPr>
          <w:rFonts w:cs="Arial"/>
          <w:b/>
          <w:sz w:val="20"/>
          <w:lang w:val="pt-BR"/>
        </w:rPr>
        <w:t xml:space="preserve">                               Figura 1</w:t>
      </w:r>
      <w:r w:rsidR="00506DE0">
        <w:rPr>
          <w:rFonts w:cs="Arial"/>
          <w:b/>
          <w:sz w:val="20"/>
          <w:lang w:val="pt-BR"/>
        </w:rPr>
        <w:t>:</w:t>
      </w:r>
      <w:r w:rsidRPr="004D5B16">
        <w:rPr>
          <w:rFonts w:cs="Arial"/>
          <w:sz w:val="20"/>
          <w:lang w:val="pt-BR"/>
        </w:rPr>
        <w:t xml:space="preserve"> Representação de uma base púrica e uma base pirimidínica.</w:t>
      </w:r>
    </w:p>
    <w:p w:rsidR="004D5B16" w:rsidRPr="004D5B16" w:rsidRDefault="004D5B16" w:rsidP="00C52E09">
      <w:pPr>
        <w:numPr>
          <w:ilvl w:val="1"/>
          <w:numId w:val="31"/>
        </w:numPr>
        <w:spacing w:before="120" w:after="0"/>
        <w:jc w:val="both"/>
        <w:rPr>
          <w:rFonts w:cs="Arial"/>
          <w:lang w:val="pt-BR"/>
        </w:rPr>
      </w:pPr>
      <w:r w:rsidRPr="004D5B16">
        <w:rPr>
          <w:rFonts w:cs="Arial"/>
          <w:lang w:val="pt-BR"/>
        </w:rPr>
        <w:t>A interligação entre o ADN, ARN e proteínas constitui o “</w:t>
      </w:r>
      <w:r w:rsidRPr="004D5B16">
        <w:rPr>
          <w:rFonts w:cs="Arial"/>
          <w:b/>
          <w:lang w:val="pt-BR"/>
        </w:rPr>
        <w:t>Dogma Central da Biologia Molecular</w:t>
      </w:r>
      <w:r w:rsidRPr="004D5B16">
        <w:rPr>
          <w:rFonts w:cs="Arial"/>
          <w:lang w:val="pt-BR"/>
        </w:rPr>
        <w:t>“, que afirma que o ADN armazena a informação que determina sequência do ARN que, por sua vez, determina a estrutura das proteínas.</w:t>
      </w:r>
    </w:p>
    <w:p w:rsidR="004D5B16" w:rsidRPr="004D5B16" w:rsidRDefault="004D5B16" w:rsidP="00C52E09">
      <w:pPr>
        <w:numPr>
          <w:ilvl w:val="1"/>
          <w:numId w:val="31"/>
        </w:numPr>
        <w:spacing w:before="120" w:after="0"/>
        <w:jc w:val="both"/>
        <w:rPr>
          <w:rFonts w:cs="Arial"/>
          <w:lang w:val="pt-BR"/>
        </w:rPr>
      </w:pPr>
      <w:r w:rsidRPr="004D5B16">
        <w:rPr>
          <w:rFonts w:cs="Arial"/>
          <w:lang w:val="pt-BR"/>
        </w:rPr>
        <w:lastRenderedPageBreak/>
        <w:t xml:space="preserve">O ADN desempenha um papel na hereditariedade, funcionando como molde para a sua própria </w:t>
      </w:r>
      <w:r w:rsidRPr="004D5B16">
        <w:rPr>
          <w:rFonts w:cs="Arial"/>
          <w:b/>
          <w:lang w:val="pt-BR"/>
        </w:rPr>
        <w:t>replicação (duplicação).</w:t>
      </w:r>
      <w:r w:rsidRPr="004D5B16">
        <w:rPr>
          <w:rFonts w:cs="Arial"/>
          <w:lang w:val="pt-BR"/>
        </w:rPr>
        <w:t xml:space="preserve"> Assim uma célula consegue gerar duas cópias iguais do seu ADN antes de se dividir, sendo que cada célula filha vai receber uma das cópias</w:t>
      </w:r>
    </w:p>
    <w:p w:rsidR="004D5B16" w:rsidRPr="004D5B16" w:rsidRDefault="004D5B16" w:rsidP="00C52E09">
      <w:pPr>
        <w:numPr>
          <w:ilvl w:val="1"/>
          <w:numId w:val="31"/>
        </w:numPr>
        <w:spacing w:before="120" w:after="0"/>
        <w:jc w:val="both"/>
        <w:rPr>
          <w:rFonts w:cs="Arial"/>
          <w:lang w:val="pt-BR"/>
        </w:rPr>
      </w:pPr>
      <w:r w:rsidRPr="004D5B16">
        <w:rPr>
          <w:rFonts w:cs="Arial"/>
          <w:lang w:val="pt-BR"/>
        </w:rPr>
        <w:t xml:space="preserve">O ADN transmite a informação genética para o ARN por um processo chamado </w:t>
      </w:r>
      <w:r w:rsidRPr="004D5B16">
        <w:rPr>
          <w:rFonts w:cs="Arial"/>
          <w:b/>
          <w:lang w:val="pt-BR"/>
        </w:rPr>
        <w:t>transcrição</w:t>
      </w:r>
      <w:r w:rsidRPr="004D5B16">
        <w:rPr>
          <w:rFonts w:cs="Arial"/>
          <w:lang w:val="pt-BR"/>
        </w:rPr>
        <w:t xml:space="preserve"> - síntese de moléculas de ARN mensageiro tomando como modelo uma cadeia de ADN</w:t>
      </w:r>
    </w:p>
    <w:p w:rsidR="004D5B16" w:rsidRPr="004D5B16" w:rsidRDefault="004D5B16" w:rsidP="00C52E09">
      <w:pPr>
        <w:numPr>
          <w:ilvl w:val="1"/>
          <w:numId w:val="31"/>
        </w:numPr>
        <w:spacing w:before="120" w:after="0"/>
        <w:jc w:val="both"/>
        <w:rPr>
          <w:rFonts w:cs="Arial"/>
          <w:lang w:val="pt-BR"/>
        </w:rPr>
      </w:pPr>
      <w:r w:rsidRPr="004D5B16">
        <w:rPr>
          <w:rFonts w:cs="Arial"/>
          <w:lang w:val="pt-BR"/>
        </w:rPr>
        <w:t xml:space="preserve">A sequência do ARN é, então, </w:t>
      </w:r>
      <w:r w:rsidRPr="004D5B16">
        <w:rPr>
          <w:rFonts w:cs="Arial"/>
          <w:b/>
          <w:lang w:val="pt-BR"/>
        </w:rPr>
        <w:t>traduzida</w:t>
      </w:r>
      <w:r w:rsidRPr="004D5B16">
        <w:rPr>
          <w:rFonts w:cs="Arial"/>
          <w:lang w:val="pt-BR"/>
        </w:rPr>
        <w:t xml:space="preserve"> numa sequência de proteínas nos ribossomas</w:t>
      </w:r>
    </w:p>
    <w:p w:rsidR="004D5B16" w:rsidRDefault="004D5B16" w:rsidP="004D5B16">
      <w:pPr>
        <w:spacing w:before="120"/>
        <w:jc w:val="center"/>
        <w:rPr>
          <w:rFonts w:cs="Arial"/>
          <w:lang w:val="en-GB"/>
        </w:rPr>
      </w:pPr>
      <w:r>
        <w:rPr>
          <w:rFonts w:cs="Arial"/>
          <w:noProof/>
          <w:lang w:val="en-ZW" w:eastAsia="en-ZW"/>
        </w:rPr>
        <w:drawing>
          <wp:inline distT="0" distB="0" distL="0" distR="0" wp14:anchorId="7477E112" wp14:editId="36027895">
            <wp:extent cx="4546600" cy="3073400"/>
            <wp:effectExtent l="19050" t="0" r="6350" b="0"/>
            <wp:docPr id="47" name="Object 3"/>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200800" cy="3934018"/>
                      <a:chOff x="1187624" y="1988840"/>
                      <a:chExt cx="7200800" cy="3934018"/>
                    </a:xfrm>
                  </a:grpSpPr>
                  <a:grpSp>
                    <a:nvGrpSpPr>
                      <a:cNvPr id="9" name="Group 8"/>
                      <a:cNvGrpSpPr/>
                    </a:nvGrpSpPr>
                    <a:grpSpPr>
                      <a:xfrm>
                        <a:off x="1187624" y="1988840"/>
                        <a:ext cx="7200800" cy="3934018"/>
                        <a:chOff x="1187624" y="1988840"/>
                        <a:chExt cx="7200800" cy="3934018"/>
                      </a:xfrm>
                    </a:grpSpPr>
                    <a:pic>
                      <a:nvPicPr>
                        <a:cNvPr id="6146" name="Picture 2" descr="http://www.emc.maricopa.edu/faculty/farabee/biobk/cendogma.gif"/>
                        <a:cNvPicPr>
                          <a:picLocks noChangeAspect="1" noChangeArrowheads="1"/>
                        </a:cNvPicPr>
                      </a:nvPicPr>
                      <a:blipFill>
                        <a:blip r:embed="rId43"/>
                        <a:srcRect/>
                        <a:stretch>
                          <a:fillRect/>
                        </a:stretch>
                      </a:blipFill>
                      <a:spPr bwMode="auto">
                        <a:xfrm>
                          <a:off x="1187624" y="2060848"/>
                          <a:ext cx="6984776" cy="3312368"/>
                        </a:xfrm>
                        <a:prstGeom prst="rect">
                          <a:avLst/>
                        </a:prstGeom>
                        <a:noFill/>
                      </a:spPr>
                    </a:pic>
                    <a:sp>
                      <a:nvSpPr>
                        <a:cNvPr id="5" name="TextBox 4"/>
                        <a:cNvSpPr txBox="1"/>
                      </a:nvSpPr>
                      <a:spPr>
                        <a:xfrm>
                          <a:off x="1187624" y="2132856"/>
                          <a:ext cx="1728192" cy="369332"/>
                        </a:xfrm>
                        <a:prstGeom prst="rect">
                          <a:avLst/>
                        </a:prstGeom>
                        <a:solidFill>
                          <a:schemeClr val="bg1"/>
                        </a:solid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GB" b="1" dirty="0" err="1" smtClean="0"/>
                              <a:t>Replicação</a:t>
                            </a:r>
                            <a:endParaRPr lang="en-GB" b="1" dirty="0"/>
                          </a:p>
                        </a:txBody>
                        <a:useSpRect/>
                      </a:txSp>
                    </a:sp>
                    <a:sp>
                      <a:nvSpPr>
                        <a:cNvPr id="6" name="TextBox 5"/>
                        <a:cNvSpPr txBox="1"/>
                      </a:nvSpPr>
                      <a:spPr>
                        <a:xfrm>
                          <a:off x="2339752" y="3717032"/>
                          <a:ext cx="2520280" cy="646331"/>
                        </a:xfrm>
                        <a:prstGeom prst="rect">
                          <a:avLst/>
                        </a:prstGeom>
                        <a:solidFill>
                          <a:schemeClr val="bg1"/>
                        </a:solid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GB" b="1" dirty="0" err="1" smtClean="0"/>
                              <a:t>Transcrição</a:t>
                            </a:r>
                            <a:endParaRPr lang="en-GB" b="1" dirty="0" smtClean="0"/>
                          </a:p>
                          <a:p>
                            <a:pPr algn="ctr"/>
                            <a:r>
                              <a:rPr lang="en-GB" b="1" dirty="0" smtClean="0"/>
                              <a:t>(</a:t>
                            </a:r>
                            <a:r>
                              <a:rPr lang="en-GB" b="1" dirty="0" err="1" smtClean="0"/>
                              <a:t>síntese</a:t>
                            </a:r>
                            <a:r>
                              <a:rPr lang="en-GB" b="1" dirty="0" smtClean="0"/>
                              <a:t> de ARN)      </a:t>
                            </a:r>
                            <a:endParaRPr lang="en-GB" b="1" dirty="0"/>
                          </a:p>
                        </a:txBody>
                        <a:useSpRect/>
                      </a:txSp>
                    </a:sp>
                    <a:sp>
                      <a:nvSpPr>
                        <a:cNvPr id="7" name="TextBox 6"/>
                        <a:cNvSpPr txBox="1"/>
                      </a:nvSpPr>
                      <a:spPr>
                        <a:xfrm>
                          <a:off x="5436096" y="1988840"/>
                          <a:ext cx="2952328" cy="646331"/>
                        </a:xfrm>
                        <a:prstGeom prst="rect">
                          <a:avLst/>
                        </a:prstGeom>
                        <a:solidFill>
                          <a:schemeClr val="bg1"/>
                        </a:solid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GB" b="1" dirty="0" err="1" smtClean="0"/>
                              <a:t>Tradução</a:t>
                            </a:r>
                            <a:endParaRPr lang="en-GB" b="1" dirty="0" smtClean="0"/>
                          </a:p>
                          <a:p>
                            <a:pPr algn="ctr"/>
                            <a:r>
                              <a:rPr lang="en-GB" b="1" dirty="0" smtClean="0"/>
                              <a:t>(</a:t>
                            </a:r>
                            <a:r>
                              <a:rPr lang="en-GB" b="1" dirty="0" err="1" smtClean="0"/>
                              <a:t>síntese</a:t>
                            </a:r>
                            <a:r>
                              <a:rPr lang="en-GB" b="1" dirty="0" smtClean="0"/>
                              <a:t> de </a:t>
                            </a:r>
                            <a:r>
                              <a:rPr lang="en-GB" b="1" dirty="0" err="1" smtClean="0"/>
                              <a:t>Proteinas</a:t>
                            </a:r>
                            <a:r>
                              <a:rPr lang="en-GB" b="1" dirty="0" smtClean="0"/>
                              <a:t>)      </a:t>
                            </a:r>
                            <a:endParaRPr lang="en-GB" b="1" dirty="0"/>
                          </a:p>
                        </a:txBody>
                        <a:useSpRect/>
                      </a:txSp>
                    </a:sp>
                    <a:sp>
                      <a:nvSpPr>
                        <a:cNvPr id="8" name="Rectangle 7"/>
                        <a:cNvSpPr/>
                      </a:nvSpPr>
                      <a:spPr>
                        <a:xfrm>
                          <a:off x="2267744" y="5661248"/>
                          <a:ext cx="4572000" cy="261610"/>
                        </a:xfrm>
                        <a:prstGeom prst="rect">
                          <a:avLst/>
                        </a:prstGeom>
                      </a:spPr>
                      <a:txSp>
                        <a:txBody>
                          <a:bodyPr>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GB" sz="1100" dirty="0" smtClean="0"/>
                              <a:t>http://www.emc.maricopa.edu/faculty/farabee/biobk/cendogma.gif</a:t>
                            </a:r>
                            <a:endParaRPr lang="en-GB" sz="1100" dirty="0"/>
                          </a:p>
                        </a:txBody>
                        <a:useSpRect/>
                      </a:txSp>
                    </a:sp>
                  </a:grpSp>
                </lc:lockedCanvas>
              </a:graphicData>
            </a:graphic>
          </wp:inline>
        </w:drawing>
      </w:r>
    </w:p>
    <w:p w:rsidR="004D5B16" w:rsidRPr="00527CC4" w:rsidRDefault="004D5B16" w:rsidP="004D5B16">
      <w:pPr>
        <w:spacing w:before="120"/>
        <w:jc w:val="center"/>
        <w:rPr>
          <w:rFonts w:cs="Arial"/>
          <w:lang w:val="pt-BR"/>
        </w:rPr>
      </w:pPr>
      <w:r w:rsidRPr="00506DE0">
        <w:rPr>
          <w:rFonts w:cs="Arial"/>
          <w:b/>
          <w:lang w:val="pt-BR"/>
        </w:rPr>
        <w:t>Figura 2:</w:t>
      </w:r>
      <w:r w:rsidRPr="00527CC4">
        <w:rPr>
          <w:rFonts w:cs="Arial"/>
          <w:lang w:val="pt-BR"/>
        </w:rPr>
        <w:t xml:space="preserve"> Dogma Central da Biologia Molecular</w:t>
      </w:r>
    </w:p>
    <w:p w:rsidR="004D5B16" w:rsidRPr="00FC40BE" w:rsidRDefault="004D5B16" w:rsidP="004D5B16">
      <w:pPr>
        <w:spacing w:before="120"/>
        <w:jc w:val="both"/>
        <w:rPr>
          <w:rFonts w:cs="Arial"/>
          <w:lang w:val="pt-BR"/>
        </w:rPr>
      </w:pPr>
      <w:r w:rsidRPr="00FC40BE">
        <w:rPr>
          <w:rFonts w:cs="Arial"/>
          <w:lang w:val="pt-BR"/>
        </w:rPr>
        <w:t>No entanto, este dogma central come</w:t>
      </w:r>
      <w:r>
        <w:rPr>
          <w:rFonts w:cs="Arial"/>
          <w:lang w:val="pt-BR"/>
        </w:rPr>
        <w:t>ça a ser desafiado quando o sentido das informações passa a ser ao contrário. Por exemplo: o virus do HIV faz a transcrição reversa (síntese do ADN através do ARN).</w:t>
      </w:r>
    </w:p>
    <w:p w:rsidR="004D5B16" w:rsidRDefault="004D5B16" w:rsidP="00C52E09">
      <w:pPr>
        <w:numPr>
          <w:ilvl w:val="1"/>
          <w:numId w:val="31"/>
        </w:numPr>
        <w:spacing w:before="120" w:after="0"/>
        <w:jc w:val="both"/>
        <w:rPr>
          <w:rFonts w:cs="Arial"/>
        </w:rPr>
      </w:pPr>
      <w:r>
        <w:rPr>
          <w:rFonts w:cs="Arial"/>
        </w:rPr>
        <w:t>Estrutura do ADN</w:t>
      </w:r>
    </w:p>
    <w:p w:rsidR="004D5B16" w:rsidRPr="0005579B" w:rsidRDefault="004D5B16" w:rsidP="00C52E09">
      <w:pPr>
        <w:numPr>
          <w:ilvl w:val="2"/>
          <w:numId w:val="31"/>
        </w:numPr>
        <w:spacing w:before="120" w:after="0"/>
        <w:ind w:firstLine="0"/>
        <w:jc w:val="both"/>
        <w:rPr>
          <w:rFonts w:cs="Arial"/>
        </w:rPr>
      </w:pPr>
      <w:r w:rsidRPr="004D5B16">
        <w:rPr>
          <w:rFonts w:cs="Arial"/>
          <w:lang w:val="pt-BR"/>
        </w:rPr>
        <w:t xml:space="preserve">Na natureza, o ADN não existe como uma molécula simples, mas sim como duas moléculas formado pelos grupos fosfato e os açúcares, em disposição alternada. As duas cadeias de ADN enrolam-se em espiral, formando uma estrutura chamada </w:t>
      </w:r>
      <w:r w:rsidRPr="004D5B16">
        <w:rPr>
          <w:rFonts w:cs="Arial"/>
          <w:b/>
          <w:bCs/>
          <w:lang w:val="pt-BR"/>
        </w:rPr>
        <w:t>dupla hélice (Modelo de Watson e Crick)</w:t>
      </w:r>
      <w:r w:rsidRPr="004D5B16">
        <w:rPr>
          <w:rFonts w:cs="Arial"/>
          <w:lang w:val="pt-BR"/>
        </w:rPr>
        <w:t xml:space="preserve">. A dupla hélice de ADN está estabilizada por ligações de hidrogénio entre as bases de cada uma das cadeias. Cada tipo de base numa cadeia forma ligação com apenas outro tipo de base na outra cadeia. Assim, adenina (A) sempre emparelha com timina (T), e guanina (G) sempre emparelha com citosina (C). </w:t>
      </w:r>
      <w:r w:rsidRPr="0005579B">
        <w:rPr>
          <w:rFonts w:cs="Arial"/>
        </w:rPr>
        <w:t xml:space="preserve">Este fenómeno conhece-se </w:t>
      </w:r>
      <w:proofErr w:type="gramStart"/>
      <w:r w:rsidRPr="0005579B">
        <w:rPr>
          <w:rFonts w:cs="Arial"/>
        </w:rPr>
        <w:t>como</w:t>
      </w:r>
      <w:proofErr w:type="gramEnd"/>
      <w:r w:rsidRPr="0005579B">
        <w:rPr>
          <w:rFonts w:cs="Arial"/>
        </w:rPr>
        <w:t xml:space="preserve"> </w:t>
      </w:r>
      <w:r w:rsidRPr="0005579B">
        <w:rPr>
          <w:rFonts w:cs="Arial"/>
          <w:b/>
          <w:bCs/>
        </w:rPr>
        <w:t>complementariedade de bases</w:t>
      </w:r>
      <w:r w:rsidRPr="0005579B">
        <w:rPr>
          <w:rFonts w:cs="Arial"/>
        </w:rPr>
        <w:t>.</w:t>
      </w:r>
    </w:p>
    <w:p w:rsidR="004D5B16" w:rsidRDefault="004D5B16" w:rsidP="004D5B16">
      <w:pPr>
        <w:spacing w:before="120"/>
        <w:jc w:val="center"/>
        <w:rPr>
          <w:sz w:val="20"/>
        </w:rPr>
      </w:pPr>
      <w:r>
        <w:rPr>
          <w:noProof/>
          <w:sz w:val="20"/>
          <w:lang w:val="en-ZW" w:eastAsia="en-ZW"/>
        </w:rPr>
        <w:lastRenderedPageBreak/>
        <w:drawing>
          <wp:inline distT="0" distB="0" distL="0" distR="0" wp14:anchorId="17D8CE83" wp14:editId="73773E05">
            <wp:extent cx="1428750" cy="2804583"/>
            <wp:effectExtent l="19050" t="0" r="0" b="0"/>
            <wp:docPr id="255"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4" cstate="print">
                      <a:grayscl/>
                    </a:blip>
                    <a:srcRect/>
                    <a:stretch>
                      <a:fillRect/>
                    </a:stretch>
                  </pic:blipFill>
                  <pic:spPr bwMode="auto">
                    <a:xfrm>
                      <a:off x="0" y="0"/>
                      <a:ext cx="1428750" cy="2804583"/>
                    </a:xfrm>
                    <a:prstGeom prst="rect">
                      <a:avLst/>
                    </a:prstGeom>
                    <a:noFill/>
                    <a:ln w="9525">
                      <a:noFill/>
                      <a:miter lim="800000"/>
                      <a:headEnd/>
                      <a:tailEnd/>
                    </a:ln>
                  </pic:spPr>
                </pic:pic>
              </a:graphicData>
            </a:graphic>
          </wp:inline>
        </w:drawing>
      </w:r>
    </w:p>
    <w:p w:rsidR="004D5B16" w:rsidRPr="004D5B16" w:rsidRDefault="004D5B16" w:rsidP="004D5B16">
      <w:pPr>
        <w:spacing w:before="120"/>
        <w:jc w:val="center"/>
        <w:rPr>
          <w:rFonts w:cs="Arial"/>
          <w:sz w:val="20"/>
          <w:lang w:val="pt-BR"/>
        </w:rPr>
      </w:pPr>
      <w:r w:rsidRPr="004D5B16">
        <w:rPr>
          <w:rFonts w:cs="Arial"/>
          <w:b/>
          <w:sz w:val="20"/>
          <w:lang w:val="pt-BR"/>
        </w:rPr>
        <w:t>Figura 3</w:t>
      </w:r>
      <w:r w:rsidR="00506DE0">
        <w:rPr>
          <w:rFonts w:cs="Arial"/>
          <w:b/>
          <w:sz w:val="20"/>
          <w:lang w:val="pt-BR"/>
        </w:rPr>
        <w:t>:</w:t>
      </w:r>
      <w:r w:rsidRPr="004D5B16">
        <w:rPr>
          <w:rFonts w:cs="Arial"/>
          <w:sz w:val="20"/>
          <w:lang w:val="pt-BR"/>
        </w:rPr>
        <w:t xml:space="preserve"> Representação de uma dupla hélice.</w:t>
      </w:r>
    </w:p>
    <w:p w:rsidR="004D5B16" w:rsidRDefault="004D5B16" w:rsidP="004D5B16">
      <w:pPr>
        <w:spacing w:before="120"/>
        <w:jc w:val="center"/>
        <w:rPr>
          <w:sz w:val="20"/>
        </w:rPr>
      </w:pPr>
      <w:r>
        <w:rPr>
          <w:noProof/>
          <w:sz w:val="20"/>
          <w:lang w:val="en-ZW" w:eastAsia="en-ZW"/>
        </w:rPr>
        <w:drawing>
          <wp:inline distT="0" distB="0" distL="0" distR="0" wp14:anchorId="40933C21" wp14:editId="6B7690A2">
            <wp:extent cx="2736850" cy="3199074"/>
            <wp:effectExtent l="0" t="0" r="6350" b="0"/>
            <wp:docPr id="254" name="Picture 49" descr="C:\Users\mdsantos\Desktop\300px-DNA_chemical_structure_pt.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mdsantos\Desktop\300px-DNA_chemical_structure_pt.svg.png"/>
                    <pic:cNvPicPr>
                      <a:picLocks noChangeAspect="1" noChangeArrowheads="1"/>
                    </pic:cNvPicPr>
                  </pic:nvPicPr>
                  <pic:blipFill>
                    <a:blip r:embed="rId45" cstate="print">
                      <a:grayscl/>
                    </a:blip>
                    <a:srcRect/>
                    <a:stretch>
                      <a:fillRect/>
                    </a:stretch>
                  </pic:blipFill>
                  <pic:spPr bwMode="auto">
                    <a:xfrm>
                      <a:off x="0" y="0"/>
                      <a:ext cx="2736850" cy="3199074"/>
                    </a:xfrm>
                    <a:prstGeom prst="rect">
                      <a:avLst/>
                    </a:prstGeom>
                    <a:noFill/>
                    <a:ln w="9525">
                      <a:noFill/>
                      <a:miter lim="800000"/>
                      <a:headEnd/>
                      <a:tailEnd/>
                    </a:ln>
                  </pic:spPr>
                </pic:pic>
              </a:graphicData>
            </a:graphic>
          </wp:inline>
        </w:drawing>
      </w:r>
    </w:p>
    <w:p w:rsidR="004D5B16" w:rsidRPr="004D5B16" w:rsidRDefault="004D5B16" w:rsidP="004D5B16">
      <w:pPr>
        <w:spacing w:before="120"/>
        <w:jc w:val="center"/>
        <w:rPr>
          <w:rFonts w:cs="Arial"/>
          <w:sz w:val="20"/>
          <w:lang w:val="pt-BR"/>
        </w:rPr>
      </w:pPr>
      <w:r w:rsidRPr="004D5B16">
        <w:rPr>
          <w:rFonts w:cs="Arial"/>
          <w:b/>
          <w:sz w:val="20"/>
          <w:lang w:val="pt-BR"/>
        </w:rPr>
        <w:t>Figura 4</w:t>
      </w:r>
      <w:r w:rsidR="00506DE0">
        <w:rPr>
          <w:rFonts w:cs="Arial"/>
          <w:b/>
          <w:sz w:val="20"/>
          <w:lang w:val="pt-BR"/>
        </w:rPr>
        <w:t>:</w:t>
      </w:r>
      <w:r w:rsidRPr="004D5B16">
        <w:rPr>
          <w:rFonts w:cs="Arial"/>
          <w:sz w:val="20"/>
          <w:lang w:val="pt-BR"/>
        </w:rPr>
        <w:t xml:space="preserve"> Esquema da molécula de ADN mostrando a complementaridade entre bases.</w:t>
      </w:r>
    </w:p>
    <w:p w:rsidR="004D5B16" w:rsidRDefault="004D5B16" w:rsidP="00C52E09">
      <w:pPr>
        <w:numPr>
          <w:ilvl w:val="2"/>
          <w:numId w:val="31"/>
        </w:numPr>
        <w:spacing w:before="120" w:after="0"/>
        <w:ind w:firstLine="0"/>
        <w:jc w:val="both"/>
        <w:rPr>
          <w:rFonts w:cs="Arial"/>
          <w:lang w:val="pt-BR"/>
        </w:rPr>
      </w:pPr>
      <w:r w:rsidRPr="004D5B16">
        <w:rPr>
          <w:rFonts w:cs="Arial"/>
          <w:lang w:val="pt-BR"/>
        </w:rPr>
        <w:t xml:space="preserve">A </w:t>
      </w:r>
      <w:r w:rsidRPr="004D5B16">
        <w:rPr>
          <w:rFonts w:cs="Arial"/>
          <w:b/>
          <w:bCs/>
          <w:lang w:val="pt-BR"/>
        </w:rPr>
        <w:t>sequência de bases</w:t>
      </w:r>
      <w:r w:rsidRPr="004D5B16">
        <w:rPr>
          <w:rFonts w:cs="Arial"/>
          <w:lang w:val="pt-BR"/>
        </w:rPr>
        <w:t xml:space="preserve"> na cadeia de ADN é a que vai carregar a </w:t>
      </w:r>
      <w:r w:rsidRPr="004D5B16">
        <w:rPr>
          <w:rFonts w:cs="Arial"/>
          <w:b/>
          <w:bCs/>
          <w:lang w:val="pt-BR"/>
        </w:rPr>
        <w:t>informação genética</w:t>
      </w:r>
      <w:r w:rsidRPr="004D5B16">
        <w:rPr>
          <w:rFonts w:cs="Arial"/>
          <w:lang w:val="pt-BR"/>
        </w:rPr>
        <w:t xml:space="preserve"> da célula. O ADN constitui-se em sequências específicas que conformam os </w:t>
      </w:r>
      <w:r w:rsidRPr="004D5B16">
        <w:rPr>
          <w:rFonts w:cs="Arial"/>
          <w:b/>
          <w:bCs/>
          <w:lang w:val="pt-BR"/>
        </w:rPr>
        <w:t>genes</w:t>
      </w:r>
      <w:r w:rsidRPr="004D5B16">
        <w:rPr>
          <w:rFonts w:cs="Arial"/>
          <w:lang w:val="pt-BR"/>
        </w:rPr>
        <w:t xml:space="preserve">, que são as unidades hereditárias básicas. Cada gene dirige a produção de um polipeptídeo. Os </w:t>
      </w:r>
      <w:r w:rsidRPr="004D5B16">
        <w:rPr>
          <w:rFonts w:cs="Arial"/>
          <w:b/>
          <w:bCs/>
          <w:lang w:val="pt-BR"/>
        </w:rPr>
        <w:t>cromossomas</w:t>
      </w:r>
      <w:r w:rsidRPr="004D5B16">
        <w:rPr>
          <w:rFonts w:cs="Arial"/>
          <w:lang w:val="pt-BR"/>
        </w:rPr>
        <w:t xml:space="preserve"> (localizados no núcleo) são longas moléculas de ADN que contem vários genes, e também outras sequências de nucleótidos com funções específicas. A transmissão de informação na reprodução celular e na síntese proteica é mantida por meio da complementaridade entre as bases, que garante que a produção de novas moléculas de ácido nucleico reproduz com exactidão a sequência de bases da molécula original. Durante a divisão celular, os cromossomas podem trocar informação (segmentos de ADN) entre eles, por meio de um processo chamado de </w:t>
      </w:r>
      <w:r w:rsidRPr="004D5B16">
        <w:rPr>
          <w:rFonts w:cs="Arial"/>
          <w:b/>
          <w:bCs/>
          <w:lang w:val="pt-BR"/>
        </w:rPr>
        <w:t>recombinação genética</w:t>
      </w:r>
      <w:r w:rsidRPr="004D5B16">
        <w:rPr>
          <w:rFonts w:cs="Arial"/>
          <w:lang w:val="pt-BR"/>
        </w:rPr>
        <w:t>.</w:t>
      </w:r>
    </w:p>
    <w:p w:rsidR="00D51901" w:rsidRDefault="00D51901" w:rsidP="00D51901">
      <w:pPr>
        <w:spacing w:before="120" w:after="0"/>
        <w:ind w:left="720"/>
        <w:jc w:val="both"/>
        <w:rPr>
          <w:rFonts w:cs="Arial"/>
          <w:lang w:val="pt-BR"/>
        </w:rPr>
      </w:pPr>
    </w:p>
    <w:p w:rsidR="00506DE0" w:rsidRPr="004D5B16" w:rsidRDefault="00506DE0" w:rsidP="00D51901">
      <w:pPr>
        <w:spacing w:before="120" w:after="0"/>
        <w:ind w:left="720"/>
        <w:jc w:val="both"/>
        <w:rPr>
          <w:rFonts w:cs="Arial"/>
          <w:lang w:val="pt-BR"/>
        </w:rPr>
      </w:pPr>
    </w:p>
    <w:p w:rsidR="004D5B16" w:rsidRDefault="004D5B16" w:rsidP="00C52E09">
      <w:pPr>
        <w:numPr>
          <w:ilvl w:val="1"/>
          <w:numId w:val="31"/>
        </w:numPr>
        <w:spacing w:before="120" w:after="0"/>
        <w:jc w:val="both"/>
        <w:rPr>
          <w:rFonts w:cs="Arial"/>
        </w:rPr>
      </w:pPr>
      <w:r>
        <w:rPr>
          <w:rFonts w:cs="Arial"/>
        </w:rPr>
        <w:lastRenderedPageBreak/>
        <w:t>Estrutura do ARN</w:t>
      </w:r>
    </w:p>
    <w:p w:rsidR="004D5B16" w:rsidRPr="004D5B16" w:rsidRDefault="004D5B16" w:rsidP="00C52E09">
      <w:pPr>
        <w:numPr>
          <w:ilvl w:val="2"/>
          <w:numId w:val="31"/>
        </w:numPr>
        <w:spacing w:before="120" w:after="0"/>
        <w:ind w:firstLine="0"/>
        <w:jc w:val="both"/>
        <w:rPr>
          <w:rFonts w:cs="Arial"/>
          <w:lang w:val="pt-BR"/>
        </w:rPr>
      </w:pPr>
      <w:r w:rsidRPr="004D5B16">
        <w:rPr>
          <w:rFonts w:cs="Arial"/>
          <w:lang w:val="pt-BR"/>
        </w:rPr>
        <w:t>O ARN é também um polímero linear de nucleótidos. Contudo, a sua estrutura apresenta algumas diferencias com o ADN, que são as seguintes:</w:t>
      </w:r>
    </w:p>
    <w:p w:rsidR="004D5B16" w:rsidRPr="004D5B16" w:rsidRDefault="004D5B16" w:rsidP="00C52E09">
      <w:pPr>
        <w:numPr>
          <w:ilvl w:val="0"/>
          <w:numId w:val="32"/>
        </w:numPr>
        <w:spacing w:before="120" w:after="0"/>
        <w:jc w:val="both"/>
        <w:rPr>
          <w:rFonts w:cs="Arial"/>
          <w:lang w:val="pt-BR"/>
        </w:rPr>
      </w:pPr>
      <w:r w:rsidRPr="004D5B16">
        <w:rPr>
          <w:rFonts w:cs="Arial"/>
          <w:lang w:val="pt-BR"/>
        </w:rPr>
        <w:t xml:space="preserve">O ARN é formado com uma </w:t>
      </w:r>
      <w:r w:rsidRPr="004D5B16">
        <w:rPr>
          <w:rFonts w:cs="Arial"/>
          <w:b/>
          <w:bCs/>
          <w:lang w:val="pt-BR"/>
        </w:rPr>
        <w:t>cadeia simples</w:t>
      </w:r>
      <w:r w:rsidRPr="004D5B16">
        <w:rPr>
          <w:rFonts w:cs="Arial"/>
          <w:lang w:val="pt-BR"/>
        </w:rPr>
        <w:t xml:space="preserve"> de nucleótidos, e não por uma dupla cadeia como o ADN.</w:t>
      </w:r>
    </w:p>
    <w:p w:rsidR="004D5B16" w:rsidRPr="004D5B16" w:rsidRDefault="004D5B16" w:rsidP="00C52E09">
      <w:pPr>
        <w:numPr>
          <w:ilvl w:val="0"/>
          <w:numId w:val="32"/>
        </w:numPr>
        <w:spacing w:before="120" w:after="0"/>
        <w:jc w:val="both"/>
        <w:rPr>
          <w:rFonts w:cs="Arial"/>
          <w:lang w:val="pt-BR"/>
        </w:rPr>
      </w:pPr>
      <w:r w:rsidRPr="004D5B16">
        <w:rPr>
          <w:rFonts w:cs="Arial"/>
          <w:lang w:val="pt-BR"/>
        </w:rPr>
        <w:t xml:space="preserve">O açúcar pentose é a </w:t>
      </w:r>
      <w:r w:rsidRPr="004D5B16">
        <w:rPr>
          <w:rFonts w:cs="Arial"/>
          <w:b/>
          <w:bCs/>
          <w:lang w:val="pt-BR"/>
        </w:rPr>
        <w:t>ribose</w:t>
      </w:r>
      <w:r w:rsidRPr="004D5B16">
        <w:rPr>
          <w:rFonts w:cs="Arial"/>
          <w:lang w:val="pt-BR"/>
        </w:rPr>
        <w:t>.</w:t>
      </w:r>
    </w:p>
    <w:p w:rsidR="004D5B16" w:rsidRPr="004D5B16" w:rsidRDefault="004D5B16" w:rsidP="00C52E09">
      <w:pPr>
        <w:numPr>
          <w:ilvl w:val="0"/>
          <w:numId w:val="32"/>
        </w:numPr>
        <w:spacing w:before="120" w:after="0"/>
        <w:jc w:val="both"/>
        <w:rPr>
          <w:rFonts w:cs="Arial"/>
          <w:lang w:val="pt-BR"/>
        </w:rPr>
      </w:pPr>
      <w:r w:rsidRPr="004D5B16">
        <w:rPr>
          <w:rFonts w:cs="Arial"/>
          <w:lang w:val="pt-BR"/>
        </w:rPr>
        <w:t>As bases contidas no ARN são também quatro, porém uma é diferente. Elas são as purinas adenina (A) e guanina (G), e as pirimidinas citosina (C) e uracilo (U). Esta última substitui à timina, e emparelha-se com a adenina nos processos de síntese de ARN a partir de ADN.</w:t>
      </w:r>
    </w:p>
    <w:p w:rsidR="004D5B16" w:rsidRPr="004D5B16" w:rsidRDefault="004D5B16" w:rsidP="00C52E09">
      <w:pPr>
        <w:numPr>
          <w:ilvl w:val="2"/>
          <w:numId w:val="31"/>
        </w:numPr>
        <w:spacing w:before="120" w:after="0"/>
        <w:ind w:firstLine="0"/>
        <w:jc w:val="both"/>
        <w:rPr>
          <w:rFonts w:cs="Arial"/>
          <w:lang w:val="pt-BR"/>
        </w:rPr>
      </w:pPr>
      <w:r w:rsidRPr="004D5B16">
        <w:rPr>
          <w:rFonts w:cs="Arial"/>
          <w:lang w:val="pt-BR"/>
        </w:rPr>
        <w:t xml:space="preserve">A função principal do ARN é agir como </w:t>
      </w:r>
      <w:r w:rsidRPr="004D5B16">
        <w:rPr>
          <w:rFonts w:cs="Arial"/>
          <w:b/>
          <w:bCs/>
          <w:lang w:val="pt-BR"/>
        </w:rPr>
        <w:t>intermediário</w:t>
      </w:r>
      <w:r w:rsidRPr="004D5B16">
        <w:rPr>
          <w:rFonts w:cs="Arial"/>
          <w:lang w:val="pt-BR"/>
        </w:rPr>
        <w:t xml:space="preserve"> na transferência de informação entre o ADN e as proteínas. A complexidade desta função, faz com que existam diferentes classes de ARN, cada uma delas sendo responsável por uma parte específica do processo de transferência de informação. Elas são o </w:t>
      </w:r>
      <w:r w:rsidRPr="004D5B16">
        <w:rPr>
          <w:rFonts w:cs="Arial"/>
          <w:b/>
          <w:bCs/>
          <w:lang w:val="pt-BR"/>
        </w:rPr>
        <w:t>ARN mensageiro</w:t>
      </w:r>
      <w:r w:rsidRPr="004D5B16">
        <w:rPr>
          <w:rFonts w:cs="Arial"/>
          <w:lang w:val="pt-BR"/>
        </w:rPr>
        <w:t xml:space="preserve">, o </w:t>
      </w:r>
      <w:r w:rsidRPr="004D5B16">
        <w:rPr>
          <w:rFonts w:cs="Arial"/>
          <w:b/>
          <w:bCs/>
          <w:lang w:val="pt-BR"/>
        </w:rPr>
        <w:t>ARN ribossomal</w:t>
      </w:r>
      <w:r w:rsidRPr="004D5B16">
        <w:rPr>
          <w:rFonts w:cs="Arial"/>
          <w:lang w:val="pt-BR"/>
        </w:rPr>
        <w:t xml:space="preserve">, e o </w:t>
      </w:r>
      <w:r w:rsidRPr="004D5B16">
        <w:rPr>
          <w:rFonts w:cs="Arial"/>
          <w:b/>
          <w:bCs/>
          <w:lang w:val="pt-BR"/>
        </w:rPr>
        <w:t>ARN transportador</w:t>
      </w:r>
      <w:r w:rsidRPr="004D5B16">
        <w:rPr>
          <w:rFonts w:cs="Arial"/>
          <w:lang w:val="pt-BR"/>
        </w:rPr>
        <w:t xml:space="preserve">. </w:t>
      </w:r>
    </w:p>
    <w:p w:rsidR="004D5B16" w:rsidRPr="004D5B16" w:rsidRDefault="004D5B16" w:rsidP="00C52E09">
      <w:pPr>
        <w:numPr>
          <w:ilvl w:val="0"/>
          <w:numId w:val="33"/>
        </w:numPr>
        <w:spacing w:before="120" w:after="0"/>
        <w:jc w:val="both"/>
        <w:rPr>
          <w:rFonts w:cs="Arial"/>
          <w:lang w:val="pt-BR"/>
        </w:rPr>
      </w:pPr>
      <w:r w:rsidRPr="004D5B16">
        <w:rPr>
          <w:rFonts w:cs="Arial"/>
          <w:lang w:val="pt-BR"/>
        </w:rPr>
        <w:t xml:space="preserve">O ARN (ARNm) mensageiro encarrega-se de transportar a informação do ADN situado no núcleo celular até o local de síntese de proteínas. </w:t>
      </w:r>
    </w:p>
    <w:p w:rsidR="004D5B16" w:rsidRPr="004D5B16" w:rsidRDefault="004D5B16" w:rsidP="00C52E09">
      <w:pPr>
        <w:numPr>
          <w:ilvl w:val="0"/>
          <w:numId w:val="33"/>
        </w:numPr>
        <w:spacing w:before="120" w:after="0"/>
        <w:jc w:val="both"/>
        <w:rPr>
          <w:rFonts w:cs="Arial"/>
          <w:lang w:val="pt-BR"/>
        </w:rPr>
      </w:pPr>
      <w:r w:rsidRPr="004D5B16">
        <w:rPr>
          <w:rFonts w:cs="Arial"/>
          <w:lang w:val="pt-BR"/>
        </w:rPr>
        <w:t xml:space="preserve">O ARN ribossomal (ARNr) é o principal componente dos </w:t>
      </w:r>
      <w:r w:rsidRPr="004D5B16">
        <w:rPr>
          <w:rFonts w:cs="Arial"/>
          <w:b/>
          <w:bCs/>
          <w:lang w:val="pt-BR"/>
        </w:rPr>
        <w:t>ribossomos</w:t>
      </w:r>
      <w:r w:rsidRPr="004D5B16">
        <w:rPr>
          <w:rFonts w:cs="Arial"/>
          <w:lang w:val="pt-BR"/>
        </w:rPr>
        <w:t xml:space="preserve">, que são os organelos celulares onde se realiza a leitura da informação contida no ARN mensageiro e a união dos diferentes aminoácidos para formar as proteínas (o ARNr é parte do aparelho de síntese proteica sendo o componente catalítico do ribossomo). </w:t>
      </w:r>
    </w:p>
    <w:p w:rsidR="004D5B16" w:rsidRPr="004D5B16" w:rsidRDefault="004D5B16" w:rsidP="00C52E09">
      <w:pPr>
        <w:numPr>
          <w:ilvl w:val="0"/>
          <w:numId w:val="33"/>
        </w:numPr>
        <w:spacing w:before="120" w:after="0"/>
        <w:jc w:val="both"/>
        <w:rPr>
          <w:rFonts w:cs="Arial"/>
          <w:lang w:val="pt-BR"/>
        </w:rPr>
      </w:pPr>
      <w:r w:rsidRPr="004D5B16">
        <w:rPr>
          <w:rFonts w:cs="Arial"/>
          <w:lang w:val="pt-BR"/>
        </w:rPr>
        <w:t>O ARN transportador (ARNt) transporta os aminoácidos que se encontram em dissolução no citoplasma celular até os ribossomos, seguindo as instruções indicadas no ARNm.</w:t>
      </w:r>
    </w:p>
    <w:p w:rsidR="004D5B16" w:rsidRPr="000B25DB" w:rsidRDefault="004D5B16" w:rsidP="00506DE0">
      <w:pPr>
        <w:pStyle w:val="TM-0"/>
        <w:spacing w:before="120" w:after="0"/>
        <w:jc w:val="both"/>
      </w:pPr>
    </w:p>
    <w:p w:rsidR="004D5B16" w:rsidRPr="007F10EF" w:rsidRDefault="004D5B16" w:rsidP="004D5B16">
      <w:pPr>
        <w:shd w:val="clear" w:color="auto" w:fill="B8CCE4"/>
        <w:tabs>
          <w:tab w:val="left" w:pos="1276"/>
          <w:tab w:val="right" w:pos="8550"/>
        </w:tabs>
        <w:spacing w:before="120"/>
        <w:ind w:right="-43"/>
        <w:jc w:val="both"/>
        <w:rPr>
          <w:rFonts w:cs="Arial"/>
          <w:b/>
          <w:sz w:val="24"/>
          <w:szCs w:val="24"/>
        </w:rPr>
      </w:pPr>
      <w:r>
        <w:rPr>
          <w:rFonts w:cs="Arial"/>
          <w:b/>
          <w:sz w:val="24"/>
          <w:szCs w:val="24"/>
        </w:rPr>
        <w:t xml:space="preserve">BLOCO 3: </w:t>
      </w:r>
      <w:r w:rsidRPr="007F10EF">
        <w:rPr>
          <w:rFonts w:cs="Arial"/>
          <w:b/>
          <w:sz w:val="24"/>
          <w:szCs w:val="24"/>
        </w:rPr>
        <w:t>MICRONUTRIENTES: DEFINIÇÃO E CLASSIFICAÇÃO</w:t>
      </w:r>
    </w:p>
    <w:p w:rsidR="004D5B16" w:rsidRPr="004D5B16" w:rsidRDefault="004D5B16" w:rsidP="00C52E09">
      <w:pPr>
        <w:numPr>
          <w:ilvl w:val="1"/>
          <w:numId w:val="34"/>
        </w:numPr>
        <w:spacing w:before="120" w:after="0"/>
        <w:jc w:val="both"/>
        <w:rPr>
          <w:rFonts w:cs="Arial"/>
          <w:lang w:val="pt-BR"/>
        </w:rPr>
      </w:pPr>
      <w:r w:rsidRPr="004D5B16">
        <w:rPr>
          <w:rFonts w:cs="Arial"/>
          <w:lang w:val="pt-BR"/>
        </w:rPr>
        <w:t>Os micronutrientes são substâncias necessárias para a vida em quantidades muito pequenas. Eles permitem que o organismo sintetize enzimas, hormonas, e outros compostos essenciais para o crescimento e o desenvolvimento adequado dos seres humanos.</w:t>
      </w:r>
    </w:p>
    <w:p w:rsidR="004D5B16" w:rsidRPr="004D5B16" w:rsidRDefault="004D5B16" w:rsidP="00C52E09">
      <w:pPr>
        <w:numPr>
          <w:ilvl w:val="1"/>
          <w:numId w:val="34"/>
        </w:numPr>
        <w:spacing w:before="120" w:after="0"/>
        <w:jc w:val="both"/>
        <w:rPr>
          <w:rFonts w:cs="Arial"/>
          <w:lang w:val="pt-BR"/>
        </w:rPr>
      </w:pPr>
      <w:r w:rsidRPr="004D5B16">
        <w:rPr>
          <w:rFonts w:cs="Arial"/>
          <w:lang w:val="pt-BR"/>
        </w:rPr>
        <w:t>Mesmo que os micronutrientes sejam necessários em pequenas quantidades, as consequências do seu défice costumam ser graves.</w:t>
      </w:r>
    </w:p>
    <w:p w:rsidR="004D5B16" w:rsidRDefault="004D5B16" w:rsidP="00C52E09">
      <w:pPr>
        <w:numPr>
          <w:ilvl w:val="1"/>
          <w:numId w:val="34"/>
        </w:numPr>
        <w:spacing w:before="120" w:after="0"/>
        <w:jc w:val="both"/>
        <w:rPr>
          <w:rFonts w:cs="Arial"/>
          <w:lang w:val="pt-BR"/>
        </w:rPr>
      </w:pPr>
      <w:r w:rsidRPr="004D5B16">
        <w:rPr>
          <w:rFonts w:cs="Arial"/>
          <w:lang w:val="pt-BR"/>
        </w:rPr>
        <w:t>Há diferentes categorias de micronutrientes, entre as quais as principais são minerais e vitaminas.</w:t>
      </w:r>
    </w:p>
    <w:p w:rsidR="00D51901" w:rsidRPr="004D5B16" w:rsidRDefault="00D51901" w:rsidP="00506DE0">
      <w:pPr>
        <w:spacing w:before="120" w:after="0" w:line="240" w:lineRule="auto"/>
        <w:ind w:left="360"/>
        <w:jc w:val="both"/>
        <w:rPr>
          <w:rFonts w:cs="Arial"/>
          <w:lang w:val="pt-BR"/>
        </w:rPr>
      </w:pPr>
    </w:p>
    <w:p w:rsidR="004D5B16" w:rsidRPr="007F10EF" w:rsidRDefault="004D5B16" w:rsidP="004D5B16">
      <w:pPr>
        <w:shd w:val="clear" w:color="auto" w:fill="B8CCE4"/>
        <w:tabs>
          <w:tab w:val="left" w:pos="1276"/>
          <w:tab w:val="right" w:pos="8550"/>
        </w:tabs>
        <w:spacing w:before="120"/>
        <w:ind w:right="-43"/>
        <w:jc w:val="both"/>
        <w:rPr>
          <w:rFonts w:cs="Arial"/>
          <w:b/>
          <w:sz w:val="24"/>
          <w:szCs w:val="24"/>
        </w:rPr>
      </w:pPr>
      <w:r>
        <w:rPr>
          <w:rFonts w:cs="Arial"/>
          <w:b/>
          <w:sz w:val="24"/>
          <w:szCs w:val="24"/>
        </w:rPr>
        <w:t xml:space="preserve">BLOCO 4: </w:t>
      </w:r>
      <w:r w:rsidRPr="007F10EF">
        <w:rPr>
          <w:rFonts w:cs="Arial"/>
          <w:b/>
          <w:sz w:val="24"/>
          <w:szCs w:val="24"/>
        </w:rPr>
        <w:t>MINERAIS: CONCEITOS BÁSICOS</w:t>
      </w:r>
    </w:p>
    <w:p w:rsidR="004D5B16" w:rsidRPr="004D5B16" w:rsidRDefault="004D5B16" w:rsidP="00C52E09">
      <w:pPr>
        <w:numPr>
          <w:ilvl w:val="1"/>
          <w:numId w:val="35"/>
        </w:numPr>
        <w:spacing w:before="120" w:after="0"/>
        <w:jc w:val="both"/>
        <w:rPr>
          <w:rFonts w:cs="Arial"/>
          <w:lang w:val="pt-BR"/>
        </w:rPr>
      </w:pPr>
      <w:r w:rsidRPr="004D5B16">
        <w:rPr>
          <w:rFonts w:cs="Arial"/>
          <w:lang w:val="pt-BR"/>
        </w:rPr>
        <w:t>Alguns minerais têm funções importantes no organismo humano.</w:t>
      </w:r>
    </w:p>
    <w:p w:rsidR="004D5B16" w:rsidRPr="004D5B16" w:rsidRDefault="004D5B16" w:rsidP="00C52E09">
      <w:pPr>
        <w:numPr>
          <w:ilvl w:val="1"/>
          <w:numId w:val="35"/>
        </w:numPr>
        <w:spacing w:before="120" w:after="0"/>
        <w:jc w:val="both"/>
        <w:rPr>
          <w:rFonts w:cs="Arial"/>
          <w:lang w:val="pt-BR"/>
        </w:rPr>
      </w:pPr>
      <w:r w:rsidRPr="004D5B16">
        <w:rPr>
          <w:rFonts w:cs="Arial"/>
          <w:lang w:val="pt-BR"/>
        </w:rPr>
        <w:t>Geralmente, eles são ingeridos com os alimentos em forma de sais minerais, a seguir descrevem-se alguns exemplos da importância dos minerais no metabolismo do organismo.</w:t>
      </w:r>
    </w:p>
    <w:p w:rsidR="004D5B16" w:rsidRPr="004A6C1B" w:rsidRDefault="004D5B16" w:rsidP="00C52E09">
      <w:pPr>
        <w:numPr>
          <w:ilvl w:val="1"/>
          <w:numId w:val="35"/>
        </w:numPr>
        <w:spacing w:before="120" w:after="0"/>
        <w:jc w:val="both"/>
        <w:rPr>
          <w:rFonts w:cs="Arial"/>
          <w:b/>
        </w:rPr>
      </w:pPr>
      <w:r>
        <w:rPr>
          <w:rFonts w:cs="Arial"/>
          <w:b/>
        </w:rPr>
        <w:t>Iodo</w:t>
      </w:r>
    </w:p>
    <w:p w:rsidR="004D5B16" w:rsidRPr="004D5B16" w:rsidRDefault="004D5B16" w:rsidP="00C52E09">
      <w:pPr>
        <w:numPr>
          <w:ilvl w:val="0"/>
          <w:numId w:val="36"/>
        </w:numPr>
        <w:spacing w:before="120" w:after="0"/>
        <w:jc w:val="both"/>
        <w:rPr>
          <w:rFonts w:cs="Arial"/>
          <w:lang w:val="pt-BR"/>
        </w:rPr>
      </w:pPr>
      <w:r w:rsidRPr="004D5B16">
        <w:rPr>
          <w:rFonts w:cs="Arial"/>
          <w:lang w:val="pt-BR"/>
        </w:rPr>
        <w:t>O iodo é fundamental em diferentes processos vitais, entre os quais o mais importante é a síntese de hormonas tiróideas. As hormonas tiróideas são essenciais no controle e regulação do metabolismo basal do corpo humano.</w:t>
      </w:r>
    </w:p>
    <w:p w:rsidR="004D5B16" w:rsidRPr="004D5B16" w:rsidRDefault="004D5B16" w:rsidP="00C52E09">
      <w:pPr>
        <w:numPr>
          <w:ilvl w:val="0"/>
          <w:numId w:val="36"/>
        </w:numPr>
        <w:spacing w:before="120" w:after="0"/>
        <w:jc w:val="both"/>
        <w:rPr>
          <w:rFonts w:cs="Arial"/>
          <w:lang w:val="pt-BR"/>
        </w:rPr>
      </w:pPr>
      <w:r w:rsidRPr="004D5B16">
        <w:rPr>
          <w:rFonts w:cs="Arial"/>
          <w:lang w:val="pt-BR"/>
        </w:rPr>
        <w:lastRenderedPageBreak/>
        <w:t>O iodo pode-se encontrar especialmente em alimentos de origem marinho. Em muitos países, o sal utilizado para cozinhar é suplementado com iodo, de maneira a eliminar os problemas provocados pelo seu défice.</w:t>
      </w:r>
    </w:p>
    <w:p w:rsidR="004D5B16" w:rsidRPr="004D5B16" w:rsidRDefault="004D5B16" w:rsidP="00C52E09">
      <w:pPr>
        <w:numPr>
          <w:ilvl w:val="0"/>
          <w:numId w:val="36"/>
        </w:numPr>
        <w:spacing w:before="120" w:after="0"/>
        <w:jc w:val="both"/>
        <w:rPr>
          <w:rFonts w:cs="Arial"/>
          <w:lang w:val="pt-BR"/>
        </w:rPr>
      </w:pPr>
      <w:r w:rsidRPr="004D5B16">
        <w:rPr>
          <w:rFonts w:cs="Arial"/>
          <w:lang w:val="pt-BR"/>
        </w:rPr>
        <w:t>O défice de iodo produz o hipotiroidismo, que resulta em bócio (aumento do tamanho da glândula tiróide), fadiga extrema, aumento de peso, e depressão. Pode produzir também risco aumentado de mortalidade infantil, aborto e nados mortos.</w:t>
      </w:r>
    </w:p>
    <w:p w:rsidR="004D5B16" w:rsidRPr="004D5B16" w:rsidRDefault="004D5B16" w:rsidP="00C52E09">
      <w:pPr>
        <w:numPr>
          <w:ilvl w:val="0"/>
          <w:numId w:val="36"/>
        </w:numPr>
        <w:spacing w:before="120" w:after="0"/>
        <w:jc w:val="both"/>
        <w:rPr>
          <w:rFonts w:cs="Arial"/>
          <w:lang w:val="pt-BR"/>
        </w:rPr>
      </w:pPr>
      <w:r w:rsidRPr="004D5B16">
        <w:rPr>
          <w:rFonts w:cs="Arial"/>
          <w:lang w:val="pt-BR"/>
        </w:rPr>
        <w:t>Além, a deficiência de iodo é uma das causas mais importantes de atraso mental em crianças.</w:t>
      </w:r>
    </w:p>
    <w:p w:rsidR="004D5B16" w:rsidRPr="004A6C1B" w:rsidRDefault="004D5B16" w:rsidP="00C52E09">
      <w:pPr>
        <w:numPr>
          <w:ilvl w:val="1"/>
          <w:numId w:val="35"/>
        </w:numPr>
        <w:spacing w:before="120" w:after="0"/>
        <w:jc w:val="both"/>
        <w:rPr>
          <w:rFonts w:cs="Arial"/>
          <w:b/>
        </w:rPr>
      </w:pPr>
      <w:r>
        <w:rPr>
          <w:rFonts w:cs="Arial"/>
          <w:b/>
        </w:rPr>
        <w:t>Ferro</w:t>
      </w:r>
    </w:p>
    <w:p w:rsidR="004D5B16" w:rsidRPr="004D5B16" w:rsidRDefault="004D5B16" w:rsidP="00C52E09">
      <w:pPr>
        <w:numPr>
          <w:ilvl w:val="0"/>
          <w:numId w:val="37"/>
        </w:numPr>
        <w:spacing w:before="120" w:after="0"/>
        <w:jc w:val="both"/>
        <w:rPr>
          <w:rFonts w:cs="Arial"/>
          <w:lang w:val="pt-BR"/>
        </w:rPr>
      </w:pPr>
      <w:r w:rsidRPr="004D5B16">
        <w:rPr>
          <w:rFonts w:cs="Arial"/>
          <w:lang w:val="pt-BR"/>
        </w:rPr>
        <w:t>O ferro é fundamental em muitos processos biológicos. Sobretudo, faz parte da hemoglobina, que é a molécula responsável pelo transporte de oxigénio desde os pulmões até aos tecidos.</w:t>
      </w:r>
    </w:p>
    <w:p w:rsidR="004D5B16" w:rsidRPr="004D5B16" w:rsidRDefault="004D5B16" w:rsidP="00C52E09">
      <w:pPr>
        <w:numPr>
          <w:ilvl w:val="0"/>
          <w:numId w:val="37"/>
        </w:numPr>
        <w:spacing w:before="120" w:after="0"/>
        <w:jc w:val="both"/>
        <w:rPr>
          <w:rFonts w:cs="Arial"/>
          <w:lang w:val="pt-BR"/>
        </w:rPr>
      </w:pPr>
      <w:r w:rsidRPr="004D5B16">
        <w:rPr>
          <w:rFonts w:cs="Arial"/>
          <w:lang w:val="pt-BR"/>
        </w:rPr>
        <w:t>O ferro encontra-se em carnes vermelhas e fígado, ovos, peixe, feijão, e folhas verdes.</w:t>
      </w:r>
    </w:p>
    <w:p w:rsidR="004D5B16" w:rsidRPr="004D5B16" w:rsidRDefault="004D5B16" w:rsidP="00C52E09">
      <w:pPr>
        <w:numPr>
          <w:ilvl w:val="0"/>
          <w:numId w:val="37"/>
        </w:numPr>
        <w:spacing w:before="120" w:after="0"/>
        <w:jc w:val="both"/>
        <w:rPr>
          <w:rFonts w:cs="Arial"/>
          <w:lang w:val="pt-BR"/>
        </w:rPr>
      </w:pPr>
      <w:r w:rsidRPr="004D5B16">
        <w:rPr>
          <w:rFonts w:cs="Arial"/>
          <w:lang w:val="pt-BR"/>
        </w:rPr>
        <w:t>O défice de ferro nem sempre é consequência da falta na alimentação. Em mulheres em idade fértil, a menstruação provoca perdas de sangue que podem determinar a perca de ferro e consequentemente o aparecimento de anemia. Condições patológicas como malária e parasitoses por helmintos podem também provocar a falta de ferro no organismo.</w:t>
      </w:r>
    </w:p>
    <w:p w:rsidR="004D5B16" w:rsidRPr="004D5B16" w:rsidRDefault="004D5B16" w:rsidP="00C52E09">
      <w:pPr>
        <w:numPr>
          <w:ilvl w:val="0"/>
          <w:numId w:val="37"/>
        </w:numPr>
        <w:spacing w:before="120" w:after="0"/>
        <w:jc w:val="both"/>
        <w:rPr>
          <w:rFonts w:cs="Arial"/>
          <w:lang w:val="pt-BR"/>
        </w:rPr>
      </w:pPr>
      <w:r w:rsidRPr="004D5B16">
        <w:rPr>
          <w:rFonts w:cs="Arial"/>
          <w:lang w:val="pt-BR"/>
        </w:rPr>
        <w:t>Geralmente, os sintomas da anemia são fraqueza, fadiga, e palidez. A anemia aumenta o risco de hemorragias e infecções durante o parto, estando associada a um número significativo das mortes maternas.</w:t>
      </w:r>
    </w:p>
    <w:p w:rsidR="004D5B16" w:rsidRPr="004D5B16" w:rsidRDefault="004D5B16" w:rsidP="00C52E09">
      <w:pPr>
        <w:numPr>
          <w:ilvl w:val="0"/>
          <w:numId w:val="37"/>
        </w:numPr>
        <w:spacing w:before="120" w:after="0"/>
        <w:jc w:val="both"/>
        <w:rPr>
          <w:rFonts w:cs="Arial"/>
          <w:lang w:val="pt-BR"/>
        </w:rPr>
      </w:pPr>
      <w:r w:rsidRPr="004D5B16">
        <w:rPr>
          <w:rFonts w:cs="Arial"/>
          <w:lang w:val="pt-BR"/>
        </w:rPr>
        <w:t>Com muita frequência, a anemia na mulher grávida provoca partos prematuros e crianças de baixo peso á nascença. As crianças apresentarão maior susceptibilidade a infecções devido a fraca imunidade, e fraco desenvolvimento físico.</w:t>
      </w:r>
    </w:p>
    <w:p w:rsidR="004D5B16" w:rsidRPr="004D5B16" w:rsidRDefault="004D5B16" w:rsidP="004D5B16">
      <w:pPr>
        <w:spacing w:before="120"/>
        <w:ind w:left="450"/>
        <w:jc w:val="both"/>
        <w:rPr>
          <w:rFonts w:cs="Arial"/>
          <w:lang w:val="pt-BR"/>
        </w:rPr>
      </w:pPr>
      <w:r w:rsidRPr="004D5B16">
        <w:rPr>
          <w:rFonts w:cs="Arial"/>
          <w:lang w:val="pt-BR"/>
        </w:rPr>
        <w:t>Tabela de minerais importantes para o organismo: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5"/>
        <w:gridCol w:w="1963"/>
        <w:gridCol w:w="2450"/>
        <w:gridCol w:w="2919"/>
      </w:tblGrid>
      <w:tr w:rsidR="004D5B16" w:rsidRPr="00316222" w:rsidTr="004D5B16">
        <w:trPr>
          <w:trHeight w:val="567"/>
          <w:jc w:val="center"/>
        </w:trPr>
        <w:tc>
          <w:tcPr>
            <w:tcW w:w="1595" w:type="dxa"/>
            <w:shd w:val="clear" w:color="auto" w:fill="D9D9D9"/>
            <w:vAlign w:val="center"/>
          </w:tcPr>
          <w:p w:rsidR="004D5B16" w:rsidRPr="007F10EF" w:rsidRDefault="004D5B16" w:rsidP="004D5B16">
            <w:pPr>
              <w:pStyle w:val="TM-3n"/>
              <w:numPr>
                <w:ilvl w:val="0"/>
                <w:numId w:val="0"/>
              </w:numPr>
              <w:spacing w:before="120" w:after="0" w:line="276" w:lineRule="auto"/>
              <w:rPr>
                <w:b/>
                <w:sz w:val="20"/>
              </w:rPr>
            </w:pPr>
            <w:r w:rsidRPr="007F10EF">
              <w:rPr>
                <w:b/>
                <w:sz w:val="20"/>
              </w:rPr>
              <w:t>Mineral</w:t>
            </w:r>
          </w:p>
        </w:tc>
        <w:tc>
          <w:tcPr>
            <w:tcW w:w="1963" w:type="dxa"/>
            <w:shd w:val="clear" w:color="auto" w:fill="D9D9D9"/>
            <w:vAlign w:val="center"/>
          </w:tcPr>
          <w:p w:rsidR="004D5B16" w:rsidRPr="007F10EF" w:rsidRDefault="004D5B16" w:rsidP="004D5B16">
            <w:pPr>
              <w:pStyle w:val="TM-3n"/>
              <w:numPr>
                <w:ilvl w:val="0"/>
                <w:numId w:val="0"/>
              </w:numPr>
              <w:spacing w:before="120" w:after="0" w:line="276" w:lineRule="auto"/>
              <w:rPr>
                <w:b/>
                <w:sz w:val="20"/>
              </w:rPr>
            </w:pPr>
            <w:r w:rsidRPr="007F10EF">
              <w:rPr>
                <w:b/>
                <w:sz w:val="20"/>
              </w:rPr>
              <w:t>Fonte</w:t>
            </w:r>
          </w:p>
        </w:tc>
        <w:tc>
          <w:tcPr>
            <w:tcW w:w="2450" w:type="dxa"/>
            <w:shd w:val="clear" w:color="auto" w:fill="D9D9D9"/>
            <w:vAlign w:val="center"/>
          </w:tcPr>
          <w:p w:rsidR="004D5B16" w:rsidRPr="007F10EF" w:rsidRDefault="004D5B16" w:rsidP="004D5B16">
            <w:pPr>
              <w:pStyle w:val="TM-3n"/>
              <w:numPr>
                <w:ilvl w:val="0"/>
                <w:numId w:val="0"/>
              </w:numPr>
              <w:spacing w:before="120" w:after="0" w:line="276" w:lineRule="auto"/>
              <w:rPr>
                <w:b/>
                <w:sz w:val="20"/>
              </w:rPr>
            </w:pPr>
            <w:r w:rsidRPr="007F10EF">
              <w:rPr>
                <w:b/>
                <w:sz w:val="20"/>
              </w:rPr>
              <w:t xml:space="preserve">Função </w:t>
            </w:r>
            <w:r>
              <w:rPr>
                <w:b/>
                <w:sz w:val="20"/>
              </w:rPr>
              <w:t>no O</w:t>
            </w:r>
            <w:r w:rsidRPr="007F10EF">
              <w:rPr>
                <w:b/>
                <w:sz w:val="20"/>
              </w:rPr>
              <w:t>rganismo</w:t>
            </w:r>
          </w:p>
        </w:tc>
        <w:tc>
          <w:tcPr>
            <w:tcW w:w="2919" w:type="dxa"/>
            <w:shd w:val="clear" w:color="auto" w:fill="D9D9D9"/>
            <w:vAlign w:val="center"/>
          </w:tcPr>
          <w:p w:rsidR="004D5B16" w:rsidRPr="007F10EF" w:rsidRDefault="004D5B16" w:rsidP="004D5B16">
            <w:pPr>
              <w:pStyle w:val="TM-3n"/>
              <w:numPr>
                <w:ilvl w:val="0"/>
                <w:numId w:val="0"/>
              </w:numPr>
              <w:spacing w:before="120" w:after="0" w:line="276" w:lineRule="auto"/>
              <w:rPr>
                <w:b/>
                <w:sz w:val="20"/>
              </w:rPr>
            </w:pPr>
            <w:r w:rsidRPr="007F10EF">
              <w:rPr>
                <w:b/>
                <w:sz w:val="20"/>
              </w:rPr>
              <w:t>Deficiência</w:t>
            </w:r>
          </w:p>
        </w:tc>
      </w:tr>
      <w:tr w:rsidR="004D5B16" w:rsidRPr="00FC6E81" w:rsidTr="004D5B16">
        <w:trPr>
          <w:trHeight w:val="567"/>
          <w:jc w:val="center"/>
        </w:trPr>
        <w:tc>
          <w:tcPr>
            <w:tcW w:w="1595" w:type="dxa"/>
            <w:vAlign w:val="center"/>
          </w:tcPr>
          <w:p w:rsidR="004D5B16" w:rsidRPr="007F10EF" w:rsidRDefault="004D5B16" w:rsidP="004D5B16">
            <w:pPr>
              <w:pStyle w:val="TM-3n"/>
              <w:numPr>
                <w:ilvl w:val="0"/>
                <w:numId w:val="0"/>
              </w:numPr>
              <w:spacing w:before="120" w:after="0" w:line="276" w:lineRule="auto"/>
              <w:rPr>
                <w:sz w:val="20"/>
              </w:rPr>
            </w:pPr>
            <w:r w:rsidRPr="007F10EF">
              <w:rPr>
                <w:sz w:val="20"/>
              </w:rPr>
              <w:t>Iodo</w:t>
            </w:r>
          </w:p>
        </w:tc>
        <w:tc>
          <w:tcPr>
            <w:tcW w:w="1963" w:type="dxa"/>
            <w:vAlign w:val="center"/>
          </w:tcPr>
          <w:p w:rsidR="004D5B16" w:rsidRPr="007F10EF" w:rsidRDefault="004D5B16" w:rsidP="004D5B16">
            <w:pPr>
              <w:pStyle w:val="TM-3n"/>
              <w:numPr>
                <w:ilvl w:val="0"/>
                <w:numId w:val="0"/>
              </w:numPr>
              <w:spacing w:before="120" w:after="0" w:line="276" w:lineRule="auto"/>
              <w:rPr>
                <w:sz w:val="20"/>
              </w:rPr>
            </w:pPr>
            <w:r w:rsidRPr="007F10EF">
              <w:rPr>
                <w:sz w:val="20"/>
              </w:rPr>
              <w:t>Alimentos de origem marinho</w:t>
            </w:r>
          </w:p>
        </w:tc>
        <w:tc>
          <w:tcPr>
            <w:tcW w:w="2450" w:type="dxa"/>
            <w:vAlign w:val="center"/>
          </w:tcPr>
          <w:p w:rsidR="004D5B16" w:rsidRPr="007F10EF" w:rsidRDefault="004D5B16" w:rsidP="004D5B16">
            <w:pPr>
              <w:pStyle w:val="TM-3n"/>
              <w:numPr>
                <w:ilvl w:val="0"/>
                <w:numId w:val="0"/>
              </w:numPr>
              <w:spacing w:before="120" w:after="0" w:line="276" w:lineRule="auto"/>
              <w:rPr>
                <w:sz w:val="20"/>
              </w:rPr>
            </w:pPr>
            <w:r w:rsidRPr="007F10EF">
              <w:rPr>
                <w:sz w:val="20"/>
              </w:rPr>
              <w:t>Síntese de hormonas tiroideas</w:t>
            </w:r>
          </w:p>
          <w:p w:rsidR="004D5B16" w:rsidRPr="007F10EF" w:rsidRDefault="004D5B16" w:rsidP="004D5B16">
            <w:pPr>
              <w:pStyle w:val="TM-3n"/>
              <w:numPr>
                <w:ilvl w:val="0"/>
                <w:numId w:val="0"/>
              </w:numPr>
              <w:spacing w:before="120" w:after="0" w:line="276" w:lineRule="auto"/>
              <w:rPr>
                <w:sz w:val="20"/>
              </w:rPr>
            </w:pPr>
            <w:r w:rsidRPr="007F10EF">
              <w:rPr>
                <w:sz w:val="20"/>
              </w:rPr>
              <w:t>Controle e regulação do metabolismo basal</w:t>
            </w:r>
          </w:p>
        </w:tc>
        <w:tc>
          <w:tcPr>
            <w:tcW w:w="2919" w:type="dxa"/>
            <w:vAlign w:val="center"/>
          </w:tcPr>
          <w:p w:rsidR="004D5B16" w:rsidRPr="007F10EF" w:rsidRDefault="004D5B16" w:rsidP="004D5B16">
            <w:pPr>
              <w:pStyle w:val="TM-3n"/>
              <w:numPr>
                <w:ilvl w:val="0"/>
                <w:numId w:val="0"/>
              </w:numPr>
              <w:spacing w:before="120" w:after="0" w:line="276" w:lineRule="auto"/>
              <w:rPr>
                <w:sz w:val="20"/>
              </w:rPr>
            </w:pPr>
            <w:r w:rsidRPr="007F10EF">
              <w:rPr>
                <w:sz w:val="20"/>
              </w:rPr>
              <w:t>Hipotiroidismo (bócio, fadiga, aumento de peso, atraso mental)</w:t>
            </w:r>
          </w:p>
          <w:p w:rsidR="004D5B16" w:rsidRPr="007F10EF" w:rsidRDefault="004D5B16" w:rsidP="004D5B16">
            <w:pPr>
              <w:pStyle w:val="TM-3n"/>
              <w:numPr>
                <w:ilvl w:val="0"/>
                <w:numId w:val="0"/>
              </w:numPr>
              <w:spacing w:before="120" w:after="0" w:line="276" w:lineRule="auto"/>
              <w:rPr>
                <w:sz w:val="20"/>
              </w:rPr>
            </w:pPr>
            <w:r w:rsidRPr="007F10EF">
              <w:rPr>
                <w:sz w:val="20"/>
              </w:rPr>
              <w:t>Complicações na gravidez e parto</w:t>
            </w:r>
          </w:p>
          <w:p w:rsidR="004D5B16" w:rsidRPr="007F10EF" w:rsidRDefault="004D5B16" w:rsidP="004D5B16">
            <w:pPr>
              <w:pStyle w:val="TM-3n"/>
              <w:numPr>
                <w:ilvl w:val="0"/>
                <w:numId w:val="0"/>
              </w:numPr>
              <w:spacing w:before="120" w:after="0" w:line="276" w:lineRule="auto"/>
              <w:rPr>
                <w:sz w:val="20"/>
              </w:rPr>
            </w:pPr>
            <w:r>
              <w:rPr>
                <w:sz w:val="20"/>
              </w:rPr>
              <w:t>A</w:t>
            </w:r>
            <w:r w:rsidRPr="007F10EF">
              <w:rPr>
                <w:sz w:val="20"/>
              </w:rPr>
              <w:t>traso mental em crianças</w:t>
            </w:r>
          </w:p>
        </w:tc>
      </w:tr>
      <w:tr w:rsidR="004D5B16" w:rsidRPr="00946997" w:rsidTr="004D5B16">
        <w:trPr>
          <w:trHeight w:val="567"/>
          <w:jc w:val="center"/>
        </w:trPr>
        <w:tc>
          <w:tcPr>
            <w:tcW w:w="1595" w:type="dxa"/>
            <w:vAlign w:val="center"/>
          </w:tcPr>
          <w:p w:rsidR="004D5B16" w:rsidRPr="007F10EF" w:rsidRDefault="004D5B16" w:rsidP="004D5B16">
            <w:pPr>
              <w:pStyle w:val="TM-3n"/>
              <w:numPr>
                <w:ilvl w:val="0"/>
                <w:numId w:val="0"/>
              </w:numPr>
              <w:spacing w:before="120" w:after="0" w:line="276" w:lineRule="auto"/>
              <w:rPr>
                <w:sz w:val="20"/>
              </w:rPr>
            </w:pPr>
            <w:r w:rsidRPr="007F10EF">
              <w:rPr>
                <w:sz w:val="20"/>
              </w:rPr>
              <w:t>Ferro</w:t>
            </w:r>
          </w:p>
        </w:tc>
        <w:tc>
          <w:tcPr>
            <w:tcW w:w="1963" w:type="dxa"/>
            <w:vAlign w:val="center"/>
          </w:tcPr>
          <w:p w:rsidR="004D5B16" w:rsidRPr="007F10EF" w:rsidRDefault="004D5B16" w:rsidP="004D5B16">
            <w:pPr>
              <w:pStyle w:val="TM-3n"/>
              <w:numPr>
                <w:ilvl w:val="0"/>
                <w:numId w:val="0"/>
              </w:numPr>
              <w:spacing w:before="120" w:after="0" w:line="276" w:lineRule="auto"/>
              <w:rPr>
                <w:sz w:val="20"/>
              </w:rPr>
            </w:pPr>
            <w:r w:rsidRPr="007F10EF">
              <w:rPr>
                <w:sz w:val="20"/>
              </w:rPr>
              <w:t>Carnes vermelhas,</w:t>
            </w:r>
            <w:r>
              <w:rPr>
                <w:sz w:val="20"/>
              </w:rPr>
              <w:t xml:space="preserve"> fígado, ovos, peixe, feijão, </w:t>
            </w:r>
            <w:r w:rsidRPr="007F10EF">
              <w:rPr>
                <w:sz w:val="20"/>
              </w:rPr>
              <w:t>folhas verdes</w:t>
            </w:r>
          </w:p>
        </w:tc>
        <w:tc>
          <w:tcPr>
            <w:tcW w:w="2450" w:type="dxa"/>
            <w:vAlign w:val="center"/>
          </w:tcPr>
          <w:p w:rsidR="004D5B16" w:rsidRPr="007F10EF" w:rsidRDefault="004D5B16" w:rsidP="004D5B16">
            <w:pPr>
              <w:pStyle w:val="TM-3n"/>
              <w:numPr>
                <w:ilvl w:val="0"/>
                <w:numId w:val="0"/>
              </w:numPr>
              <w:spacing w:before="120" w:after="0" w:line="276" w:lineRule="auto"/>
              <w:rPr>
                <w:sz w:val="20"/>
              </w:rPr>
            </w:pPr>
            <w:r w:rsidRPr="007F10EF">
              <w:rPr>
                <w:sz w:val="20"/>
              </w:rPr>
              <w:t>Transporte de oxigénio no sangue</w:t>
            </w:r>
          </w:p>
        </w:tc>
        <w:tc>
          <w:tcPr>
            <w:tcW w:w="2919" w:type="dxa"/>
            <w:vAlign w:val="center"/>
          </w:tcPr>
          <w:p w:rsidR="004D5B16" w:rsidRPr="007F10EF" w:rsidRDefault="004D5B16" w:rsidP="004D5B16">
            <w:pPr>
              <w:pStyle w:val="TM-3n"/>
              <w:numPr>
                <w:ilvl w:val="0"/>
                <w:numId w:val="0"/>
              </w:numPr>
              <w:spacing w:before="120" w:after="0" w:line="276" w:lineRule="auto"/>
              <w:rPr>
                <w:sz w:val="20"/>
              </w:rPr>
            </w:pPr>
            <w:r w:rsidRPr="007F10EF">
              <w:rPr>
                <w:sz w:val="20"/>
              </w:rPr>
              <w:t>Anemia</w:t>
            </w:r>
          </w:p>
        </w:tc>
      </w:tr>
      <w:tr w:rsidR="004D5B16" w:rsidRPr="00FC6E81" w:rsidTr="004D5B16">
        <w:trPr>
          <w:trHeight w:val="567"/>
          <w:jc w:val="center"/>
        </w:trPr>
        <w:tc>
          <w:tcPr>
            <w:tcW w:w="1595" w:type="dxa"/>
            <w:vAlign w:val="center"/>
          </w:tcPr>
          <w:p w:rsidR="004D5B16" w:rsidRPr="007F10EF" w:rsidRDefault="004D5B16" w:rsidP="004D5B16">
            <w:pPr>
              <w:pStyle w:val="TM-3n"/>
              <w:numPr>
                <w:ilvl w:val="0"/>
                <w:numId w:val="0"/>
              </w:numPr>
              <w:spacing w:before="120" w:after="0" w:line="276" w:lineRule="auto"/>
              <w:rPr>
                <w:sz w:val="20"/>
              </w:rPr>
            </w:pPr>
            <w:r w:rsidRPr="007F10EF">
              <w:rPr>
                <w:sz w:val="20"/>
              </w:rPr>
              <w:t>Cálcio</w:t>
            </w:r>
          </w:p>
        </w:tc>
        <w:tc>
          <w:tcPr>
            <w:tcW w:w="1963" w:type="dxa"/>
            <w:vAlign w:val="center"/>
          </w:tcPr>
          <w:p w:rsidR="004D5B16" w:rsidRPr="007F10EF" w:rsidRDefault="004D5B16" w:rsidP="004D5B16">
            <w:pPr>
              <w:pStyle w:val="TM-3n"/>
              <w:numPr>
                <w:ilvl w:val="0"/>
                <w:numId w:val="0"/>
              </w:numPr>
              <w:spacing w:before="120" w:after="0" w:line="276" w:lineRule="auto"/>
              <w:rPr>
                <w:sz w:val="20"/>
              </w:rPr>
            </w:pPr>
            <w:r w:rsidRPr="007F10EF">
              <w:rPr>
                <w:sz w:val="20"/>
              </w:rPr>
              <w:t>Leite, folhas verdes</w:t>
            </w:r>
          </w:p>
        </w:tc>
        <w:tc>
          <w:tcPr>
            <w:tcW w:w="2450" w:type="dxa"/>
            <w:vAlign w:val="center"/>
          </w:tcPr>
          <w:p w:rsidR="004D5B16" w:rsidRPr="007F10EF" w:rsidRDefault="004D5B16" w:rsidP="004D5B16">
            <w:pPr>
              <w:pStyle w:val="TM-3n"/>
              <w:numPr>
                <w:ilvl w:val="0"/>
                <w:numId w:val="0"/>
              </w:numPr>
              <w:spacing w:before="120" w:after="0" w:line="276" w:lineRule="auto"/>
              <w:rPr>
                <w:sz w:val="20"/>
              </w:rPr>
            </w:pPr>
            <w:r w:rsidRPr="007F10EF">
              <w:rPr>
                <w:sz w:val="20"/>
              </w:rPr>
              <w:t>Formação de ossos e dentes</w:t>
            </w:r>
          </w:p>
          <w:p w:rsidR="004D5B16" w:rsidRPr="007F10EF" w:rsidRDefault="004D5B16" w:rsidP="004D5B16">
            <w:pPr>
              <w:pStyle w:val="TM-3n"/>
              <w:numPr>
                <w:ilvl w:val="0"/>
                <w:numId w:val="0"/>
              </w:numPr>
              <w:spacing w:before="120" w:after="0" w:line="276" w:lineRule="auto"/>
              <w:rPr>
                <w:sz w:val="20"/>
              </w:rPr>
            </w:pPr>
            <w:r w:rsidRPr="007F10EF">
              <w:rPr>
                <w:sz w:val="20"/>
              </w:rPr>
              <w:t>Contracção muscular</w:t>
            </w:r>
          </w:p>
          <w:p w:rsidR="004D5B16" w:rsidRPr="007F10EF" w:rsidRDefault="004D5B16" w:rsidP="004D5B16">
            <w:pPr>
              <w:pStyle w:val="TM-3n"/>
              <w:numPr>
                <w:ilvl w:val="0"/>
                <w:numId w:val="0"/>
              </w:numPr>
              <w:spacing w:before="120" w:after="0" w:line="276" w:lineRule="auto"/>
              <w:rPr>
                <w:sz w:val="20"/>
              </w:rPr>
            </w:pPr>
            <w:r w:rsidRPr="007F10EF">
              <w:rPr>
                <w:sz w:val="20"/>
              </w:rPr>
              <w:t>Coagulação</w:t>
            </w:r>
          </w:p>
        </w:tc>
        <w:tc>
          <w:tcPr>
            <w:tcW w:w="2919" w:type="dxa"/>
            <w:vAlign w:val="center"/>
          </w:tcPr>
          <w:p w:rsidR="004D5B16" w:rsidRPr="007F10EF" w:rsidRDefault="004D5B16" w:rsidP="004D5B16">
            <w:pPr>
              <w:pStyle w:val="TM-3n"/>
              <w:numPr>
                <w:ilvl w:val="0"/>
                <w:numId w:val="0"/>
              </w:numPr>
              <w:spacing w:before="120" w:after="0" w:line="276" w:lineRule="auto"/>
              <w:rPr>
                <w:sz w:val="20"/>
              </w:rPr>
            </w:pPr>
            <w:r w:rsidRPr="007F10EF">
              <w:rPr>
                <w:sz w:val="20"/>
              </w:rPr>
              <w:t>Alterações ósseas (fragilidade dos ossos)</w:t>
            </w:r>
          </w:p>
        </w:tc>
      </w:tr>
      <w:tr w:rsidR="004D5B16" w:rsidRPr="00FC6E81" w:rsidTr="004D5B16">
        <w:trPr>
          <w:trHeight w:val="567"/>
          <w:jc w:val="center"/>
        </w:trPr>
        <w:tc>
          <w:tcPr>
            <w:tcW w:w="1595" w:type="dxa"/>
            <w:vAlign w:val="center"/>
          </w:tcPr>
          <w:p w:rsidR="004D5B16" w:rsidRPr="007F10EF" w:rsidRDefault="004D5B16" w:rsidP="004D5B16">
            <w:pPr>
              <w:pStyle w:val="TM-3n"/>
              <w:numPr>
                <w:ilvl w:val="0"/>
                <w:numId w:val="0"/>
              </w:numPr>
              <w:spacing w:before="120" w:after="0" w:line="276" w:lineRule="auto"/>
              <w:rPr>
                <w:sz w:val="20"/>
              </w:rPr>
            </w:pPr>
            <w:r w:rsidRPr="007F10EF">
              <w:rPr>
                <w:sz w:val="20"/>
              </w:rPr>
              <w:t>Fósforo</w:t>
            </w:r>
          </w:p>
        </w:tc>
        <w:tc>
          <w:tcPr>
            <w:tcW w:w="1963" w:type="dxa"/>
            <w:vAlign w:val="center"/>
          </w:tcPr>
          <w:p w:rsidR="004D5B16" w:rsidRPr="007F10EF" w:rsidRDefault="004D5B16" w:rsidP="004D5B16">
            <w:pPr>
              <w:pStyle w:val="TM-3n"/>
              <w:numPr>
                <w:ilvl w:val="0"/>
                <w:numId w:val="0"/>
              </w:numPr>
              <w:spacing w:before="120" w:after="0" w:line="276" w:lineRule="auto"/>
              <w:rPr>
                <w:sz w:val="20"/>
              </w:rPr>
            </w:pPr>
            <w:r w:rsidRPr="007F10EF">
              <w:rPr>
                <w:sz w:val="20"/>
              </w:rPr>
              <w:t>Carne, repolho</w:t>
            </w:r>
          </w:p>
        </w:tc>
        <w:tc>
          <w:tcPr>
            <w:tcW w:w="2450" w:type="dxa"/>
            <w:vAlign w:val="center"/>
          </w:tcPr>
          <w:p w:rsidR="004D5B16" w:rsidRPr="007F10EF" w:rsidRDefault="004D5B16" w:rsidP="004D5B16">
            <w:pPr>
              <w:pStyle w:val="TM-3n"/>
              <w:numPr>
                <w:ilvl w:val="0"/>
                <w:numId w:val="0"/>
              </w:numPr>
              <w:spacing w:before="120" w:after="0" w:line="276" w:lineRule="auto"/>
              <w:rPr>
                <w:sz w:val="20"/>
              </w:rPr>
            </w:pPr>
            <w:r w:rsidRPr="007F10EF">
              <w:rPr>
                <w:sz w:val="20"/>
              </w:rPr>
              <w:t>Formação de ossos,</w:t>
            </w:r>
            <w:r>
              <w:rPr>
                <w:sz w:val="20"/>
              </w:rPr>
              <w:t xml:space="preserve"> </w:t>
            </w:r>
            <w:r w:rsidRPr="007F10EF">
              <w:rPr>
                <w:sz w:val="20"/>
              </w:rPr>
              <w:t>dentes e do</w:t>
            </w:r>
            <w:r>
              <w:rPr>
                <w:sz w:val="20"/>
              </w:rPr>
              <w:t xml:space="preserve"> s</w:t>
            </w:r>
            <w:r w:rsidRPr="007F10EF">
              <w:rPr>
                <w:sz w:val="20"/>
              </w:rPr>
              <w:t>istema nervoso</w:t>
            </w:r>
          </w:p>
        </w:tc>
        <w:tc>
          <w:tcPr>
            <w:tcW w:w="2919" w:type="dxa"/>
            <w:vAlign w:val="center"/>
          </w:tcPr>
          <w:p w:rsidR="004D5B16" w:rsidRPr="007F10EF" w:rsidRDefault="004D5B16" w:rsidP="004D5B16">
            <w:pPr>
              <w:pStyle w:val="TM-3n"/>
              <w:numPr>
                <w:ilvl w:val="0"/>
                <w:numId w:val="0"/>
              </w:numPr>
              <w:spacing w:before="120" w:after="0" w:line="276" w:lineRule="auto"/>
              <w:rPr>
                <w:sz w:val="20"/>
              </w:rPr>
            </w:pPr>
            <w:r w:rsidRPr="007F10EF">
              <w:rPr>
                <w:sz w:val="20"/>
              </w:rPr>
              <w:t>Fadiga</w:t>
            </w:r>
          </w:p>
          <w:p w:rsidR="004D5B16" w:rsidRPr="007F10EF" w:rsidRDefault="004D5B16" w:rsidP="004D5B16">
            <w:pPr>
              <w:pStyle w:val="TM-3n"/>
              <w:numPr>
                <w:ilvl w:val="0"/>
                <w:numId w:val="0"/>
              </w:numPr>
              <w:spacing w:before="120" w:after="0" w:line="276" w:lineRule="auto"/>
              <w:rPr>
                <w:sz w:val="20"/>
              </w:rPr>
            </w:pPr>
            <w:r w:rsidRPr="007F10EF">
              <w:rPr>
                <w:sz w:val="20"/>
              </w:rPr>
              <w:t>Alterações do estado mental</w:t>
            </w:r>
          </w:p>
        </w:tc>
      </w:tr>
      <w:tr w:rsidR="004D5B16" w:rsidRPr="00FC6E81" w:rsidTr="004D5B16">
        <w:trPr>
          <w:trHeight w:val="567"/>
          <w:jc w:val="center"/>
        </w:trPr>
        <w:tc>
          <w:tcPr>
            <w:tcW w:w="1595" w:type="dxa"/>
            <w:vAlign w:val="center"/>
          </w:tcPr>
          <w:p w:rsidR="004D5B16" w:rsidRPr="007F10EF" w:rsidRDefault="004D5B16" w:rsidP="004D5B16">
            <w:pPr>
              <w:pStyle w:val="TM-3n"/>
              <w:numPr>
                <w:ilvl w:val="0"/>
                <w:numId w:val="0"/>
              </w:numPr>
              <w:spacing w:before="120" w:after="0" w:line="276" w:lineRule="auto"/>
              <w:rPr>
                <w:sz w:val="20"/>
              </w:rPr>
            </w:pPr>
            <w:r w:rsidRPr="007F10EF">
              <w:rPr>
                <w:sz w:val="20"/>
              </w:rPr>
              <w:t>Magnésio</w:t>
            </w:r>
          </w:p>
        </w:tc>
        <w:tc>
          <w:tcPr>
            <w:tcW w:w="1963" w:type="dxa"/>
            <w:vAlign w:val="center"/>
          </w:tcPr>
          <w:p w:rsidR="004D5B16" w:rsidRPr="007F10EF" w:rsidRDefault="004D5B16" w:rsidP="004D5B16">
            <w:pPr>
              <w:pStyle w:val="TM-3n"/>
              <w:numPr>
                <w:ilvl w:val="0"/>
                <w:numId w:val="0"/>
              </w:numPr>
              <w:spacing w:before="120" w:after="0" w:line="276" w:lineRule="auto"/>
              <w:rPr>
                <w:sz w:val="20"/>
              </w:rPr>
            </w:pPr>
            <w:r w:rsidRPr="007F10EF">
              <w:rPr>
                <w:sz w:val="20"/>
              </w:rPr>
              <w:t>Legumes, frutos secos</w:t>
            </w:r>
          </w:p>
        </w:tc>
        <w:tc>
          <w:tcPr>
            <w:tcW w:w="2450" w:type="dxa"/>
            <w:vAlign w:val="center"/>
          </w:tcPr>
          <w:p w:rsidR="004D5B16" w:rsidRPr="007F10EF" w:rsidRDefault="004D5B16" w:rsidP="004D5B16">
            <w:pPr>
              <w:pStyle w:val="TM-3n"/>
              <w:numPr>
                <w:ilvl w:val="0"/>
                <w:numId w:val="0"/>
              </w:numPr>
              <w:spacing w:before="120" w:after="0" w:line="276" w:lineRule="auto"/>
              <w:rPr>
                <w:sz w:val="20"/>
              </w:rPr>
            </w:pPr>
            <w:r w:rsidRPr="007F10EF">
              <w:rPr>
                <w:sz w:val="20"/>
              </w:rPr>
              <w:t>Contracção muscular</w:t>
            </w:r>
          </w:p>
          <w:p w:rsidR="004D5B16" w:rsidRPr="007F10EF" w:rsidRDefault="004D5B16" w:rsidP="004D5B16">
            <w:pPr>
              <w:pStyle w:val="TM-3n"/>
              <w:numPr>
                <w:ilvl w:val="0"/>
                <w:numId w:val="0"/>
              </w:numPr>
              <w:spacing w:before="120" w:after="0" w:line="276" w:lineRule="auto"/>
              <w:rPr>
                <w:sz w:val="20"/>
              </w:rPr>
            </w:pPr>
            <w:r w:rsidRPr="007F10EF">
              <w:rPr>
                <w:sz w:val="20"/>
              </w:rPr>
              <w:t>Metabolismo energético</w:t>
            </w:r>
          </w:p>
        </w:tc>
        <w:tc>
          <w:tcPr>
            <w:tcW w:w="2919" w:type="dxa"/>
            <w:vAlign w:val="center"/>
          </w:tcPr>
          <w:p w:rsidR="004D5B16" w:rsidRPr="007F10EF" w:rsidRDefault="004D5B16" w:rsidP="004D5B16">
            <w:pPr>
              <w:pStyle w:val="TM-3n"/>
              <w:numPr>
                <w:ilvl w:val="0"/>
                <w:numId w:val="0"/>
              </w:numPr>
              <w:spacing w:before="120" w:after="0" w:line="276" w:lineRule="auto"/>
              <w:rPr>
                <w:sz w:val="20"/>
              </w:rPr>
            </w:pPr>
            <w:r w:rsidRPr="007F10EF">
              <w:rPr>
                <w:sz w:val="20"/>
              </w:rPr>
              <w:t>Alterações musculares</w:t>
            </w:r>
          </w:p>
          <w:p w:rsidR="004D5B16" w:rsidRPr="007F10EF" w:rsidRDefault="004D5B16" w:rsidP="004D5B16">
            <w:pPr>
              <w:pStyle w:val="TM-3n"/>
              <w:numPr>
                <w:ilvl w:val="0"/>
                <w:numId w:val="0"/>
              </w:numPr>
              <w:spacing w:before="120" w:after="0" w:line="276" w:lineRule="auto"/>
              <w:rPr>
                <w:sz w:val="20"/>
              </w:rPr>
            </w:pPr>
            <w:r w:rsidRPr="007F10EF">
              <w:rPr>
                <w:sz w:val="20"/>
              </w:rPr>
              <w:t xml:space="preserve">Arritmia cardíaca (patologia </w:t>
            </w:r>
            <w:r w:rsidRPr="007F10EF">
              <w:rPr>
                <w:sz w:val="20"/>
              </w:rPr>
              <w:lastRenderedPageBreak/>
              <w:t>cardíaca)</w:t>
            </w:r>
          </w:p>
        </w:tc>
      </w:tr>
      <w:tr w:rsidR="004D5B16" w:rsidRPr="00946997" w:rsidTr="004D5B16">
        <w:trPr>
          <w:trHeight w:val="567"/>
          <w:jc w:val="center"/>
        </w:trPr>
        <w:tc>
          <w:tcPr>
            <w:tcW w:w="1595" w:type="dxa"/>
            <w:vAlign w:val="center"/>
          </w:tcPr>
          <w:p w:rsidR="004D5B16" w:rsidRPr="007F10EF" w:rsidRDefault="004D5B16" w:rsidP="004D5B16">
            <w:pPr>
              <w:pStyle w:val="TM-3n"/>
              <w:numPr>
                <w:ilvl w:val="0"/>
                <w:numId w:val="0"/>
              </w:numPr>
              <w:spacing w:before="120" w:after="0" w:line="276" w:lineRule="auto"/>
              <w:rPr>
                <w:sz w:val="20"/>
              </w:rPr>
            </w:pPr>
            <w:r w:rsidRPr="007F10EF">
              <w:rPr>
                <w:sz w:val="20"/>
              </w:rPr>
              <w:lastRenderedPageBreak/>
              <w:t>Sódio</w:t>
            </w:r>
          </w:p>
        </w:tc>
        <w:tc>
          <w:tcPr>
            <w:tcW w:w="1963" w:type="dxa"/>
            <w:vAlign w:val="center"/>
          </w:tcPr>
          <w:p w:rsidR="004D5B16" w:rsidRPr="007F10EF" w:rsidRDefault="004D5B16" w:rsidP="004D5B16">
            <w:pPr>
              <w:pStyle w:val="TM-3n"/>
              <w:numPr>
                <w:ilvl w:val="0"/>
                <w:numId w:val="0"/>
              </w:numPr>
              <w:spacing w:before="120" w:after="0" w:line="276" w:lineRule="auto"/>
              <w:rPr>
                <w:sz w:val="20"/>
              </w:rPr>
            </w:pPr>
            <w:r w:rsidRPr="007F10EF">
              <w:rPr>
                <w:sz w:val="20"/>
              </w:rPr>
              <w:t>Sal, azeite</w:t>
            </w:r>
          </w:p>
        </w:tc>
        <w:tc>
          <w:tcPr>
            <w:tcW w:w="2450" w:type="dxa"/>
            <w:vAlign w:val="center"/>
          </w:tcPr>
          <w:p w:rsidR="004D5B16" w:rsidRPr="007F10EF" w:rsidRDefault="004D5B16" w:rsidP="004D5B16">
            <w:pPr>
              <w:pStyle w:val="TM-3n"/>
              <w:numPr>
                <w:ilvl w:val="0"/>
                <w:numId w:val="0"/>
              </w:numPr>
              <w:spacing w:before="120" w:after="0" w:line="276" w:lineRule="auto"/>
              <w:rPr>
                <w:sz w:val="20"/>
              </w:rPr>
            </w:pPr>
            <w:r w:rsidRPr="007F10EF">
              <w:rPr>
                <w:sz w:val="20"/>
              </w:rPr>
              <w:t>Equilíbrio ácido-base</w:t>
            </w:r>
          </w:p>
          <w:p w:rsidR="004D5B16" w:rsidRPr="007F10EF" w:rsidRDefault="004D5B16" w:rsidP="004D5B16">
            <w:pPr>
              <w:pStyle w:val="TM-3n"/>
              <w:numPr>
                <w:ilvl w:val="0"/>
                <w:numId w:val="0"/>
              </w:numPr>
              <w:spacing w:before="120" w:after="0" w:line="276" w:lineRule="auto"/>
              <w:rPr>
                <w:sz w:val="20"/>
              </w:rPr>
            </w:pPr>
            <w:r w:rsidRPr="007F10EF">
              <w:rPr>
                <w:sz w:val="20"/>
              </w:rPr>
              <w:t>Contracção muscular</w:t>
            </w:r>
          </w:p>
        </w:tc>
        <w:tc>
          <w:tcPr>
            <w:tcW w:w="2919" w:type="dxa"/>
            <w:vAlign w:val="center"/>
          </w:tcPr>
          <w:p w:rsidR="004D5B16" w:rsidRPr="007F10EF" w:rsidRDefault="004D5B16" w:rsidP="004D5B16">
            <w:pPr>
              <w:pStyle w:val="TM-3n"/>
              <w:numPr>
                <w:ilvl w:val="0"/>
                <w:numId w:val="0"/>
              </w:numPr>
              <w:spacing w:before="120" w:after="0" w:line="276" w:lineRule="auto"/>
              <w:rPr>
                <w:sz w:val="20"/>
              </w:rPr>
            </w:pPr>
            <w:r w:rsidRPr="007F10EF">
              <w:rPr>
                <w:sz w:val="20"/>
              </w:rPr>
              <w:t>Mau estar</w:t>
            </w:r>
          </w:p>
          <w:p w:rsidR="004D5B16" w:rsidRPr="007F10EF" w:rsidRDefault="004D5B16" w:rsidP="004D5B16">
            <w:pPr>
              <w:pStyle w:val="TM-3n"/>
              <w:numPr>
                <w:ilvl w:val="0"/>
                <w:numId w:val="0"/>
              </w:numPr>
              <w:spacing w:before="120" w:after="0" w:line="276" w:lineRule="auto"/>
              <w:rPr>
                <w:sz w:val="20"/>
              </w:rPr>
            </w:pPr>
            <w:r w:rsidRPr="007F10EF">
              <w:rPr>
                <w:sz w:val="20"/>
              </w:rPr>
              <w:t>Alterações inespecíficas</w:t>
            </w:r>
          </w:p>
        </w:tc>
      </w:tr>
      <w:tr w:rsidR="004D5B16" w:rsidRPr="00946997" w:rsidTr="004D5B16">
        <w:trPr>
          <w:trHeight w:val="567"/>
          <w:jc w:val="center"/>
        </w:trPr>
        <w:tc>
          <w:tcPr>
            <w:tcW w:w="1595" w:type="dxa"/>
            <w:vAlign w:val="center"/>
          </w:tcPr>
          <w:p w:rsidR="004D5B16" w:rsidRPr="007F10EF" w:rsidRDefault="004D5B16" w:rsidP="004D5B16">
            <w:pPr>
              <w:pStyle w:val="TM-3n"/>
              <w:numPr>
                <w:ilvl w:val="0"/>
                <w:numId w:val="0"/>
              </w:numPr>
              <w:spacing w:before="120" w:after="0" w:line="276" w:lineRule="auto"/>
              <w:rPr>
                <w:sz w:val="20"/>
              </w:rPr>
            </w:pPr>
            <w:r w:rsidRPr="007F10EF">
              <w:rPr>
                <w:sz w:val="20"/>
              </w:rPr>
              <w:t>Potássio</w:t>
            </w:r>
          </w:p>
        </w:tc>
        <w:tc>
          <w:tcPr>
            <w:tcW w:w="1963" w:type="dxa"/>
            <w:vAlign w:val="center"/>
          </w:tcPr>
          <w:p w:rsidR="004D5B16" w:rsidRPr="007F10EF" w:rsidRDefault="004D5B16" w:rsidP="004D5B16">
            <w:pPr>
              <w:pStyle w:val="TM-3n"/>
              <w:numPr>
                <w:ilvl w:val="0"/>
                <w:numId w:val="0"/>
              </w:numPr>
              <w:spacing w:before="120" w:after="0" w:line="276" w:lineRule="auto"/>
              <w:rPr>
                <w:sz w:val="20"/>
              </w:rPr>
            </w:pPr>
            <w:r w:rsidRPr="007F10EF">
              <w:rPr>
                <w:sz w:val="20"/>
              </w:rPr>
              <w:t>Carne, leite, frutas</w:t>
            </w:r>
          </w:p>
        </w:tc>
        <w:tc>
          <w:tcPr>
            <w:tcW w:w="2450" w:type="dxa"/>
            <w:vAlign w:val="center"/>
          </w:tcPr>
          <w:p w:rsidR="004D5B16" w:rsidRPr="007F10EF" w:rsidRDefault="004D5B16" w:rsidP="004D5B16">
            <w:pPr>
              <w:pStyle w:val="TM-3n"/>
              <w:numPr>
                <w:ilvl w:val="0"/>
                <w:numId w:val="0"/>
              </w:numPr>
              <w:spacing w:before="120" w:after="0" w:line="276" w:lineRule="auto"/>
              <w:rPr>
                <w:sz w:val="20"/>
              </w:rPr>
            </w:pPr>
            <w:r w:rsidRPr="007F10EF">
              <w:rPr>
                <w:sz w:val="20"/>
              </w:rPr>
              <w:t>Equilíbrio ácido-base</w:t>
            </w:r>
          </w:p>
          <w:p w:rsidR="004D5B16" w:rsidRPr="007F10EF" w:rsidRDefault="004D5B16" w:rsidP="004D5B16">
            <w:pPr>
              <w:pStyle w:val="TM-3n"/>
              <w:numPr>
                <w:ilvl w:val="0"/>
                <w:numId w:val="0"/>
              </w:numPr>
              <w:spacing w:before="120" w:after="0" w:line="276" w:lineRule="auto"/>
              <w:rPr>
                <w:sz w:val="20"/>
              </w:rPr>
            </w:pPr>
            <w:r w:rsidRPr="007F10EF">
              <w:rPr>
                <w:sz w:val="20"/>
              </w:rPr>
              <w:t>Contracção muscular</w:t>
            </w:r>
          </w:p>
        </w:tc>
        <w:tc>
          <w:tcPr>
            <w:tcW w:w="2919" w:type="dxa"/>
            <w:vAlign w:val="center"/>
          </w:tcPr>
          <w:p w:rsidR="004D5B16" w:rsidRPr="007F10EF" w:rsidRDefault="004D5B16" w:rsidP="004D5B16">
            <w:pPr>
              <w:pStyle w:val="TM-3n"/>
              <w:numPr>
                <w:ilvl w:val="0"/>
                <w:numId w:val="0"/>
              </w:numPr>
              <w:spacing w:before="120" w:after="0" w:line="276" w:lineRule="auto"/>
              <w:rPr>
                <w:sz w:val="20"/>
              </w:rPr>
            </w:pPr>
            <w:r w:rsidRPr="007F10EF">
              <w:rPr>
                <w:sz w:val="20"/>
              </w:rPr>
              <w:t>Fraqueza</w:t>
            </w:r>
          </w:p>
          <w:p w:rsidR="004D5B16" w:rsidRDefault="004D5B16" w:rsidP="004D5B16">
            <w:pPr>
              <w:pStyle w:val="TM-3n"/>
              <w:numPr>
                <w:ilvl w:val="0"/>
                <w:numId w:val="0"/>
              </w:numPr>
              <w:spacing w:before="120" w:after="0" w:line="276" w:lineRule="auto"/>
              <w:rPr>
                <w:sz w:val="20"/>
              </w:rPr>
            </w:pPr>
            <w:r w:rsidRPr="007F10EF">
              <w:rPr>
                <w:sz w:val="20"/>
              </w:rPr>
              <w:t>Desorientação</w:t>
            </w:r>
          </w:p>
          <w:p w:rsidR="004D5B16" w:rsidRPr="007F10EF" w:rsidRDefault="004D5B16" w:rsidP="004D5B16">
            <w:pPr>
              <w:pStyle w:val="TM-3n"/>
              <w:numPr>
                <w:ilvl w:val="0"/>
                <w:numId w:val="0"/>
              </w:numPr>
              <w:spacing w:before="120" w:after="0" w:line="276" w:lineRule="auto"/>
              <w:rPr>
                <w:sz w:val="20"/>
              </w:rPr>
            </w:pPr>
            <w:r>
              <w:rPr>
                <w:sz w:val="20"/>
              </w:rPr>
              <w:t>Arritmia cardíaca</w:t>
            </w:r>
          </w:p>
        </w:tc>
      </w:tr>
      <w:tr w:rsidR="004D5B16" w:rsidRPr="00946997" w:rsidTr="004D5B16">
        <w:trPr>
          <w:trHeight w:val="567"/>
          <w:jc w:val="center"/>
        </w:trPr>
        <w:tc>
          <w:tcPr>
            <w:tcW w:w="1595" w:type="dxa"/>
            <w:vAlign w:val="center"/>
          </w:tcPr>
          <w:p w:rsidR="004D5B16" w:rsidRPr="007F10EF" w:rsidRDefault="004D5B16" w:rsidP="004D5B16">
            <w:pPr>
              <w:pStyle w:val="TM-3n"/>
              <w:numPr>
                <w:ilvl w:val="0"/>
                <w:numId w:val="0"/>
              </w:numPr>
              <w:spacing w:before="120" w:after="0" w:line="276" w:lineRule="auto"/>
              <w:rPr>
                <w:sz w:val="20"/>
              </w:rPr>
            </w:pPr>
            <w:r w:rsidRPr="007F10EF">
              <w:rPr>
                <w:sz w:val="20"/>
              </w:rPr>
              <w:t>Zinco</w:t>
            </w:r>
          </w:p>
        </w:tc>
        <w:tc>
          <w:tcPr>
            <w:tcW w:w="1963" w:type="dxa"/>
            <w:vAlign w:val="center"/>
          </w:tcPr>
          <w:p w:rsidR="004D5B16" w:rsidRPr="007F10EF" w:rsidRDefault="004D5B16" w:rsidP="004D5B16">
            <w:pPr>
              <w:pStyle w:val="TM-3n"/>
              <w:numPr>
                <w:ilvl w:val="0"/>
                <w:numId w:val="0"/>
              </w:numPr>
              <w:spacing w:before="120" w:after="0" w:line="276" w:lineRule="auto"/>
              <w:rPr>
                <w:sz w:val="20"/>
              </w:rPr>
            </w:pPr>
            <w:r w:rsidRPr="007F10EF">
              <w:rPr>
                <w:sz w:val="20"/>
              </w:rPr>
              <w:t>Carne, peixe</w:t>
            </w:r>
          </w:p>
        </w:tc>
        <w:tc>
          <w:tcPr>
            <w:tcW w:w="2450" w:type="dxa"/>
            <w:vAlign w:val="center"/>
          </w:tcPr>
          <w:p w:rsidR="004D5B16" w:rsidRPr="007F10EF" w:rsidRDefault="004D5B16" w:rsidP="004D5B16">
            <w:pPr>
              <w:pStyle w:val="TM-3n"/>
              <w:numPr>
                <w:ilvl w:val="0"/>
                <w:numId w:val="0"/>
              </w:numPr>
              <w:spacing w:before="120" w:after="0" w:line="276" w:lineRule="auto"/>
              <w:rPr>
                <w:sz w:val="20"/>
              </w:rPr>
            </w:pPr>
            <w:r w:rsidRPr="007F10EF">
              <w:rPr>
                <w:sz w:val="20"/>
              </w:rPr>
              <w:t>Actividade cerebral</w:t>
            </w:r>
          </w:p>
          <w:p w:rsidR="004D5B16" w:rsidRPr="007F10EF" w:rsidRDefault="004D5B16" w:rsidP="004D5B16">
            <w:pPr>
              <w:pStyle w:val="TM-3n"/>
              <w:numPr>
                <w:ilvl w:val="0"/>
                <w:numId w:val="0"/>
              </w:numPr>
              <w:spacing w:before="120" w:after="0" w:line="276" w:lineRule="auto"/>
              <w:rPr>
                <w:sz w:val="20"/>
              </w:rPr>
            </w:pPr>
            <w:r w:rsidRPr="007F10EF">
              <w:rPr>
                <w:sz w:val="20"/>
              </w:rPr>
              <w:t>Metabolismo proteico</w:t>
            </w:r>
          </w:p>
        </w:tc>
        <w:tc>
          <w:tcPr>
            <w:tcW w:w="2919" w:type="dxa"/>
            <w:vAlign w:val="center"/>
          </w:tcPr>
          <w:p w:rsidR="004D5B16" w:rsidRPr="007F10EF" w:rsidRDefault="004D5B16" w:rsidP="004D5B16">
            <w:pPr>
              <w:pStyle w:val="TM-3n"/>
              <w:numPr>
                <w:ilvl w:val="0"/>
                <w:numId w:val="0"/>
              </w:numPr>
              <w:spacing w:before="120" w:after="0" w:line="276" w:lineRule="auto"/>
              <w:rPr>
                <w:sz w:val="20"/>
              </w:rPr>
            </w:pPr>
            <w:r w:rsidRPr="007F10EF">
              <w:rPr>
                <w:sz w:val="20"/>
              </w:rPr>
              <w:t>Diminuição de hormonas masculinas</w:t>
            </w:r>
          </w:p>
          <w:p w:rsidR="004D5B16" w:rsidRPr="007F10EF" w:rsidRDefault="004D5B16" w:rsidP="004D5B16">
            <w:pPr>
              <w:pStyle w:val="TM-3n"/>
              <w:numPr>
                <w:ilvl w:val="0"/>
                <w:numId w:val="0"/>
              </w:numPr>
              <w:spacing w:before="120" w:after="0" w:line="276" w:lineRule="auto"/>
              <w:rPr>
                <w:sz w:val="20"/>
              </w:rPr>
            </w:pPr>
          </w:p>
        </w:tc>
      </w:tr>
    </w:tbl>
    <w:p w:rsidR="004D5B16" w:rsidRDefault="004D5B16" w:rsidP="004D5B16">
      <w:pPr>
        <w:pStyle w:val="TM-3n"/>
        <w:numPr>
          <w:ilvl w:val="0"/>
          <w:numId w:val="0"/>
        </w:numPr>
        <w:spacing w:before="120" w:after="0" w:line="276" w:lineRule="auto"/>
        <w:ind w:left="851"/>
      </w:pPr>
    </w:p>
    <w:p w:rsidR="004D5B16" w:rsidRPr="00952485" w:rsidRDefault="004D5B16" w:rsidP="004D5B16">
      <w:pPr>
        <w:shd w:val="clear" w:color="auto" w:fill="B8CCE4"/>
        <w:tabs>
          <w:tab w:val="left" w:pos="1276"/>
          <w:tab w:val="right" w:pos="8550"/>
        </w:tabs>
        <w:spacing w:before="120"/>
        <w:ind w:right="-43"/>
        <w:jc w:val="both"/>
        <w:rPr>
          <w:rFonts w:eastAsia="MS Mincho" w:hAnsi="MS Mincho" w:cs="MS Mincho"/>
          <w:b/>
          <w:sz w:val="24"/>
          <w:szCs w:val="24"/>
        </w:rPr>
      </w:pPr>
      <w:r>
        <w:rPr>
          <w:rFonts w:cs="Arial"/>
          <w:b/>
          <w:sz w:val="24"/>
          <w:szCs w:val="24"/>
        </w:rPr>
        <w:t xml:space="preserve">BLOCO 5: </w:t>
      </w:r>
      <w:r w:rsidRPr="007F10EF">
        <w:rPr>
          <w:rFonts w:cs="Arial"/>
          <w:b/>
          <w:sz w:val="24"/>
          <w:szCs w:val="24"/>
        </w:rPr>
        <w:t>VITAMINAS</w:t>
      </w:r>
      <w:r>
        <w:rPr>
          <w:rFonts w:cs="Arial"/>
          <w:b/>
          <w:sz w:val="24"/>
          <w:szCs w:val="24"/>
        </w:rPr>
        <w:t>: DEFINIÇÃO E CLASSIFICAÇÃO</w:t>
      </w:r>
    </w:p>
    <w:p w:rsidR="004D5B16" w:rsidRPr="004D5B16" w:rsidRDefault="004D5B16" w:rsidP="00C52E09">
      <w:pPr>
        <w:numPr>
          <w:ilvl w:val="1"/>
          <w:numId w:val="38"/>
        </w:numPr>
        <w:spacing w:before="120" w:after="0"/>
        <w:jc w:val="both"/>
        <w:rPr>
          <w:rFonts w:cs="Arial"/>
          <w:lang w:val="pt-BR"/>
        </w:rPr>
      </w:pPr>
      <w:r w:rsidRPr="004D5B16">
        <w:rPr>
          <w:rFonts w:cs="Arial"/>
          <w:lang w:val="pt-BR"/>
        </w:rPr>
        <w:t>As vitaminas são uma categoria de micronutrientes formada por compostos orgânicos. Como todos os micronutrientes, são necessárias para o corpo humano em quantidades muito pequenas.</w:t>
      </w:r>
    </w:p>
    <w:p w:rsidR="004D5B16" w:rsidRPr="004D5B16" w:rsidRDefault="004D5B16" w:rsidP="00C52E09">
      <w:pPr>
        <w:numPr>
          <w:ilvl w:val="1"/>
          <w:numId w:val="38"/>
        </w:numPr>
        <w:spacing w:before="120" w:after="0"/>
        <w:jc w:val="both"/>
        <w:rPr>
          <w:rFonts w:cs="Arial"/>
          <w:lang w:val="pt-BR"/>
        </w:rPr>
      </w:pPr>
      <w:r w:rsidRPr="004D5B16">
        <w:rPr>
          <w:rFonts w:cs="Arial"/>
          <w:lang w:val="pt-BR"/>
        </w:rPr>
        <w:t>As vitaminas não podem ser sintetizadas pelo organismo em quantidades suficientes, e por isso é preciso obter elas de fontes externas.</w:t>
      </w:r>
    </w:p>
    <w:p w:rsidR="004D5B16" w:rsidRPr="004D5B16" w:rsidRDefault="004D5B16" w:rsidP="00C52E09">
      <w:pPr>
        <w:numPr>
          <w:ilvl w:val="1"/>
          <w:numId w:val="38"/>
        </w:numPr>
        <w:spacing w:before="120" w:after="0"/>
        <w:jc w:val="both"/>
        <w:rPr>
          <w:rFonts w:cs="Arial"/>
          <w:lang w:val="pt-BR"/>
        </w:rPr>
      </w:pPr>
      <w:r w:rsidRPr="004D5B16">
        <w:rPr>
          <w:rFonts w:cs="Arial"/>
          <w:lang w:val="pt-BR"/>
        </w:rPr>
        <w:t>Actualmente existem 13 compostos que são considerados vitaminas, que se dividem em dois grandes grupos: vitaminas hidrossolúveis (solúveis em água) e vitaminas lipossolúveis (solúveis em lípidos).</w:t>
      </w:r>
    </w:p>
    <w:p w:rsidR="004D5B16" w:rsidRPr="004D5B16" w:rsidRDefault="004D5B16" w:rsidP="00C52E09">
      <w:pPr>
        <w:numPr>
          <w:ilvl w:val="1"/>
          <w:numId w:val="38"/>
        </w:numPr>
        <w:spacing w:before="120" w:after="0"/>
        <w:jc w:val="both"/>
        <w:rPr>
          <w:rFonts w:cs="Arial"/>
          <w:lang w:val="pt-BR"/>
        </w:rPr>
      </w:pPr>
      <w:r w:rsidRPr="004D5B16">
        <w:rPr>
          <w:rFonts w:cs="Arial"/>
          <w:lang w:val="pt-BR"/>
        </w:rPr>
        <w:t>Vitaminas hidrossolúveis. São compostos que se eliminam rapidamente pela urina e não se armazenam no organismo. Portanto, o corpo é mais dependente da ingestão diária deste grupo de vitaminas.</w:t>
      </w:r>
    </w:p>
    <w:p w:rsidR="004D5B16" w:rsidRPr="004D5B16" w:rsidRDefault="004D5B16" w:rsidP="00C52E09">
      <w:pPr>
        <w:numPr>
          <w:ilvl w:val="1"/>
          <w:numId w:val="38"/>
        </w:numPr>
        <w:spacing w:before="120" w:after="0"/>
        <w:jc w:val="both"/>
        <w:rPr>
          <w:rFonts w:cs="Arial"/>
          <w:lang w:val="pt-BR"/>
        </w:rPr>
      </w:pPr>
      <w:r w:rsidRPr="004D5B16">
        <w:rPr>
          <w:rFonts w:cs="Arial"/>
          <w:lang w:val="pt-BR"/>
        </w:rPr>
        <w:t>Vitaminas lipossolúveis. São compostos que têm mais tendência a se acumular no organismo. Por isso, as vezes podem produzir problemas por hipervitaminose (excesso de vitamina).</w:t>
      </w:r>
    </w:p>
    <w:p w:rsidR="004D5B16" w:rsidRPr="004D5B16" w:rsidRDefault="004D5B16" w:rsidP="00C52E09">
      <w:pPr>
        <w:numPr>
          <w:ilvl w:val="1"/>
          <w:numId w:val="38"/>
        </w:numPr>
        <w:spacing w:before="120" w:after="0"/>
        <w:jc w:val="both"/>
        <w:rPr>
          <w:rFonts w:cs="Arial"/>
          <w:lang w:val="pt-BR"/>
        </w:rPr>
      </w:pPr>
      <w:r w:rsidRPr="004D5B16">
        <w:rPr>
          <w:rFonts w:cs="Arial"/>
          <w:lang w:val="pt-BR"/>
        </w:rPr>
        <w:t>Vitamina A. É uma das vitaminas lipossolúveis.</w:t>
      </w:r>
    </w:p>
    <w:p w:rsidR="004D5B16" w:rsidRPr="004D5B16" w:rsidRDefault="004D5B16" w:rsidP="00C52E09">
      <w:pPr>
        <w:numPr>
          <w:ilvl w:val="0"/>
          <w:numId w:val="39"/>
        </w:numPr>
        <w:spacing w:before="120" w:after="0"/>
        <w:jc w:val="both"/>
        <w:rPr>
          <w:rFonts w:cs="Arial"/>
          <w:lang w:val="pt-BR"/>
        </w:rPr>
      </w:pPr>
      <w:r w:rsidRPr="004D5B16">
        <w:rPr>
          <w:rFonts w:cs="Arial"/>
          <w:lang w:val="pt-BR"/>
        </w:rPr>
        <w:t>A vitamina A ou retinol desempenha um papel importante na visão, como parte dos pigmentos da retina que fazem possível a visão.</w:t>
      </w:r>
    </w:p>
    <w:p w:rsidR="004D5B16" w:rsidRPr="004D5B16" w:rsidRDefault="004D5B16" w:rsidP="00C52E09">
      <w:pPr>
        <w:numPr>
          <w:ilvl w:val="0"/>
          <w:numId w:val="39"/>
        </w:numPr>
        <w:spacing w:before="120" w:after="0"/>
        <w:jc w:val="both"/>
        <w:rPr>
          <w:rFonts w:cs="Arial"/>
          <w:lang w:val="pt-BR"/>
        </w:rPr>
      </w:pPr>
      <w:r w:rsidRPr="004D5B16">
        <w:rPr>
          <w:rFonts w:cs="Arial"/>
          <w:lang w:val="pt-BR"/>
        </w:rPr>
        <w:t>Além disso, tem outras funções diversas no organismo. Entre elas pode-se destacar o seu papel na imunidade (defesa do organismo), no desenvolvimento embrionário, no metabolismo ósseo, na manutenção da integridade da pele, e na produção de células sanguíneas.</w:t>
      </w:r>
    </w:p>
    <w:p w:rsidR="004D5B16" w:rsidRPr="004D5B16" w:rsidRDefault="004D5B16" w:rsidP="00C52E09">
      <w:pPr>
        <w:numPr>
          <w:ilvl w:val="0"/>
          <w:numId w:val="39"/>
        </w:numPr>
        <w:spacing w:before="120" w:after="0"/>
        <w:jc w:val="both"/>
        <w:rPr>
          <w:rFonts w:cs="Arial"/>
          <w:lang w:val="pt-BR"/>
        </w:rPr>
      </w:pPr>
      <w:r w:rsidRPr="004D5B16">
        <w:rPr>
          <w:rFonts w:cs="Arial"/>
          <w:lang w:val="pt-BR"/>
        </w:rPr>
        <w:t>A vitamina A pode-se encontrar naturalmente numa variedade de alimentos, entre eles fígado, ovos, leite, batata-doce, cenoura, espinafre, papaia e manga.</w:t>
      </w:r>
    </w:p>
    <w:p w:rsidR="004D5B16" w:rsidRPr="004D5B16" w:rsidRDefault="004D5B16" w:rsidP="00C52E09">
      <w:pPr>
        <w:numPr>
          <w:ilvl w:val="0"/>
          <w:numId w:val="39"/>
        </w:numPr>
        <w:spacing w:before="120" w:after="0"/>
        <w:jc w:val="both"/>
        <w:rPr>
          <w:rFonts w:cs="Arial"/>
          <w:lang w:val="pt-BR"/>
        </w:rPr>
      </w:pPr>
      <w:r w:rsidRPr="004D5B16">
        <w:rPr>
          <w:rFonts w:cs="Arial"/>
          <w:lang w:val="pt-BR"/>
        </w:rPr>
        <w:t>As manifestações do défice de vitamina A são a perda de visão, especialmente da visão nocturna (xeroftalmia), e alterações cutâneas e imunitárias.</w:t>
      </w:r>
    </w:p>
    <w:p w:rsidR="004D5B16" w:rsidRDefault="004D5B16" w:rsidP="00C52E09">
      <w:pPr>
        <w:numPr>
          <w:ilvl w:val="0"/>
          <w:numId w:val="39"/>
        </w:numPr>
        <w:spacing w:before="120" w:after="0"/>
        <w:jc w:val="both"/>
        <w:rPr>
          <w:rFonts w:cs="Arial"/>
        </w:rPr>
      </w:pPr>
      <w:r w:rsidRPr="004D5B16">
        <w:rPr>
          <w:rFonts w:cs="Arial"/>
          <w:lang w:val="pt-BR"/>
        </w:rPr>
        <w:t xml:space="preserve">Porém, o excesso de vitamina A no organismo pode também provocar alterações patológicas que se manifestam com náuseas, icterícia, anorexia, dores musculares e abdominais e cefaleia. </w:t>
      </w:r>
      <w:r w:rsidRPr="007F10EF">
        <w:rPr>
          <w:rFonts w:cs="Arial"/>
        </w:rPr>
        <w:t>Também pode provocar alterações no feto.</w:t>
      </w:r>
    </w:p>
    <w:p w:rsidR="00D51901" w:rsidRDefault="00D51901" w:rsidP="00D51901">
      <w:pPr>
        <w:spacing w:before="120" w:after="0"/>
        <w:jc w:val="both"/>
        <w:rPr>
          <w:rFonts w:cs="Arial"/>
        </w:rPr>
      </w:pPr>
    </w:p>
    <w:p w:rsidR="00D51901" w:rsidRDefault="00D51901" w:rsidP="00D51901">
      <w:pPr>
        <w:spacing w:before="120" w:after="0"/>
        <w:jc w:val="both"/>
        <w:rPr>
          <w:rFonts w:cs="Arial"/>
        </w:rPr>
      </w:pPr>
    </w:p>
    <w:p w:rsidR="00D51901" w:rsidRDefault="00D51901" w:rsidP="00D51901">
      <w:pPr>
        <w:spacing w:before="120" w:after="0"/>
        <w:jc w:val="both"/>
        <w:rPr>
          <w:rFonts w:cs="Arial"/>
        </w:rPr>
      </w:pPr>
    </w:p>
    <w:tbl>
      <w:tblPr>
        <w:tblW w:w="9680" w:type="dxa"/>
        <w:jc w:val="center"/>
        <w:tblInd w:w="-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09"/>
        <w:gridCol w:w="1451"/>
        <w:gridCol w:w="1800"/>
        <w:gridCol w:w="1980"/>
        <w:gridCol w:w="2340"/>
      </w:tblGrid>
      <w:tr w:rsidR="004D5B16" w:rsidRPr="00527CC4" w:rsidTr="004D5B16">
        <w:trPr>
          <w:jc w:val="center"/>
        </w:trPr>
        <w:tc>
          <w:tcPr>
            <w:tcW w:w="2109" w:type="dxa"/>
            <w:shd w:val="clear" w:color="auto" w:fill="D9D9D9"/>
            <w:vAlign w:val="center"/>
          </w:tcPr>
          <w:p w:rsidR="004D5B16" w:rsidRPr="00527CC4" w:rsidRDefault="004D5B16" w:rsidP="004D5B16">
            <w:pPr>
              <w:pStyle w:val="TM-1n"/>
              <w:numPr>
                <w:ilvl w:val="0"/>
                <w:numId w:val="0"/>
              </w:numPr>
              <w:spacing w:before="120" w:after="0" w:line="276" w:lineRule="auto"/>
              <w:rPr>
                <w:sz w:val="20"/>
                <w:szCs w:val="20"/>
              </w:rPr>
            </w:pPr>
            <w:r w:rsidRPr="00527CC4">
              <w:rPr>
                <w:sz w:val="20"/>
                <w:szCs w:val="20"/>
              </w:rPr>
              <w:lastRenderedPageBreak/>
              <w:t>Vitamina</w:t>
            </w:r>
          </w:p>
        </w:tc>
        <w:tc>
          <w:tcPr>
            <w:tcW w:w="1451" w:type="dxa"/>
            <w:shd w:val="clear" w:color="auto" w:fill="D9D9D9"/>
            <w:vAlign w:val="center"/>
          </w:tcPr>
          <w:p w:rsidR="004D5B16" w:rsidRPr="00527CC4" w:rsidRDefault="004D5B16" w:rsidP="004D5B16">
            <w:pPr>
              <w:pStyle w:val="TM-1n"/>
              <w:numPr>
                <w:ilvl w:val="0"/>
                <w:numId w:val="0"/>
              </w:numPr>
              <w:spacing w:before="120" w:after="0" w:line="276" w:lineRule="auto"/>
              <w:rPr>
                <w:sz w:val="20"/>
                <w:szCs w:val="20"/>
              </w:rPr>
            </w:pPr>
            <w:r w:rsidRPr="00527CC4">
              <w:rPr>
                <w:sz w:val="20"/>
                <w:szCs w:val="20"/>
              </w:rPr>
              <w:t>Tipo</w:t>
            </w:r>
          </w:p>
        </w:tc>
        <w:tc>
          <w:tcPr>
            <w:tcW w:w="1800" w:type="dxa"/>
            <w:shd w:val="clear" w:color="auto" w:fill="D9D9D9"/>
            <w:vAlign w:val="center"/>
          </w:tcPr>
          <w:p w:rsidR="004D5B16" w:rsidRPr="00527CC4" w:rsidRDefault="004D5B16" w:rsidP="004D5B16">
            <w:pPr>
              <w:pStyle w:val="TM-1n"/>
              <w:numPr>
                <w:ilvl w:val="0"/>
                <w:numId w:val="0"/>
              </w:numPr>
              <w:spacing w:before="120" w:after="0" w:line="276" w:lineRule="auto"/>
              <w:rPr>
                <w:sz w:val="20"/>
                <w:szCs w:val="20"/>
              </w:rPr>
            </w:pPr>
            <w:r w:rsidRPr="00527CC4">
              <w:rPr>
                <w:sz w:val="20"/>
                <w:szCs w:val="20"/>
              </w:rPr>
              <w:t>Fonte</w:t>
            </w:r>
          </w:p>
        </w:tc>
        <w:tc>
          <w:tcPr>
            <w:tcW w:w="1980" w:type="dxa"/>
            <w:shd w:val="clear" w:color="auto" w:fill="D9D9D9"/>
            <w:vAlign w:val="center"/>
          </w:tcPr>
          <w:p w:rsidR="004D5B16" w:rsidRPr="00527CC4" w:rsidRDefault="004D5B16" w:rsidP="004D5B16">
            <w:pPr>
              <w:pStyle w:val="TM-1n"/>
              <w:numPr>
                <w:ilvl w:val="0"/>
                <w:numId w:val="0"/>
              </w:numPr>
              <w:spacing w:before="120" w:after="0" w:line="276" w:lineRule="auto"/>
              <w:rPr>
                <w:sz w:val="20"/>
                <w:szCs w:val="20"/>
              </w:rPr>
            </w:pPr>
            <w:r w:rsidRPr="00527CC4">
              <w:rPr>
                <w:sz w:val="20"/>
                <w:szCs w:val="20"/>
              </w:rPr>
              <w:t>Acção/função no organismo</w:t>
            </w:r>
          </w:p>
        </w:tc>
        <w:tc>
          <w:tcPr>
            <w:tcW w:w="2340" w:type="dxa"/>
            <w:shd w:val="clear" w:color="auto" w:fill="D9D9D9"/>
            <w:vAlign w:val="center"/>
          </w:tcPr>
          <w:p w:rsidR="004D5B16" w:rsidRPr="00527CC4" w:rsidRDefault="004D5B16" w:rsidP="004D5B16">
            <w:pPr>
              <w:pStyle w:val="TM-1n"/>
              <w:numPr>
                <w:ilvl w:val="0"/>
                <w:numId w:val="0"/>
              </w:numPr>
              <w:spacing w:before="120" w:after="0" w:line="276" w:lineRule="auto"/>
              <w:rPr>
                <w:sz w:val="20"/>
                <w:szCs w:val="20"/>
              </w:rPr>
            </w:pPr>
            <w:r w:rsidRPr="00527CC4">
              <w:rPr>
                <w:sz w:val="20"/>
                <w:szCs w:val="20"/>
              </w:rPr>
              <w:t>Deficiência</w:t>
            </w:r>
          </w:p>
        </w:tc>
      </w:tr>
      <w:tr w:rsidR="004D5B16" w:rsidRPr="00FC6E81" w:rsidTr="004D5B16">
        <w:trPr>
          <w:jc w:val="center"/>
        </w:trPr>
        <w:tc>
          <w:tcPr>
            <w:tcW w:w="2109" w:type="dxa"/>
            <w:vAlign w:val="center"/>
          </w:tcPr>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B1 (tiamina)</w:t>
            </w:r>
          </w:p>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B3 (niacina ou acido nicotinico)</w:t>
            </w:r>
          </w:p>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B6 (Piridoxina)</w:t>
            </w:r>
          </w:p>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B12 (cobalamina)</w:t>
            </w:r>
          </w:p>
        </w:tc>
        <w:tc>
          <w:tcPr>
            <w:tcW w:w="1451" w:type="dxa"/>
            <w:vAlign w:val="center"/>
          </w:tcPr>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Hidrossolúvel</w:t>
            </w:r>
          </w:p>
        </w:tc>
        <w:tc>
          <w:tcPr>
            <w:tcW w:w="1800" w:type="dxa"/>
            <w:vAlign w:val="center"/>
          </w:tcPr>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Carne, ovos, produtos lácteos, casca de arroz</w:t>
            </w:r>
          </w:p>
        </w:tc>
        <w:tc>
          <w:tcPr>
            <w:tcW w:w="1980" w:type="dxa"/>
            <w:vAlign w:val="center"/>
          </w:tcPr>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Regulação do metabolismo</w:t>
            </w:r>
          </w:p>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Sistema imune e nervoso</w:t>
            </w:r>
          </w:p>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Crescimento e divisão celular</w:t>
            </w:r>
          </w:p>
        </w:tc>
        <w:tc>
          <w:tcPr>
            <w:tcW w:w="2340" w:type="dxa"/>
            <w:vAlign w:val="center"/>
          </w:tcPr>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Anemia (vitamina B12)</w:t>
            </w:r>
          </w:p>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Alterações neurológicas (Vitamina B6)</w:t>
            </w:r>
          </w:p>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Beriberi (edema generalizado, alterações neurológicas) -vitamina B1</w:t>
            </w:r>
          </w:p>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Pelagra (alterações da pele, demência e diarreia) - vitamina B3</w:t>
            </w:r>
          </w:p>
        </w:tc>
      </w:tr>
      <w:tr w:rsidR="004D5B16" w:rsidRPr="00FC6E81" w:rsidTr="004D5B16">
        <w:trPr>
          <w:jc w:val="center"/>
        </w:trPr>
        <w:tc>
          <w:tcPr>
            <w:tcW w:w="2109" w:type="dxa"/>
            <w:vAlign w:val="center"/>
          </w:tcPr>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C (ácido ascórbico)</w:t>
            </w:r>
          </w:p>
        </w:tc>
        <w:tc>
          <w:tcPr>
            <w:tcW w:w="1451" w:type="dxa"/>
            <w:vAlign w:val="center"/>
          </w:tcPr>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Hidrossolúvel</w:t>
            </w:r>
          </w:p>
        </w:tc>
        <w:tc>
          <w:tcPr>
            <w:tcW w:w="1800" w:type="dxa"/>
            <w:vAlign w:val="center"/>
          </w:tcPr>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Cítricos, alimentos frescos</w:t>
            </w:r>
          </w:p>
        </w:tc>
        <w:tc>
          <w:tcPr>
            <w:tcW w:w="1980" w:type="dxa"/>
            <w:vAlign w:val="center"/>
          </w:tcPr>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Reacções metabólicas</w:t>
            </w:r>
          </w:p>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Síntese de biomoléculas</w:t>
            </w:r>
          </w:p>
        </w:tc>
        <w:tc>
          <w:tcPr>
            <w:tcW w:w="2340" w:type="dxa"/>
            <w:vAlign w:val="center"/>
          </w:tcPr>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 xml:space="preserve">Escorbuto (Hemorragias, gengivite grave, perdas dos dentes, etc.)  </w:t>
            </w:r>
          </w:p>
        </w:tc>
      </w:tr>
      <w:tr w:rsidR="004D5B16" w:rsidRPr="00527CC4" w:rsidTr="004D5B16">
        <w:trPr>
          <w:trHeight w:val="1910"/>
          <w:jc w:val="center"/>
        </w:trPr>
        <w:tc>
          <w:tcPr>
            <w:tcW w:w="2109" w:type="dxa"/>
            <w:vAlign w:val="center"/>
          </w:tcPr>
          <w:p w:rsidR="004D5B16" w:rsidRPr="00527CC4" w:rsidRDefault="004D5B16" w:rsidP="004D5B16">
            <w:pPr>
              <w:pStyle w:val="TM-1n"/>
              <w:numPr>
                <w:ilvl w:val="0"/>
                <w:numId w:val="0"/>
              </w:numPr>
              <w:spacing w:before="120" w:after="0" w:line="276" w:lineRule="auto"/>
              <w:rPr>
                <w:b w:val="0"/>
                <w:sz w:val="20"/>
                <w:szCs w:val="20"/>
              </w:rPr>
            </w:pPr>
            <w:r w:rsidRPr="00527CC4">
              <w:rPr>
                <w:sz w:val="20"/>
                <w:szCs w:val="20"/>
              </w:rPr>
              <w:t>A</w:t>
            </w:r>
            <w:r w:rsidRPr="00527CC4">
              <w:rPr>
                <w:b w:val="0"/>
                <w:sz w:val="20"/>
                <w:szCs w:val="20"/>
              </w:rPr>
              <w:t xml:space="preserve"> (retinol)</w:t>
            </w:r>
          </w:p>
        </w:tc>
        <w:tc>
          <w:tcPr>
            <w:tcW w:w="1451" w:type="dxa"/>
            <w:vAlign w:val="center"/>
          </w:tcPr>
          <w:p w:rsidR="004D5B16" w:rsidRPr="00527CC4" w:rsidRDefault="004D5B16" w:rsidP="004D5B16">
            <w:pPr>
              <w:pStyle w:val="TM-1n"/>
              <w:numPr>
                <w:ilvl w:val="0"/>
                <w:numId w:val="0"/>
              </w:numPr>
              <w:spacing w:before="120" w:after="0" w:line="276" w:lineRule="auto"/>
              <w:rPr>
                <w:sz w:val="20"/>
                <w:szCs w:val="20"/>
              </w:rPr>
            </w:pPr>
            <w:r w:rsidRPr="00527CC4">
              <w:rPr>
                <w:sz w:val="20"/>
                <w:szCs w:val="20"/>
              </w:rPr>
              <w:t>Lipossolúvel</w:t>
            </w:r>
          </w:p>
        </w:tc>
        <w:tc>
          <w:tcPr>
            <w:tcW w:w="1800" w:type="dxa"/>
            <w:vAlign w:val="center"/>
          </w:tcPr>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Fígado, ovos, leite, batata-doce, cenoura, espinafre, papaia e manga</w:t>
            </w:r>
          </w:p>
        </w:tc>
        <w:tc>
          <w:tcPr>
            <w:tcW w:w="1980" w:type="dxa"/>
            <w:vAlign w:val="center"/>
          </w:tcPr>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Visão</w:t>
            </w:r>
          </w:p>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Sistema imunitário</w:t>
            </w:r>
          </w:p>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Desenvolvimento ósseo</w:t>
            </w:r>
          </w:p>
        </w:tc>
        <w:tc>
          <w:tcPr>
            <w:tcW w:w="2340" w:type="dxa"/>
            <w:vAlign w:val="center"/>
          </w:tcPr>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Perda de visão</w:t>
            </w:r>
            <w:r>
              <w:rPr>
                <w:b w:val="0"/>
                <w:sz w:val="20"/>
                <w:szCs w:val="20"/>
              </w:rPr>
              <w:t>, principalmente nocturna (xeroftalmia)</w:t>
            </w:r>
          </w:p>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Alterações dermatológicas e imunitárias</w:t>
            </w:r>
          </w:p>
        </w:tc>
      </w:tr>
      <w:tr w:rsidR="004D5B16" w:rsidRPr="00527CC4" w:rsidTr="004D5B16">
        <w:trPr>
          <w:jc w:val="center"/>
        </w:trPr>
        <w:tc>
          <w:tcPr>
            <w:tcW w:w="2109" w:type="dxa"/>
            <w:vAlign w:val="center"/>
          </w:tcPr>
          <w:p w:rsidR="004D5B16" w:rsidRPr="00527CC4" w:rsidRDefault="004D5B16" w:rsidP="004D5B16">
            <w:pPr>
              <w:pStyle w:val="TM-1n"/>
              <w:numPr>
                <w:ilvl w:val="0"/>
                <w:numId w:val="0"/>
              </w:numPr>
              <w:spacing w:before="120" w:after="0" w:line="276" w:lineRule="auto"/>
              <w:rPr>
                <w:b w:val="0"/>
                <w:sz w:val="20"/>
                <w:szCs w:val="20"/>
              </w:rPr>
            </w:pPr>
            <w:r w:rsidRPr="00527CC4">
              <w:rPr>
                <w:sz w:val="20"/>
                <w:szCs w:val="20"/>
              </w:rPr>
              <w:t>D</w:t>
            </w:r>
            <w:r w:rsidRPr="00527CC4">
              <w:rPr>
                <w:b w:val="0"/>
                <w:sz w:val="20"/>
                <w:szCs w:val="20"/>
              </w:rPr>
              <w:t xml:space="preserve"> (calciferol)</w:t>
            </w:r>
          </w:p>
        </w:tc>
        <w:tc>
          <w:tcPr>
            <w:tcW w:w="1451" w:type="dxa"/>
            <w:vAlign w:val="center"/>
          </w:tcPr>
          <w:p w:rsidR="004D5B16" w:rsidRPr="00527CC4" w:rsidRDefault="004D5B16" w:rsidP="004D5B16">
            <w:pPr>
              <w:pStyle w:val="TM-1n"/>
              <w:numPr>
                <w:ilvl w:val="0"/>
                <w:numId w:val="0"/>
              </w:numPr>
              <w:spacing w:before="120" w:after="0" w:line="276" w:lineRule="auto"/>
              <w:rPr>
                <w:sz w:val="20"/>
                <w:szCs w:val="20"/>
              </w:rPr>
            </w:pPr>
            <w:r w:rsidRPr="00527CC4">
              <w:rPr>
                <w:sz w:val="20"/>
                <w:szCs w:val="20"/>
              </w:rPr>
              <w:t>Lipossolúvel</w:t>
            </w:r>
          </w:p>
        </w:tc>
        <w:tc>
          <w:tcPr>
            <w:tcW w:w="1800" w:type="dxa"/>
            <w:vAlign w:val="center"/>
          </w:tcPr>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Sardinha, atum, ovos, cogumelos</w:t>
            </w:r>
          </w:p>
        </w:tc>
        <w:tc>
          <w:tcPr>
            <w:tcW w:w="1980" w:type="dxa"/>
            <w:vAlign w:val="center"/>
          </w:tcPr>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Metabolismo ósseo</w:t>
            </w:r>
          </w:p>
        </w:tc>
        <w:tc>
          <w:tcPr>
            <w:tcW w:w="2340" w:type="dxa"/>
            <w:vAlign w:val="center"/>
          </w:tcPr>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Raquitismo</w:t>
            </w:r>
          </w:p>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Alterações ósseas</w:t>
            </w:r>
          </w:p>
        </w:tc>
      </w:tr>
      <w:tr w:rsidR="004D5B16" w:rsidRPr="00527CC4" w:rsidTr="004D5B16">
        <w:trPr>
          <w:jc w:val="center"/>
        </w:trPr>
        <w:tc>
          <w:tcPr>
            <w:tcW w:w="2109" w:type="dxa"/>
            <w:vAlign w:val="center"/>
          </w:tcPr>
          <w:p w:rsidR="004D5B16" w:rsidRPr="00527CC4" w:rsidRDefault="004D5B16" w:rsidP="004D5B16">
            <w:pPr>
              <w:pStyle w:val="TM-1n"/>
              <w:numPr>
                <w:ilvl w:val="0"/>
                <w:numId w:val="0"/>
              </w:numPr>
              <w:spacing w:before="120" w:after="0" w:line="276" w:lineRule="auto"/>
              <w:rPr>
                <w:b w:val="0"/>
                <w:sz w:val="20"/>
                <w:szCs w:val="20"/>
              </w:rPr>
            </w:pPr>
            <w:r w:rsidRPr="00527CC4">
              <w:rPr>
                <w:sz w:val="20"/>
                <w:szCs w:val="20"/>
              </w:rPr>
              <w:t>E</w:t>
            </w:r>
            <w:r w:rsidRPr="00527CC4">
              <w:rPr>
                <w:b w:val="0"/>
                <w:sz w:val="20"/>
                <w:szCs w:val="20"/>
              </w:rPr>
              <w:t xml:space="preserve"> (tocoferol)</w:t>
            </w:r>
          </w:p>
        </w:tc>
        <w:tc>
          <w:tcPr>
            <w:tcW w:w="1451" w:type="dxa"/>
            <w:vAlign w:val="center"/>
          </w:tcPr>
          <w:p w:rsidR="004D5B16" w:rsidRPr="00527CC4" w:rsidRDefault="004D5B16" w:rsidP="004D5B16">
            <w:pPr>
              <w:pStyle w:val="TM-1n"/>
              <w:numPr>
                <w:ilvl w:val="0"/>
                <w:numId w:val="0"/>
              </w:numPr>
              <w:spacing w:before="120" w:after="0" w:line="276" w:lineRule="auto"/>
              <w:rPr>
                <w:sz w:val="20"/>
                <w:szCs w:val="20"/>
              </w:rPr>
            </w:pPr>
            <w:r w:rsidRPr="00527CC4">
              <w:rPr>
                <w:sz w:val="20"/>
                <w:szCs w:val="20"/>
              </w:rPr>
              <w:t>Lipossolúvel</w:t>
            </w:r>
          </w:p>
        </w:tc>
        <w:tc>
          <w:tcPr>
            <w:tcW w:w="1800" w:type="dxa"/>
            <w:vAlign w:val="center"/>
          </w:tcPr>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Frutos secos, abacate, espinafres, óleos vegetais, ovos, leite</w:t>
            </w:r>
          </w:p>
        </w:tc>
        <w:tc>
          <w:tcPr>
            <w:tcW w:w="1980" w:type="dxa"/>
            <w:vAlign w:val="center"/>
          </w:tcPr>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Antioxidante</w:t>
            </w:r>
          </w:p>
        </w:tc>
        <w:tc>
          <w:tcPr>
            <w:tcW w:w="2340" w:type="dxa"/>
            <w:vAlign w:val="center"/>
          </w:tcPr>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Defeitos neurológicos</w:t>
            </w:r>
          </w:p>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Anemia</w:t>
            </w:r>
          </w:p>
        </w:tc>
      </w:tr>
      <w:tr w:rsidR="004D5B16" w:rsidRPr="00527CC4" w:rsidTr="004D5B16">
        <w:trPr>
          <w:jc w:val="center"/>
        </w:trPr>
        <w:tc>
          <w:tcPr>
            <w:tcW w:w="2109" w:type="dxa"/>
            <w:vAlign w:val="center"/>
          </w:tcPr>
          <w:p w:rsidR="004D5B16" w:rsidRPr="00527CC4" w:rsidRDefault="004D5B16" w:rsidP="004D5B16">
            <w:pPr>
              <w:pStyle w:val="TM-1n"/>
              <w:numPr>
                <w:ilvl w:val="0"/>
                <w:numId w:val="0"/>
              </w:numPr>
              <w:spacing w:before="120" w:after="0" w:line="276" w:lineRule="auto"/>
              <w:rPr>
                <w:b w:val="0"/>
                <w:sz w:val="20"/>
                <w:szCs w:val="20"/>
              </w:rPr>
            </w:pPr>
            <w:r w:rsidRPr="00527CC4">
              <w:rPr>
                <w:sz w:val="20"/>
                <w:szCs w:val="20"/>
              </w:rPr>
              <w:t>K</w:t>
            </w:r>
            <w:r w:rsidRPr="00527CC4">
              <w:rPr>
                <w:b w:val="0"/>
                <w:sz w:val="20"/>
                <w:szCs w:val="20"/>
              </w:rPr>
              <w:t xml:space="preserve"> (fitomenadiona)</w:t>
            </w:r>
          </w:p>
        </w:tc>
        <w:tc>
          <w:tcPr>
            <w:tcW w:w="1451" w:type="dxa"/>
            <w:vAlign w:val="center"/>
          </w:tcPr>
          <w:p w:rsidR="004D5B16" w:rsidRPr="00527CC4" w:rsidRDefault="004D5B16" w:rsidP="004D5B16">
            <w:pPr>
              <w:pStyle w:val="TM-1n"/>
              <w:numPr>
                <w:ilvl w:val="0"/>
                <w:numId w:val="0"/>
              </w:numPr>
              <w:spacing w:before="120" w:after="0" w:line="276" w:lineRule="auto"/>
              <w:rPr>
                <w:sz w:val="20"/>
                <w:szCs w:val="20"/>
              </w:rPr>
            </w:pPr>
            <w:r w:rsidRPr="00527CC4">
              <w:rPr>
                <w:sz w:val="20"/>
                <w:szCs w:val="20"/>
              </w:rPr>
              <w:t>Lipossolúvel</w:t>
            </w:r>
          </w:p>
        </w:tc>
        <w:tc>
          <w:tcPr>
            <w:tcW w:w="1800" w:type="dxa"/>
            <w:vAlign w:val="center"/>
          </w:tcPr>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Espinafres, couve, abacate, salsa, folhas verdes</w:t>
            </w:r>
          </w:p>
        </w:tc>
        <w:tc>
          <w:tcPr>
            <w:tcW w:w="1980" w:type="dxa"/>
            <w:vAlign w:val="center"/>
          </w:tcPr>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Coagulação</w:t>
            </w:r>
          </w:p>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Metabolismo ósseo</w:t>
            </w:r>
          </w:p>
        </w:tc>
        <w:tc>
          <w:tcPr>
            <w:tcW w:w="2340" w:type="dxa"/>
            <w:vAlign w:val="center"/>
          </w:tcPr>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Anemia</w:t>
            </w:r>
          </w:p>
          <w:p w:rsidR="004D5B16" w:rsidRPr="00527CC4" w:rsidRDefault="004D5B16" w:rsidP="004D5B16">
            <w:pPr>
              <w:pStyle w:val="TM-1n"/>
              <w:numPr>
                <w:ilvl w:val="0"/>
                <w:numId w:val="0"/>
              </w:numPr>
              <w:spacing w:before="120" w:after="0" w:line="276" w:lineRule="auto"/>
              <w:rPr>
                <w:b w:val="0"/>
                <w:sz w:val="20"/>
                <w:szCs w:val="20"/>
              </w:rPr>
            </w:pPr>
            <w:r w:rsidRPr="00527CC4">
              <w:rPr>
                <w:b w:val="0"/>
                <w:sz w:val="20"/>
                <w:szCs w:val="20"/>
              </w:rPr>
              <w:t>Defeitos de coagulação</w:t>
            </w:r>
          </w:p>
        </w:tc>
      </w:tr>
    </w:tbl>
    <w:p w:rsidR="004D5B16" w:rsidRDefault="004D5B16" w:rsidP="004D5B16">
      <w:pPr>
        <w:pStyle w:val="TM-1n"/>
        <w:numPr>
          <w:ilvl w:val="0"/>
          <w:numId w:val="0"/>
        </w:numPr>
        <w:spacing w:before="120" w:after="0" w:line="276" w:lineRule="auto"/>
        <w:ind w:left="284"/>
      </w:pPr>
    </w:p>
    <w:p w:rsidR="004D5B16" w:rsidRDefault="004D5B16" w:rsidP="004D5B16">
      <w:pPr>
        <w:pStyle w:val="TM-1n"/>
        <w:numPr>
          <w:ilvl w:val="0"/>
          <w:numId w:val="0"/>
        </w:numPr>
        <w:spacing w:before="120" w:after="0" w:line="276" w:lineRule="auto"/>
        <w:ind w:left="284"/>
      </w:pPr>
      <w:r>
        <w:br w:type="page"/>
      </w:r>
    </w:p>
    <w:p w:rsidR="004D5B16" w:rsidRPr="007F10EF" w:rsidRDefault="004D5B16" w:rsidP="004D5B16">
      <w:pPr>
        <w:shd w:val="clear" w:color="auto" w:fill="B8CCE4"/>
        <w:tabs>
          <w:tab w:val="left" w:pos="1276"/>
          <w:tab w:val="right" w:pos="8550"/>
        </w:tabs>
        <w:spacing w:before="120"/>
        <w:ind w:right="-43"/>
        <w:jc w:val="both"/>
        <w:rPr>
          <w:rFonts w:cs="Arial"/>
          <w:b/>
          <w:sz w:val="24"/>
          <w:szCs w:val="24"/>
        </w:rPr>
      </w:pPr>
      <w:r>
        <w:rPr>
          <w:rFonts w:cs="Arial"/>
          <w:b/>
          <w:sz w:val="24"/>
          <w:szCs w:val="24"/>
        </w:rPr>
        <w:lastRenderedPageBreak/>
        <w:t>BLOCO 6: PONTOS-CHAVE</w:t>
      </w:r>
    </w:p>
    <w:p w:rsidR="004D5B16" w:rsidRPr="000B25DB" w:rsidRDefault="004D5B16" w:rsidP="00C52E09">
      <w:pPr>
        <w:pStyle w:val="TM-4n"/>
        <w:numPr>
          <w:ilvl w:val="1"/>
          <w:numId w:val="40"/>
        </w:numPr>
        <w:tabs>
          <w:tab w:val="clear" w:pos="1134"/>
        </w:tabs>
        <w:spacing w:before="120" w:after="0" w:line="276" w:lineRule="auto"/>
      </w:pPr>
      <w:r w:rsidRPr="000B25DB">
        <w:t>Os ácidos nucleicos são polímeros de nucleótidos</w:t>
      </w:r>
      <w:r>
        <w:t xml:space="preserve"> (grupo fosfato, pentose e bases nitrogenadas)</w:t>
      </w:r>
      <w:r w:rsidRPr="000B25DB">
        <w:t>, e são os responsáveis da conservação, expressão e transmissão da informação genética</w:t>
      </w:r>
    </w:p>
    <w:p w:rsidR="004D5B16" w:rsidRDefault="004D5B16" w:rsidP="00C52E09">
      <w:pPr>
        <w:pStyle w:val="TM-4n"/>
        <w:numPr>
          <w:ilvl w:val="1"/>
          <w:numId w:val="40"/>
        </w:numPr>
        <w:tabs>
          <w:tab w:val="clear" w:pos="1134"/>
        </w:tabs>
        <w:spacing w:before="120" w:after="0" w:line="276" w:lineRule="auto"/>
      </w:pPr>
      <w:r>
        <w:t>O ADN carrega a informação genética, conserva (através da replicação) e transmite (através da transcrição) ao ARN</w:t>
      </w:r>
    </w:p>
    <w:p w:rsidR="004D5B16" w:rsidRDefault="004D5B16" w:rsidP="00C52E09">
      <w:pPr>
        <w:pStyle w:val="TM-4n"/>
        <w:numPr>
          <w:ilvl w:val="1"/>
          <w:numId w:val="40"/>
        </w:numPr>
        <w:tabs>
          <w:tab w:val="clear" w:pos="1134"/>
        </w:tabs>
        <w:spacing w:before="120" w:after="0" w:line="276" w:lineRule="auto"/>
      </w:pPr>
      <w:r>
        <w:t>O ARN</w:t>
      </w:r>
      <w:r w:rsidRPr="00CE308D">
        <w:t xml:space="preserve"> </w:t>
      </w:r>
      <w:r w:rsidRPr="000B25DB">
        <w:t>age como intermediário na transmissão de informação entre o ADN e as proteínas</w:t>
      </w:r>
      <w:r>
        <w:t xml:space="preserve"> (tradução)</w:t>
      </w:r>
    </w:p>
    <w:p w:rsidR="004D5B16" w:rsidRPr="000B25DB" w:rsidRDefault="004D5B16" w:rsidP="00C52E09">
      <w:pPr>
        <w:pStyle w:val="TM-4n"/>
        <w:numPr>
          <w:ilvl w:val="1"/>
          <w:numId w:val="40"/>
        </w:numPr>
        <w:tabs>
          <w:tab w:val="clear" w:pos="1134"/>
        </w:tabs>
        <w:spacing w:before="120" w:after="0" w:line="276" w:lineRule="auto"/>
      </w:pPr>
      <w:r w:rsidRPr="000B25DB">
        <w:t>Existem 3 tipos principais de ARN: mensageiro, ribossomal, e transportador</w:t>
      </w:r>
    </w:p>
    <w:p w:rsidR="004D5B16" w:rsidRDefault="004D5B16" w:rsidP="00C52E09">
      <w:pPr>
        <w:pStyle w:val="TM-4n"/>
        <w:numPr>
          <w:ilvl w:val="1"/>
          <w:numId w:val="40"/>
        </w:numPr>
        <w:tabs>
          <w:tab w:val="clear" w:pos="1134"/>
        </w:tabs>
        <w:spacing w:before="120" w:after="0" w:line="276" w:lineRule="auto"/>
      </w:pPr>
      <w:r>
        <w:t>A complementaridade de bases garante a transmissão precisa de informação entre o ADN e o ARN, e deste para as proteínas.</w:t>
      </w:r>
    </w:p>
    <w:p w:rsidR="004D5B16" w:rsidRDefault="004D5B16" w:rsidP="00C52E09">
      <w:pPr>
        <w:pStyle w:val="TM-4n"/>
        <w:numPr>
          <w:ilvl w:val="1"/>
          <w:numId w:val="40"/>
        </w:numPr>
        <w:tabs>
          <w:tab w:val="clear" w:pos="1134"/>
        </w:tabs>
        <w:spacing w:before="120" w:after="0" w:line="276" w:lineRule="auto"/>
      </w:pPr>
      <w:r>
        <w:t>Os micronutrientes são substâncias necessárias para a vida em quantidades muito pequenas.</w:t>
      </w:r>
    </w:p>
    <w:p w:rsidR="004D5B16" w:rsidRDefault="004D5B16" w:rsidP="00C52E09">
      <w:pPr>
        <w:pStyle w:val="TM-4n"/>
        <w:numPr>
          <w:ilvl w:val="1"/>
          <w:numId w:val="40"/>
        </w:numPr>
        <w:tabs>
          <w:tab w:val="clear" w:pos="1134"/>
        </w:tabs>
        <w:spacing w:before="120" w:after="0" w:line="276" w:lineRule="auto"/>
      </w:pPr>
      <w:r>
        <w:t>Os principais micronutrientes são minerais e vitaminas.</w:t>
      </w:r>
    </w:p>
    <w:p w:rsidR="004D5B16" w:rsidRDefault="004D5B16" w:rsidP="00C52E09">
      <w:pPr>
        <w:pStyle w:val="TM-4n"/>
        <w:numPr>
          <w:ilvl w:val="1"/>
          <w:numId w:val="40"/>
        </w:numPr>
        <w:tabs>
          <w:tab w:val="clear" w:pos="1134"/>
        </w:tabs>
        <w:spacing w:before="120" w:after="0" w:line="276" w:lineRule="auto"/>
      </w:pPr>
      <w:r>
        <w:t>A falta de iodo causa o hipotiroidismo.</w:t>
      </w:r>
    </w:p>
    <w:p w:rsidR="004D5B16" w:rsidRDefault="004D5B16" w:rsidP="00C52E09">
      <w:pPr>
        <w:pStyle w:val="TM-4n"/>
        <w:numPr>
          <w:ilvl w:val="1"/>
          <w:numId w:val="40"/>
        </w:numPr>
        <w:tabs>
          <w:tab w:val="clear" w:pos="1134"/>
        </w:tabs>
        <w:spacing w:before="120" w:after="0" w:line="276" w:lineRule="auto"/>
      </w:pPr>
      <w:r>
        <w:t>A falta de ferro está associada com o aparecimento da anemia.</w:t>
      </w:r>
    </w:p>
    <w:p w:rsidR="004D5B16" w:rsidRPr="00527CC4" w:rsidRDefault="004D5B16" w:rsidP="00C52E09">
      <w:pPr>
        <w:pStyle w:val="TM-4n"/>
        <w:numPr>
          <w:ilvl w:val="1"/>
          <w:numId w:val="40"/>
        </w:numPr>
        <w:tabs>
          <w:tab w:val="clear" w:pos="1134"/>
        </w:tabs>
        <w:spacing w:before="120" w:after="0" w:line="276" w:lineRule="auto"/>
      </w:pPr>
      <w:r w:rsidRPr="00527CC4">
        <w:t>As vitaminas não podem ser sintetizadas pelo organismo em quantidades suficientes, e por isso é preciso obter elas de fontes externas.</w:t>
      </w:r>
    </w:p>
    <w:p w:rsidR="004D5B16" w:rsidRPr="000B25DB" w:rsidRDefault="004D5B16" w:rsidP="00C52E09">
      <w:pPr>
        <w:pStyle w:val="TM-4n"/>
        <w:numPr>
          <w:ilvl w:val="1"/>
          <w:numId w:val="40"/>
        </w:numPr>
        <w:tabs>
          <w:tab w:val="clear" w:pos="1134"/>
        </w:tabs>
        <w:spacing w:before="120" w:after="0" w:line="276" w:lineRule="auto"/>
        <w:rPr>
          <w:b/>
          <w:bCs/>
        </w:rPr>
      </w:pPr>
      <w:r w:rsidRPr="00527CC4">
        <w:t>As vitaminas se dividem em dois grandes grupos: vitaminas hidrossolúveis (solúveis em água</w:t>
      </w:r>
      <w:r>
        <w:t>) e vitaminas lipossolúveis (solúveis em lípidos - ADEK).</w:t>
      </w:r>
    </w:p>
    <w:p w:rsidR="004D5B16" w:rsidRDefault="004D5B16" w:rsidP="00C52E09">
      <w:pPr>
        <w:pStyle w:val="TM-4n"/>
        <w:numPr>
          <w:ilvl w:val="1"/>
          <w:numId w:val="40"/>
        </w:numPr>
        <w:tabs>
          <w:tab w:val="clear" w:pos="1134"/>
        </w:tabs>
        <w:spacing w:before="120" w:after="0" w:line="276" w:lineRule="auto"/>
      </w:pPr>
      <w:r>
        <w:t>A vitamina A é uma vitamina hidrossolúvel e a sua falta causa alterações da visão, do sistema imunitário e da pele.</w:t>
      </w:r>
    </w:p>
    <w:p w:rsidR="00D51901" w:rsidRDefault="00D51901">
      <w:pPr>
        <w:rPr>
          <w:lang w:val="pt-PT"/>
        </w:rPr>
      </w:pPr>
      <w:r>
        <w:rPr>
          <w:lang w:val="pt-PT"/>
        </w:rPr>
        <w:br w:type="page"/>
      </w:r>
    </w:p>
    <w:tbl>
      <w:tblPr>
        <w:tblW w:w="10240" w:type="dxa"/>
        <w:tblLayout w:type="fixed"/>
        <w:tblCellMar>
          <w:left w:w="70" w:type="dxa"/>
          <w:right w:w="70" w:type="dxa"/>
        </w:tblCellMar>
        <w:tblLook w:val="0020" w:firstRow="1" w:lastRow="0" w:firstColumn="0" w:lastColumn="0" w:noHBand="0" w:noVBand="0"/>
      </w:tblPr>
      <w:tblGrid>
        <w:gridCol w:w="1600"/>
        <w:gridCol w:w="5130"/>
        <w:gridCol w:w="1710"/>
        <w:gridCol w:w="1800"/>
      </w:tblGrid>
      <w:tr w:rsidR="004D5B16" w:rsidRPr="00134F89" w:rsidTr="00FC6E81">
        <w:trPr>
          <w:cantSplit/>
          <w:trHeight w:val="413"/>
        </w:trPr>
        <w:tc>
          <w:tcPr>
            <w:tcW w:w="1600" w:type="dxa"/>
            <w:tcBorders>
              <w:top w:val="single" w:sz="6" w:space="0" w:color="000000"/>
              <w:left w:val="single" w:sz="6" w:space="0" w:color="000000"/>
              <w:bottom w:val="single" w:sz="6" w:space="0" w:color="000000"/>
              <w:right w:val="single" w:sz="6" w:space="0" w:color="000000"/>
            </w:tcBorders>
            <w:vAlign w:val="center"/>
          </w:tcPr>
          <w:p w:rsidR="004D5B16" w:rsidRPr="00134F89" w:rsidRDefault="004D5B16" w:rsidP="004D5B16">
            <w:pPr>
              <w:jc w:val="both"/>
              <w:rPr>
                <w:rFonts w:cs="Arial"/>
                <w:b/>
                <w:lang w:val="pt-PT"/>
              </w:rPr>
            </w:pPr>
            <w:r w:rsidRPr="00134F89">
              <w:rPr>
                <w:rFonts w:cs="Arial"/>
                <w:b/>
                <w:lang w:val="pt-PT"/>
              </w:rPr>
              <w:lastRenderedPageBreak/>
              <w:t>Disciplina</w:t>
            </w:r>
          </w:p>
        </w:tc>
        <w:tc>
          <w:tcPr>
            <w:tcW w:w="5130" w:type="dxa"/>
            <w:tcBorders>
              <w:top w:val="single" w:sz="6" w:space="0" w:color="000000"/>
              <w:left w:val="single" w:sz="6" w:space="0" w:color="000000"/>
              <w:bottom w:val="single" w:sz="6" w:space="0" w:color="000000"/>
              <w:right w:val="single" w:sz="6" w:space="0" w:color="000000"/>
            </w:tcBorders>
            <w:vAlign w:val="center"/>
          </w:tcPr>
          <w:p w:rsidR="004D5B16" w:rsidRPr="00F53619" w:rsidRDefault="004D5B16" w:rsidP="004D5B16">
            <w:pPr>
              <w:rPr>
                <w:rFonts w:cs="Arial"/>
              </w:rPr>
            </w:pPr>
            <w:r w:rsidRPr="00F53619">
              <w:rPr>
                <w:rFonts w:cs="Arial"/>
              </w:rPr>
              <w:t>Introdução às Ciências Médicas</w:t>
            </w:r>
          </w:p>
        </w:tc>
        <w:tc>
          <w:tcPr>
            <w:tcW w:w="1710" w:type="dxa"/>
            <w:tcBorders>
              <w:top w:val="single" w:sz="6" w:space="0" w:color="000000"/>
              <w:left w:val="single" w:sz="6" w:space="0" w:color="000000"/>
              <w:bottom w:val="single" w:sz="6" w:space="0" w:color="000000"/>
              <w:right w:val="single" w:sz="6" w:space="0" w:color="000000"/>
            </w:tcBorders>
            <w:vAlign w:val="center"/>
          </w:tcPr>
          <w:p w:rsidR="004D5B16" w:rsidRPr="00134F89" w:rsidRDefault="004D5B16" w:rsidP="004D5B16">
            <w:pPr>
              <w:jc w:val="both"/>
              <w:rPr>
                <w:rFonts w:cs="Arial"/>
                <w:b/>
                <w:lang w:val="pt-PT"/>
              </w:rPr>
            </w:pPr>
            <w:r w:rsidRPr="00134F89">
              <w:rPr>
                <w:rFonts w:cs="Arial"/>
                <w:b/>
                <w:lang w:val="pt-PT"/>
              </w:rPr>
              <w:t xml:space="preserve">N° da Aula </w:t>
            </w:r>
          </w:p>
        </w:tc>
        <w:tc>
          <w:tcPr>
            <w:tcW w:w="1800" w:type="dxa"/>
            <w:tcBorders>
              <w:top w:val="single" w:sz="6" w:space="0" w:color="000000"/>
              <w:left w:val="single" w:sz="6" w:space="0" w:color="000000"/>
              <w:bottom w:val="single" w:sz="6" w:space="0" w:color="000000"/>
              <w:right w:val="single" w:sz="6" w:space="0" w:color="000000"/>
            </w:tcBorders>
            <w:vAlign w:val="center"/>
          </w:tcPr>
          <w:p w:rsidR="004D5B16" w:rsidRPr="00506DE0" w:rsidRDefault="004D5B16" w:rsidP="004D5B16">
            <w:pPr>
              <w:jc w:val="center"/>
              <w:rPr>
                <w:rFonts w:cs="Arial"/>
                <w:lang w:val="pt-PT"/>
              </w:rPr>
            </w:pPr>
            <w:r w:rsidRPr="00506DE0">
              <w:rPr>
                <w:rFonts w:cs="Arial"/>
                <w:lang w:val="pt-PT"/>
              </w:rPr>
              <w:t>4</w:t>
            </w:r>
          </w:p>
        </w:tc>
      </w:tr>
      <w:tr w:rsidR="004D5B16" w:rsidRPr="00134F89" w:rsidTr="00FC6E81">
        <w:trPr>
          <w:cantSplit/>
          <w:trHeight w:val="413"/>
        </w:trPr>
        <w:tc>
          <w:tcPr>
            <w:tcW w:w="1600" w:type="dxa"/>
            <w:tcBorders>
              <w:top w:val="single" w:sz="6" w:space="0" w:color="000000"/>
              <w:left w:val="single" w:sz="6" w:space="0" w:color="000000"/>
              <w:bottom w:val="single" w:sz="6" w:space="0" w:color="000000"/>
              <w:right w:val="single" w:sz="6" w:space="0" w:color="000000"/>
            </w:tcBorders>
            <w:vAlign w:val="center"/>
          </w:tcPr>
          <w:p w:rsidR="004D5B16" w:rsidRPr="00134F89" w:rsidRDefault="004D5B16" w:rsidP="004D5B16">
            <w:pPr>
              <w:jc w:val="both"/>
              <w:rPr>
                <w:rFonts w:cs="Arial"/>
                <w:b/>
                <w:lang w:val="pt-PT"/>
              </w:rPr>
            </w:pPr>
            <w:r w:rsidRPr="00134F89">
              <w:rPr>
                <w:rFonts w:cs="Arial"/>
                <w:b/>
                <w:lang w:val="pt-PT"/>
              </w:rPr>
              <w:t>Tópico</w:t>
            </w:r>
          </w:p>
        </w:tc>
        <w:tc>
          <w:tcPr>
            <w:tcW w:w="5130" w:type="dxa"/>
            <w:tcBorders>
              <w:top w:val="single" w:sz="6" w:space="0" w:color="000000"/>
              <w:left w:val="single" w:sz="6" w:space="0" w:color="000000"/>
              <w:bottom w:val="single" w:sz="6" w:space="0" w:color="000000"/>
              <w:right w:val="single" w:sz="6" w:space="0" w:color="000000"/>
            </w:tcBorders>
            <w:vAlign w:val="center"/>
          </w:tcPr>
          <w:p w:rsidR="004D5B16" w:rsidRPr="00134F89" w:rsidRDefault="004D5B16" w:rsidP="004D5B16">
            <w:pPr>
              <w:jc w:val="both"/>
              <w:rPr>
                <w:rFonts w:cs="Arial"/>
                <w:b/>
                <w:lang w:val="pt-PT"/>
              </w:rPr>
            </w:pPr>
            <w:r>
              <w:rPr>
                <w:rFonts w:cs="Arial"/>
              </w:rPr>
              <w:t>Imunologia (1)</w:t>
            </w:r>
          </w:p>
        </w:tc>
        <w:tc>
          <w:tcPr>
            <w:tcW w:w="1710" w:type="dxa"/>
            <w:tcBorders>
              <w:top w:val="single" w:sz="6" w:space="0" w:color="000000"/>
              <w:left w:val="single" w:sz="6" w:space="0" w:color="000000"/>
              <w:bottom w:val="single" w:sz="6" w:space="0" w:color="000000"/>
              <w:right w:val="single" w:sz="6" w:space="0" w:color="000000"/>
            </w:tcBorders>
            <w:vAlign w:val="center"/>
          </w:tcPr>
          <w:p w:rsidR="004D5B16" w:rsidRPr="00134F89" w:rsidRDefault="004D5B16" w:rsidP="004D5B16">
            <w:pPr>
              <w:jc w:val="both"/>
              <w:rPr>
                <w:rFonts w:cs="Arial"/>
                <w:b/>
                <w:lang w:val="pt-PT"/>
              </w:rPr>
            </w:pPr>
            <w:r w:rsidRPr="00134F89">
              <w:rPr>
                <w:rFonts w:cs="Arial"/>
                <w:b/>
                <w:lang w:val="pt-PT"/>
              </w:rPr>
              <w:t xml:space="preserve">Tipo </w:t>
            </w:r>
          </w:p>
        </w:tc>
        <w:tc>
          <w:tcPr>
            <w:tcW w:w="1800" w:type="dxa"/>
            <w:tcBorders>
              <w:top w:val="single" w:sz="6" w:space="0" w:color="000000"/>
              <w:left w:val="single" w:sz="6" w:space="0" w:color="000000"/>
              <w:bottom w:val="single" w:sz="6" w:space="0" w:color="000000"/>
              <w:right w:val="single" w:sz="6" w:space="0" w:color="000000"/>
            </w:tcBorders>
            <w:vAlign w:val="center"/>
          </w:tcPr>
          <w:p w:rsidR="004D5B16" w:rsidRPr="00506DE0" w:rsidRDefault="004D5B16" w:rsidP="004D5B16">
            <w:pPr>
              <w:jc w:val="center"/>
              <w:rPr>
                <w:rFonts w:cs="Arial"/>
                <w:lang w:val="pt-PT"/>
              </w:rPr>
            </w:pPr>
            <w:r w:rsidRPr="00506DE0">
              <w:rPr>
                <w:rFonts w:cs="Arial"/>
                <w:lang w:val="pt-PT"/>
              </w:rPr>
              <w:t>Teórica</w:t>
            </w:r>
          </w:p>
        </w:tc>
      </w:tr>
      <w:tr w:rsidR="004D5B16" w:rsidRPr="00134F89" w:rsidTr="00FC6E81">
        <w:trPr>
          <w:cantSplit/>
          <w:trHeight w:val="414"/>
        </w:trPr>
        <w:tc>
          <w:tcPr>
            <w:tcW w:w="1600" w:type="dxa"/>
            <w:tcBorders>
              <w:top w:val="single" w:sz="6" w:space="0" w:color="000000"/>
              <w:left w:val="single" w:sz="6" w:space="0" w:color="000000"/>
              <w:bottom w:val="single" w:sz="6" w:space="0" w:color="000000"/>
              <w:right w:val="single" w:sz="6" w:space="0" w:color="000000"/>
            </w:tcBorders>
            <w:vAlign w:val="center"/>
          </w:tcPr>
          <w:p w:rsidR="004D5B16" w:rsidRPr="00134F89" w:rsidRDefault="004D5B16" w:rsidP="004D5B16">
            <w:pPr>
              <w:jc w:val="both"/>
              <w:rPr>
                <w:rFonts w:cs="Arial"/>
                <w:b/>
                <w:lang w:val="pt-PT"/>
              </w:rPr>
            </w:pPr>
            <w:r w:rsidRPr="00134F89">
              <w:rPr>
                <w:rFonts w:cs="Arial"/>
                <w:b/>
                <w:lang w:val="pt-PT"/>
              </w:rPr>
              <w:t>Conteúdos</w:t>
            </w:r>
          </w:p>
        </w:tc>
        <w:tc>
          <w:tcPr>
            <w:tcW w:w="5130" w:type="dxa"/>
            <w:tcBorders>
              <w:top w:val="single" w:sz="6" w:space="0" w:color="000000"/>
              <w:left w:val="single" w:sz="6" w:space="0" w:color="000000"/>
              <w:bottom w:val="single" w:sz="6" w:space="0" w:color="000000"/>
              <w:right w:val="single" w:sz="6" w:space="0" w:color="000000"/>
            </w:tcBorders>
            <w:vAlign w:val="center"/>
          </w:tcPr>
          <w:p w:rsidR="004D5B16" w:rsidRPr="00D51901" w:rsidRDefault="004D5B16" w:rsidP="004D5B16">
            <w:pPr>
              <w:pStyle w:val="Heading1"/>
              <w:rPr>
                <w:b w:val="0"/>
                <w:sz w:val="22"/>
                <w:szCs w:val="22"/>
                <w:lang w:val="pt-PT"/>
              </w:rPr>
            </w:pPr>
            <w:bookmarkStart w:id="8" w:name="_Toc329099752"/>
            <w:r w:rsidRPr="00D51901">
              <w:rPr>
                <w:b w:val="0"/>
                <w:sz w:val="22"/>
                <w:szCs w:val="22"/>
                <w:lang w:val="pt-BR"/>
              </w:rPr>
              <w:t>Resposta Imune</w:t>
            </w:r>
            <w:bookmarkEnd w:id="8"/>
          </w:p>
        </w:tc>
        <w:tc>
          <w:tcPr>
            <w:tcW w:w="1710" w:type="dxa"/>
            <w:tcBorders>
              <w:top w:val="single" w:sz="6" w:space="0" w:color="000000"/>
              <w:left w:val="single" w:sz="6" w:space="0" w:color="000000"/>
              <w:bottom w:val="single" w:sz="6" w:space="0" w:color="000000"/>
              <w:right w:val="single" w:sz="6" w:space="0" w:color="000000"/>
            </w:tcBorders>
            <w:vAlign w:val="center"/>
          </w:tcPr>
          <w:p w:rsidR="004D5B16" w:rsidRPr="00134F89" w:rsidRDefault="004D5B16" w:rsidP="004D5B16">
            <w:pPr>
              <w:jc w:val="both"/>
              <w:rPr>
                <w:rFonts w:cs="Arial"/>
                <w:b/>
                <w:lang w:val="pt-PT"/>
              </w:rPr>
            </w:pPr>
            <w:r w:rsidRPr="00134F89">
              <w:rPr>
                <w:rFonts w:cs="Arial"/>
                <w:b/>
                <w:lang w:val="pt-PT"/>
              </w:rPr>
              <w:t>Duração</w:t>
            </w:r>
          </w:p>
        </w:tc>
        <w:tc>
          <w:tcPr>
            <w:tcW w:w="1800" w:type="dxa"/>
            <w:tcBorders>
              <w:top w:val="single" w:sz="6" w:space="0" w:color="000000"/>
              <w:left w:val="single" w:sz="6" w:space="0" w:color="000000"/>
              <w:bottom w:val="single" w:sz="6" w:space="0" w:color="000000"/>
              <w:right w:val="single" w:sz="6" w:space="0" w:color="000000"/>
            </w:tcBorders>
            <w:vAlign w:val="center"/>
          </w:tcPr>
          <w:p w:rsidR="004D5B16" w:rsidRPr="00506DE0" w:rsidRDefault="004D5B16" w:rsidP="004D5B16">
            <w:pPr>
              <w:jc w:val="center"/>
              <w:rPr>
                <w:rFonts w:cs="Arial"/>
                <w:lang w:val="pt-PT"/>
              </w:rPr>
            </w:pPr>
            <w:r w:rsidRPr="00506DE0">
              <w:rPr>
                <w:rFonts w:cs="Arial"/>
                <w:lang w:val="pt-PT"/>
              </w:rPr>
              <w:t>2h</w:t>
            </w:r>
          </w:p>
        </w:tc>
      </w:tr>
    </w:tbl>
    <w:p w:rsidR="004D5B16" w:rsidRPr="00134F89" w:rsidRDefault="004D5B16" w:rsidP="004D5B16">
      <w:pPr>
        <w:spacing w:line="120" w:lineRule="auto"/>
        <w:jc w:val="both"/>
        <w:rPr>
          <w:rFonts w:cs="Arial"/>
          <w:lang w:val="pt-PT"/>
        </w:rPr>
      </w:pPr>
    </w:p>
    <w:p w:rsidR="004D5B16" w:rsidRPr="0052785B" w:rsidRDefault="004D5B16" w:rsidP="0052785B">
      <w:pPr>
        <w:rPr>
          <w:b/>
          <w:lang w:val="pt-PT"/>
        </w:rPr>
      </w:pPr>
      <w:r w:rsidRPr="0052785B">
        <w:rPr>
          <w:b/>
          <w:lang w:val="pt-PT"/>
        </w:rPr>
        <w:t>Objectivos de Aprendizagem</w:t>
      </w:r>
    </w:p>
    <w:p w:rsidR="004D5B16" w:rsidRPr="004D5B16" w:rsidRDefault="004D5B16" w:rsidP="004D5B16">
      <w:pPr>
        <w:spacing w:before="60"/>
        <w:rPr>
          <w:rFonts w:cs="Arial"/>
          <w:lang w:val="pt-BR"/>
        </w:rPr>
      </w:pPr>
      <w:r w:rsidRPr="004D5B16">
        <w:rPr>
          <w:rFonts w:cs="Arial"/>
          <w:lang w:val="pt-BR"/>
        </w:rPr>
        <w:t>Até ao fim da aula os alunos devem ser capazes de:</w:t>
      </w:r>
    </w:p>
    <w:p w:rsidR="004D5B16" w:rsidRPr="004D5B16" w:rsidRDefault="004D5B16" w:rsidP="00C52E09">
      <w:pPr>
        <w:pStyle w:val="ListParagraph"/>
        <w:numPr>
          <w:ilvl w:val="0"/>
          <w:numId w:val="42"/>
        </w:numPr>
        <w:spacing w:before="60" w:after="0"/>
        <w:contextualSpacing w:val="0"/>
        <w:rPr>
          <w:rFonts w:cs="Arial"/>
          <w:lang w:val="pt-BR"/>
        </w:rPr>
      </w:pPr>
      <w:r w:rsidRPr="004D5B16">
        <w:rPr>
          <w:rFonts w:cs="Arial"/>
          <w:lang w:val="pt-BR"/>
        </w:rPr>
        <w:t>Resumir os conceitos básicos da imunidade</w:t>
      </w:r>
    </w:p>
    <w:p w:rsidR="004D5B16" w:rsidRPr="004D5B16" w:rsidRDefault="004D5B16" w:rsidP="00C52E09">
      <w:pPr>
        <w:pStyle w:val="ListParagraph"/>
        <w:numPr>
          <w:ilvl w:val="0"/>
          <w:numId w:val="42"/>
        </w:numPr>
        <w:spacing w:before="60" w:after="0"/>
        <w:contextualSpacing w:val="0"/>
        <w:rPr>
          <w:rFonts w:cs="Arial"/>
          <w:lang w:val="pt-BR"/>
        </w:rPr>
      </w:pPr>
      <w:r w:rsidRPr="004D5B16">
        <w:rPr>
          <w:rFonts w:cs="Arial"/>
          <w:lang w:val="pt-BR"/>
        </w:rPr>
        <w:t>Explicar em que consistem a imunidade humoral e a imunidade celular</w:t>
      </w:r>
    </w:p>
    <w:p w:rsidR="004D5B16" w:rsidRPr="004D5B16" w:rsidRDefault="004D5B16" w:rsidP="00C52E09">
      <w:pPr>
        <w:pStyle w:val="ListParagraph"/>
        <w:numPr>
          <w:ilvl w:val="0"/>
          <w:numId w:val="42"/>
        </w:numPr>
        <w:spacing w:before="60" w:after="0"/>
        <w:contextualSpacing w:val="0"/>
        <w:rPr>
          <w:rFonts w:cs="Arial"/>
          <w:lang w:val="pt-BR"/>
        </w:rPr>
      </w:pPr>
      <w:r w:rsidRPr="004D5B16">
        <w:rPr>
          <w:rFonts w:cs="Arial"/>
          <w:lang w:val="pt-BR"/>
        </w:rPr>
        <w:t>Definir antigénios e indicar os diferentes tipos</w:t>
      </w:r>
    </w:p>
    <w:p w:rsidR="004D5B16" w:rsidRPr="004D5B16" w:rsidRDefault="004D5B16" w:rsidP="00C52E09">
      <w:pPr>
        <w:pStyle w:val="ListParagraph"/>
        <w:numPr>
          <w:ilvl w:val="0"/>
          <w:numId w:val="42"/>
        </w:numPr>
        <w:spacing w:before="60" w:after="0"/>
        <w:contextualSpacing w:val="0"/>
        <w:rPr>
          <w:rFonts w:cs="Arial"/>
          <w:lang w:val="pt-BR"/>
        </w:rPr>
      </w:pPr>
      <w:r w:rsidRPr="004D5B16">
        <w:rPr>
          <w:rFonts w:cs="Arial"/>
          <w:lang w:val="pt-BR"/>
        </w:rPr>
        <w:t>Definir anticorpos e indicar os diferentes tipos</w:t>
      </w:r>
    </w:p>
    <w:p w:rsidR="004D5B16" w:rsidRPr="004D5B16" w:rsidRDefault="004D5B16" w:rsidP="00C52E09">
      <w:pPr>
        <w:pStyle w:val="ListParagraph"/>
        <w:numPr>
          <w:ilvl w:val="0"/>
          <w:numId w:val="42"/>
        </w:numPr>
        <w:spacing w:before="60" w:after="0"/>
        <w:contextualSpacing w:val="0"/>
        <w:rPr>
          <w:rFonts w:cs="Arial"/>
          <w:lang w:val="pt-BR"/>
        </w:rPr>
      </w:pPr>
      <w:r w:rsidRPr="004D5B16">
        <w:rPr>
          <w:rFonts w:cs="Arial"/>
          <w:lang w:val="pt-BR"/>
        </w:rPr>
        <w:t>Identificar as células e tecidos do sistema imune</w:t>
      </w:r>
    </w:p>
    <w:p w:rsidR="004D5B16" w:rsidRDefault="004D5B16" w:rsidP="004D5B16">
      <w:pPr>
        <w:tabs>
          <w:tab w:val="left" w:pos="424"/>
        </w:tabs>
        <w:jc w:val="both"/>
        <w:rPr>
          <w:rFonts w:cs="Arial"/>
          <w:b/>
          <w:lang w:val="pt-BR"/>
        </w:rPr>
      </w:pPr>
    </w:p>
    <w:p w:rsidR="004D5B16" w:rsidRPr="0052785B" w:rsidRDefault="004D5B16" w:rsidP="0052785B">
      <w:pPr>
        <w:rPr>
          <w:b/>
        </w:rPr>
      </w:pPr>
      <w:r w:rsidRPr="0052785B">
        <w:rPr>
          <w:b/>
        </w:rPr>
        <w:t>Estrutura da Aula</w:t>
      </w:r>
    </w:p>
    <w:tbl>
      <w:tblPr>
        <w:tblW w:w="10188" w:type="dxa"/>
        <w:tblBorders>
          <w:top w:val="single" w:sz="18" w:space="0" w:color="auto"/>
          <w:bottom w:val="single" w:sz="18" w:space="0" w:color="auto"/>
        </w:tblBorders>
        <w:tblLayout w:type="fixed"/>
        <w:tblLook w:val="0400" w:firstRow="0" w:lastRow="0" w:firstColumn="0" w:lastColumn="0" w:noHBand="0" w:noVBand="1"/>
      </w:tblPr>
      <w:tblGrid>
        <w:gridCol w:w="738"/>
        <w:gridCol w:w="3240"/>
        <w:gridCol w:w="3780"/>
        <w:gridCol w:w="2430"/>
      </w:tblGrid>
      <w:tr w:rsidR="004D5B16" w:rsidRPr="007A6934" w:rsidTr="00FC6E81">
        <w:trPr>
          <w:trHeight w:val="490"/>
        </w:trPr>
        <w:tc>
          <w:tcPr>
            <w:tcW w:w="738" w:type="dxa"/>
            <w:tcBorders>
              <w:top w:val="single" w:sz="18" w:space="0" w:color="auto"/>
              <w:bottom w:val="single" w:sz="18" w:space="0" w:color="auto"/>
              <w:right w:val="single" w:sz="4" w:space="0" w:color="auto"/>
            </w:tcBorders>
            <w:shd w:val="clear" w:color="auto" w:fill="B8CCE4"/>
          </w:tcPr>
          <w:p w:rsidR="004D5B16" w:rsidRPr="007A6934" w:rsidRDefault="004D5B16" w:rsidP="004D5B16">
            <w:pPr>
              <w:ind w:left="-110" w:right="-108"/>
              <w:jc w:val="center"/>
              <w:rPr>
                <w:rFonts w:cs="Arial"/>
                <w:b/>
                <w:sz w:val="20"/>
                <w:szCs w:val="20"/>
              </w:rPr>
            </w:pPr>
            <w:r w:rsidRPr="007A6934">
              <w:rPr>
                <w:rFonts w:cs="Arial"/>
                <w:b/>
                <w:sz w:val="20"/>
                <w:szCs w:val="20"/>
              </w:rPr>
              <w:t>Bloco</w:t>
            </w:r>
          </w:p>
        </w:tc>
        <w:tc>
          <w:tcPr>
            <w:tcW w:w="3240" w:type="dxa"/>
            <w:tcBorders>
              <w:top w:val="single" w:sz="18" w:space="0" w:color="auto"/>
              <w:left w:val="single" w:sz="4" w:space="0" w:color="auto"/>
              <w:bottom w:val="single" w:sz="18" w:space="0" w:color="auto"/>
              <w:right w:val="single" w:sz="4" w:space="0" w:color="auto"/>
            </w:tcBorders>
            <w:shd w:val="clear" w:color="auto" w:fill="B8CCE4"/>
          </w:tcPr>
          <w:p w:rsidR="004D5B16" w:rsidRPr="007A6934" w:rsidRDefault="004D5B16" w:rsidP="004D5B16">
            <w:pPr>
              <w:jc w:val="center"/>
              <w:rPr>
                <w:rFonts w:cs="Arial"/>
                <w:b/>
                <w:sz w:val="20"/>
                <w:szCs w:val="20"/>
              </w:rPr>
            </w:pPr>
            <w:r w:rsidRPr="007A6934">
              <w:rPr>
                <w:rFonts w:cs="Arial"/>
                <w:b/>
                <w:sz w:val="20"/>
                <w:szCs w:val="20"/>
              </w:rPr>
              <w:t>Título do Bloco</w:t>
            </w:r>
          </w:p>
        </w:tc>
        <w:tc>
          <w:tcPr>
            <w:tcW w:w="3780" w:type="dxa"/>
            <w:tcBorders>
              <w:top w:val="single" w:sz="18" w:space="0" w:color="auto"/>
              <w:left w:val="single" w:sz="4" w:space="0" w:color="auto"/>
              <w:bottom w:val="single" w:sz="18" w:space="0" w:color="auto"/>
              <w:right w:val="single" w:sz="4" w:space="0" w:color="auto"/>
            </w:tcBorders>
            <w:shd w:val="clear" w:color="auto" w:fill="B8CCE4"/>
          </w:tcPr>
          <w:p w:rsidR="004D5B16" w:rsidRPr="007A6934" w:rsidRDefault="004D5B16" w:rsidP="004D5B16">
            <w:pPr>
              <w:tabs>
                <w:tab w:val="left" w:pos="244"/>
              </w:tabs>
              <w:jc w:val="center"/>
              <w:rPr>
                <w:rFonts w:cs="Arial"/>
                <w:b/>
                <w:sz w:val="20"/>
                <w:szCs w:val="20"/>
                <w:lang w:val="pt-BR"/>
              </w:rPr>
            </w:pPr>
            <w:r w:rsidRPr="007A6934">
              <w:rPr>
                <w:rFonts w:cs="Arial"/>
                <w:b/>
                <w:sz w:val="20"/>
                <w:szCs w:val="20"/>
              </w:rPr>
              <w:t>M</w:t>
            </w:r>
            <w:r w:rsidRPr="007A6934">
              <w:rPr>
                <w:rFonts w:cs="Arial"/>
                <w:b/>
                <w:sz w:val="20"/>
                <w:szCs w:val="20"/>
                <w:lang w:val="pt-BR"/>
              </w:rPr>
              <w:t>étodo de Ensino</w:t>
            </w:r>
          </w:p>
        </w:tc>
        <w:tc>
          <w:tcPr>
            <w:tcW w:w="2430" w:type="dxa"/>
            <w:tcBorders>
              <w:top w:val="single" w:sz="18" w:space="0" w:color="auto"/>
              <w:left w:val="single" w:sz="4" w:space="0" w:color="auto"/>
              <w:bottom w:val="single" w:sz="18" w:space="0" w:color="auto"/>
            </w:tcBorders>
            <w:shd w:val="clear" w:color="auto" w:fill="B8CCE4"/>
          </w:tcPr>
          <w:p w:rsidR="004D5B16" w:rsidRPr="007A6934" w:rsidRDefault="004D5B16" w:rsidP="004D5B16">
            <w:pPr>
              <w:tabs>
                <w:tab w:val="left" w:pos="244"/>
              </w:tabs>
              <w:jc w:val="center"/>
              <w:rPr>
                <w:rFonts w:cs="Arial"/>
                <w:b/>
                <w:sz w:val="20"/>
                <w:szCs w:val="20"/>
                <w:lang w:val="pt-BR"/>
              </w:rPr>
            </w:pPr>
            <w:r w:rsidRPr="007A6934">
              <w:rPr>
                <w:rFonts w:cs="Arial"/>
                <w:b/>
                <w:sz w:val="20"/>
                <w:szCs w:val="20"/>
              </w:rPr>
              <w:t>Duração</w:t>
            </w:r>
          </w:p>
        </w:tc>
      </w:tr>
      <w:tr w:rsidR="004D5B16" w:rsidRPr="007A6934" w:rsidTr="00FC6E81">
        <w:tc>
          <w:tcPr>
            <w:tcW w:w="738" w:type="dxa"/>
            <w:tcBorders>
              <w:top w:val="single" w:sz="18" w:space="0" w:color="auto"/>
              <w:bottom w:val="single" w:sz="4" w:space="0" w:color="auto"/>
              <w:right w:val="single" w:sz="4" w:space="0" w:color="auto"/>
            </w:tcBorders>
          </w:tcPr>
          <w:p w:rsidR="004D5B16" w:rsidRPr="00670373" w:rsidRDefault="004D5B16" w:rsidP="004D5B16">
            <w:pPr>
              <w:spacing w:before="60" w:after="60" w:line="360" w:lineRule="auto"/>
              <w:ind w:left="-110" w:right="-108"/>
              <w:jc w:val="center"/>
              <w:rPr>
                <w:rFonts w:cs="Arial"/>
                <w:sz w:val="20"/>
                <w:szCs w:val="20"/>
              </w:rPr>
            </w:pPr>
            <w:r w:rsidRPr="00670373">
              <w:rPr>
                <w:rFonts w:cs="Arial"/>
                <w:sz w:val="20"/>
                <w:szCs w:val="20"/>
              </w:rPr>
              <w:t>1</w:t>
            </w:r>
          </w:p>
        </w:tc>
        <w:tc>
          <w:tcPr>
            <w:tcW w:w="3240" w:type="dxa"/>
            <w:tcBorders>
              <w:top w:val="single" w:sz="18" w:space="0" w:color="auto"/>
              <w:left w:val="single" w:sz="4" w:space="0" w:color="auto"/>
              <w:bottom w:val="single" w:sz="4" w:space="0" w:color="auto"/>
              <w:right w:val="single" w:sz="4" w:space="0" w:color="auto"/>
            </w:tcBorders>
            <w:vAlign w:val="center"/>
          </w:tcPr>
          <w:p w:rsidR="004D5B16" w:rsidRDefault="004D5B16" w:rsidP="004D5B16">
            <w:pPr>
              <w:tabs>
                <w:tab w:val="left" w:pos="244"/>
              </w:tabs>
              <w:spacing w:before="60" w:after="60" w:line="360" w:lineRule="auto"/>
              <w:rPr>
                <w:rFonts w:cs="Arial"/>
                <w:sz w:val="20"/>
                <w:szCs w:val="20"/>
              </w:rPr>
            </w:pPr>
            <w:r w:rsidRPr="00670373">
              <w:rPr>
                <w:rFonts w:cs="Arial"/>
                <w:sz w:val="20"/>
                <w:szCs w:val="20"/>
              </w:rPr>
              <w:t>Introdução à Aula</w:t>
            </w:r>
          </w:p>
          <w:p w:rsidR="004D5B16" w:rsidRPr="00670373" w:rsidRDefault="004D5B16" w:rsidP="004D5B16">
            <w:pPr>
              <w:tabs>
                <w:tab w:val="left" w:pos="244"/>
              </w:tabs>
              <w:spacing w:before="60" w:after="60" w:line="360" w:lineRule="auto"/>
              <w:rPr>
                <w:rFonts w:cs="Arial"/>
                <w:sz w:val="20"/>
                <w:szCs w:val="20"/>
              </w:rPr>
            </w:pPr>
          </w:p>
        </w:tc>
        <w:tc>
          <w:tcPr>
            <w:tcW w:w="3780" w:type="dxa"/>
            <w:tcBorders>
              <w:top w:val="single" w:sz="18" w:space="0" w:color="auto"/>
              <w:left w:val="single" w:sz="4" w:space="0" w:color="auto"/>
              <w:bottom w:val="single" w:sz="4" w:space="0" w:color="auto"/>
              <w:right w:val="single" w:sz="4" w:space="0" w:color="auto"/>
            </w:tcBorders>
          </w:tcPr>
          <w:p w:rsidR="004D5B16" w:rsidRPr="00670373" w:rsidRDefault="004D5B16" w:rsidP="004D5B16">
            <w:pPr>
              <w:tabs>
                <w:tab w:val="left" w:pos="244"/>
              </w:tabs>
              <w:spacing w:before="60" w:after="60" w:line="360" w:lineRule="auto"/>
              <w:rPr>
                <w:rFonts w:cs="Arial"/>
                <w:sz w:val="20"/>
                <w:szCs w:val="20"/>
              </w:rPr>
            </w:pPr>
          </w:p>
        </w:tc>
        <w:tc>
          <w:tcPr>
            <w:tcW w:w="2430" w:type="dxa"/>
            <w:tcBorders>
              <w:top w:val="single" w:sz="18" w:space="0" w:color="auto"/>
              <w:left w:val="single" w:sz="4" w:space="0" w:color="auto"/>
              <w:bottom w:val="single" w:sz="4" w:space="0" w:color="auto"/>
            </w:tcBorders>
          </w:tcPr>
          <w:p w:rsidR="004D5B16" w:rsidRPr="00670373" w:rsidRDefault="004D5B16" w:rsidP="004D5B16">
            <w:pPr>
              <w:tabs>
                <w:tab w:val="left" w:pos="244"/>
              </w:tabs>
              <w:spacing w:before="60" w:after="60" w:line="360" w:lineRule="auto"/>
              <w:jc w:val="right"/>
              <w:rPr>
                <w:rFonts w:cs="Arial"/>
                <w:sz w:val="20"/>
                <w:szCs w:val="20"/>
              </w:rPr>
            </w:pPr>
          </w:p>
        </w:tc>
      </w:tr>
      <w:tr w:rsidR="004D5B16" w:rsidRPr="007A6934" w:rsidTr="00FC6E81">
        <w:tc>
          <w:tcPr>
            <w:tcW w:w="738" w:type="dxa"/>
            <w:tcBorders>
              <w:top w:val="single" w:sz="4" w:space="0" w:color="auto"/>
              <w:bottom w:val="single" w:sz="4" w:space="0" w:color="auto"/>
              <w:right w:val="single" w:sz="4" w:space="0" w:color="auto"/>
            </w:tcBorders>
            <w:shd w:val="clear" w:color="auto" w:fill="D9D9D9"/>
          </w:tcPr>
          <w:p w:rsidR="004D5B16" w:rsidRPr="00670373" w:rsidRDefault="004D5B16" w:rsidP="004D5B16">
            <w:pPr>
              <w:spacing w:before="60" w:after="60" w:line="360" w:lineRule="auto"/>
              <w:ind w:left="-110" w:right="-108"/>
              <w:jc w:val="center"/>
              <w:rPr>
                <w:rFonts w:cs="Arial"/>
                <w:sz w:val="20"/>
                <w:szCs w:val="20"/>
              </w:rPr>
            </w:pPr>
            <w:r w:rsidRPr="00670373">
              <w:rPr>
                <w:rFonts w:cs="Arial"/>
                <w:sz w:val="20"/>
                <w:szCs w:val="20"/>
              </w:rPr>
              <w:t>2</w:t>
            </w:r>
          </w:p>
        </w:tc>
        <w:tc>
          <w:tcPr>
            <w:tcW w:w="3240" w:type="dxa"/>
            <w:tcBorders>
              <w:top w:val="single" w:sz="4" w:space="0" w:color="auto"/>
              <w:left w:val="single" w:sz="4" w:space="0" w:color="auto"/>
              <w:bottom w:val="single" w:sz="4" w:space="0" w:color="auto"/>
              <w:right w:val="single" w:sz="4" w:space="0" w:color="auto"/>
            </w:tcBorders>
            <w:shd w:val="clear" w:color="auto" w:fill="D9D9D9"/>
          </w:tcPr>
          <w:p w:rsidR="004D5B16" w:rsidRDefault="004D5B16" w:rsidP="004D5B16">
            <w:pPr>
              <w:tabs>
                <w:tab w:val="left" w:pos="244"/>
              </w:tabs>
              <w:spacing w:before="60" w:after="60" w:line="360" w:lineRule="auto"/>
              <w:rPr>
                <w:rFonts w:cs="Arial"/>
                <w:sz w:val="20"/>
                <w:szCs w:val="20"/>
              </w:rPr>
            </w:pPr>
            <w:r>
              <w:rPr>
                <w:rFonts w:cs="Arial"/>
                <w:sz w:val="20"/>
                <w:szCs w:val="20"/>
              </w:rPr>
              <w:t>Conceitos Básicos da I</w:t>
            </w:r>
            <w:r w:rsidRPr="002324F0">
              <w:rPr>
                <w:rFonts w:cs="Arial"/>
                <w:sz w:val="20"/>
                <w:szCs w:val="20"/>
              </w:rPr>
              <w:t>munidade</w:t>
            </w:r>
          </w:p>
          <w:p w:rsidR="004D5B16" w:rsidRPr="002324F0" w:rsidRDefault="004D5B16" w:rsidP="004D5B16">
            <w:pPr>
              <w:tabs>
                <w:tab w:val="left" w:pos="244"/>
              </w:tabs>
              <w:spacing w:before="60" w:after="60" w:line="360" w:lineRule="auto"/>
              <w:rPr>
                <w:rFonts w:cs="Arial"/>
                <w:sz w:val="20"/>
                <w:szCs w:val="20"/>
              </w:rPr>
            </w:pPr>
          </w:p>
        </w:tc>
        <w:tc>
          <w:tcPr>
            <w:tcW w:w="3780" w:type="dxa"/>
            <w:tcBorders>
              <w:top w:val="single" w:sz="4" w:space="0" w:color="auto"/>
              <w:left w:val="single" w:sz="4" w:space="0" w:color="auto"/>
              <w:bottom w:val="single" w:sz="4" w:space="0" w:color="auto"/>
              <w:right w:val="single" w:sz="4" w:space="0" w:color="auto"/>
            </w:tcBorders>
            <w:shd w:val="clear" w:color="auto" w:fill="D9D9D9"/>
          </w:tcPr>
          <w:p w:rsidR="004D5B16" w:rsidRPr="00670373" w:rsidRDefault="004D5B16" w:rsidP="004D5B16">
            <w:pPr>
              <w:tabs>
                <w:tab w:val="left" w:pos="244"/>
              </w:tabs>
              <w:spacing w:before="60" w:after="60" w:line="360" w:lineRule="auto"/>
              <w:rPr>
                <w:rFonts w:cs="Arial"/>
                <w:sz w:val="20"/>
                <w:szCs w:val="20"/>
              </w:rPr>
            </w:pPr>
          </w:p>
        </w:tc>
        <w:tc>
          <w:tcPr>
            <w:tcW w:w="2430" w:type="dxa"/>
            <w:tcBorders>
              <w:top w:val="single" w:sz="4" w:space="0" w:color="auto"/>
              <w:left w:val="single" w:sz="4" w:space="0" w:color="auto"/>
              <w:bottom w:val="single" w:sz="4" w:space="0" w:color="auto"/>
            </w:tcBorders>
            <w:shd w:val="clear" w:color="auto" w:fill="D9D9D9"/>
          </w:tcPr>
          <w:p w:rsidR="004D5B16" w:rsidRPr="00670373" w:rsidRDefault="004D5B16" w:rsidP="004D5B16">
            <w:pPr>
              <w:tabs>
                <w:tab w:val="left" w:pos="244"/>
              </w:tabs>
              <w:spacing w:before="60" w:after="60" w:line="360" w:lineRule="auto"/>
              <w:jc w:val="right"/>
              <w:rPr>
                <w:rFonts w:cs="Arial"/>
                <w:sz w:val="20"/>
                <w:szCs w:val="20"/>
              </w:rPr>
            </w:pPr>
          </w:p>
        </w:tc>
      </w:tr>
      <w:tr w:rsidR="004D5B16" w:rsidRPr="002324F0" w:rsidTr="00FC6E81">
        <w:tc>
          <w:tcPr>
            <w:tcW w:w="738" w:type="dxa"/>
            <w:tcBorders>
              <w:top w:val="single" w:sz="4" w:space="0" w:color="auto"/>
              <w:bottom w:val="single" w:sz="4" w:space="0" w:color="auto"/>
              <w:right w:val="single" w:sz="4" w:space="0" w:color="auto"/>
            </w:tcBorders>
          </w:tcPr>
          <w:p w:rsidR="004D5B16" w:rsidRPr="00670373" w:rsidRDefault="004D5B16" w:rsidP="004D5B16">
            <w:pPr>
              <w:spacing w:before="60" w:after="60" w:line="360" w:lineRule="auto"/>
              <w:ind w:left="-110" w:right="-108"/>
              <w:jc w:val="center"/>
              <w:rPr>
                <w:rFonts w:cs="Arial"/>
                <w:sz w:val="20"/>
                <w:szCs w:val="20"/>
              </w:rPr>
            </w:pPr>
            <w:r w:rsidRPr="00670373">
              <w:rPr>
                <w:rFonts w:cs="Arial"/>
                <w:sz w:val="20"/>
                <w:szCs w:val="20"/>
              </w:rPr>
              <w:t>3</w:t>
            </w:r>
          </w:p>
        </w:tc>
        <w:tc>
          <w:tcPr>
            <w:tcW w:w="3240" w:type="dxa"/>
            <w:tcBorders>
              <w:top w:val="single" w:sz="4" w:space="0" w:color="auto"/>
              <w:left w:val="single" w:sz="4" w:space="0" w:color="auto"/>
              <w:bottom w:val="single" w:sz="4" w:space="0" w:color="auto"/>
              <w:right w:val="single" w:sz="4" w:space="0" w:color="auto"/>
            </w:tcBorders>
          </w:tcPr>
          <w:p w:rsidR="004D5B16" w:rsidRDefault="004D5B16" w:rsidP="004D5B16">
            <w:pPr>
              <w:tabs>
                <w:tab w:val="left" w:pos="244"/>
              </w:tabs>
              <w:spacing w:before="60" w:after="60" w:line="360" w:lineRule="auto"/>
              <w:rPr>
                <w:rFonts w:cs="Arial"/>
                <w:sz w:val="20"/>
                <w:szCs w:val="20"/>
                <w:lang w:val="pt-BR"/>
              </w:rPr>
            </w:pPr>
            <w:r w:rsidRPr="002324F0">
              <w:rPr>
                <w:rFonts w:cs="Arial"/>
                <w:sz w:val="20"/>
                <w:szCs w:val="20"/>
                <w:lang w:val="pt-BR"/>
              </w:rPr>
              <w:t>As Células do Sistema Imune</w:t>
            </w:r>
          </w:p>
          <w:p w:rsidR="004D5B16" w:rsidRPr="002324F0" w:rsidRDefault="004D5B16" w:rsidP="004D5B16">
            <w:pPr>
              <w:tabs>
                <w:tab w:val="left" w:pos="244"/>
              </w:tabs>
              <w:spacing w:before="60" w:after="60" w:line="360" w:lineRule="auto"/>
              <w:rPr>
                <w:rFonts w:cs="Arial"/>
                <w:sz w:val="20"/>
                <w:szCs w:val="20"/>
                <w:lang w:val="pt-BR"/>
              </w:rPr>
            </w:pPr>
          </w:p>
        </w:tc>
        <w:tc>
          <w:tcPr>
            <w:tcW w:w="3780" w:type="dxa"/>
            <w:tcBorders>
              <w:top w:val="single" w:sz="4" w:space="0" w:color="auto"/>
              <w:left w:val="single" w:sz="4" w:space="0" w:color="auto"/>
              <w:bottom w:val="single" w:sz="4" w:space="0" w:color="auto"/>
              <w:right w:val="single" w:sz="4" w:space="0" w:color="auto"/>
            </w:tcBorders>
          </w:tcPr>
          <w:p w:rsidR="004D5B16" w:rsidRPr="002324F0" w:rsidRDefault="004D5B16" w:rsidP="004D5B16">
            <w:pPr>
              <w:spacing w:before="60" w:after="60" w:line="360" w:lineRule="auto"/>
              <w:ind w:left="-18" w:firstLine="18"/>
              <w:rPr>
                <w:rFonts w:cs="Arial"/>
                <w:sz w:val="20"/>
                <w:szCs w:val="20"/>
                <w:lang w:val="pt-BR"/>
              </w:rPr>
            </w:pPr>
          </w:p>
        </w:tc>
        <w:tc>
          <w:tcPr>
            <w:tcW w:w="2430" w:type="dxa"/>
            <w:tcBorders>
              <w:top w:val="single" w:sz="4" w:space="0" w:color="auto"/>
              <w:left w:val="single" w:sz="4" w:space="0" w:color="auto"/>
              <w:bottom w:val="single" w:sz="4" w:space="0" w:color="auto"/>
            </w:tcBorders>
          </w:tcPr>
          <w:p w:rsidR="004D5B16" w:rsidRPr="002324F0" w:rsidRDefault="004D5B16" w:rsidP="004D5B16">
            <w:pPr>
              <w:spacing w:before="60" w:after="60" w:line="360" w:lineRule="auto"/>
              <w:ind w:left="-18" w:firstLine="18"/>
              <w:jc w:val="right"/>
              <w:rPr>
                <w:rFonts w:cs="Arial"/>
                <w:sz w:val="20"/>
                <w:szCs w:val="20"/>
                <w:lang w:val="pt-BR"/>
              </w:rPr>
            </w:pPr>
          </w:p>
        </w:tc>
      </w:tr>
      <w:tr w:rsidR="004D5B16" w:rsidRPr="002324F0" w:rsidTr="00FC6E81">
        <w:tc>
          <w:tcPr>
            <w:tcW w:w="738" w:type="dxa"/>
            <w:tcBorders>
              <w:top w:val="single" w:sz="4" w:space="0" w:color="auto"/>
              <w:bottom w:val="single" w:sz="4" w:space="0" w:color="auto"/>
              <w:right w:val="single" w:sz="4" w:space="0" w:color="auto"/>
            </w:tcBorders>
            <w:shd w:val="clear" w:color="auto" w:fill="D9D9D9"/>
          </w:tcPr>
          <w:p w:rsidR="004D5B16" w:rsidRPr="00670373" w:rsidRDefault="004D5B16" w:rsidP="004D5B16">
            <w:pPr>
              <w:spacing w:before="60" w:after="60" w:line="360" w:lineRule="auto"/>
              <w:ind w:left="-110" w:right="-108"/>
              <w:jc w:val="center"/>
              <w:rPr>
                <w:rFonts w:cs="Arial"/>
                <w:sz w:val="20"/>
                <w:szCs w:val="20"/>
              </w:rPr>
            </w:pPr>
            <w:r w:rsidRPr="00670373">
              <w:rPr>
                <w:rFonts w:cs="Arial"/>
                <w:sz w:val="20"/>
                <w:szCs w:val="20"/>
              </w:rPr>
              <w:t>4</w:t>
            </w:r>
          </w:p>
        </w:tc>
        <w:tc>
          <w:tcPr>
            <w:tcW w:w="3240" w:type="dxa"/>
            <w:tcBorders>
              <w:top w:val="single" w:sz="4" w:space="0" w:color="auto"/>
              <w:left w:val="single" w:sz="4" w:space="0" w:color="auto"/>
              <w:bottom w:val="single" w:sz="4" w:space="0" w:color="auto"/>
              <w:right w:val="single" w:sz="4" w:space="0" w:color="auto"/>
            </w:tcBorders>
            <w:shd w:val="clear" w:color="auto" w:fill="D9D9D9"/>
          </w:tcPr>
          <w:p w:rsidR="004D5B16" w:rsidRDefault="004D5B16" w:rsidP="004D5B16">
            <w:pPr>
              <w:tabs>
                <w:tab w:val="left" w:pos="244"/>
              </w:tabs>
              <w:spacing w:before="60" w:after="60" w:line="360" w:lineRule="auto"/>
              <w:rPr>
                <w:rFonts w:cs="Arial"/>
                <w:sz w:val="20"/>
                <w:szCs w:val="20"/>
                <w:lang w:val="pt-BR"/>
              </w:rPr>
            </w:pPr>
            <w:r w:rsidRPr="002324F0">
              <w:rPr>
                <w:rFonts w:cs="Arial"/>
                <w:sz w:val="20"/>
                <w:szCs w:val="20"/>
                <w:lang w:val="pt-BR"/>
              </w:rPr>
              <w:t>Os Tecidos do Sistema Imune</w:t>
            </w:r>
          </w:p>
          <w:p w:rsidR="004D5B16" w:rsidRPr="002324F0" w:rsidRDefault="004D5B16" w:rsidP="004D5B16">
            <w:pPr>
              <w:tabs>
                <w:tab w:val="left" w:pos="244"/>
              </w:tabs>
              <w:spacing w:before="60" w:after="60" w:line="360" w:lineRule="auto"/>
              <w:rPr>
                <w:rFonts w:cs="Arial"/>
                <w:sz w:val="20"/>
                <w:szCs w:val="20"/>
                <w:lang w:val="pt-BR"/>
              </w:rPr>
            </w:pPr>
          </w:p>
        </w:tc>
        <w:tc>
          <w:tcPr>
            <w:tcW w:w="3780" w:type="dxa"/>
            <w:tcBorders>
              <w:top w:val="single" w:sz="4" w:space="0" w:color="auto"/>
              <w:left w:val="single" w:sz="4" w:space="0" w:color="auto"/>
              <w:bottom w:val="single" w:sz="4" w:space="0" w:color="auto"/>
              <w:right w:val="single" w:sz="4" w:space="0" w:color="auto"/>
            </w:tcBorders>
            <w:shd w:val="clear" w:color="auto" w:fill="D9D9D9"/>
          </w:tcPr>
          <w:p w:rsidR="004D5B16" w:rsidRPr="002324F0" w:rsidRDefault="004D5B16" w:rsidP="004D5B16">
            <w:pPr>
              <w:spacing w:before="60" w:after="60" w:line="360" w:lineRule="auto"/>
              <w:ind w:left="-18" w:firstLine="18"/>
              <w:rPr>
                <w:rFonts w:cs="Arial"/>
                <w:sz w:val="20"/>
                <w:szCs w:val="20"/>
                <w:lang w:val="pt-BR"/>
              </w:rPr>
            </w:pPr>
          </w:p>
        </w:tc>
        <w:tc>
          <w:tcPr>
            <w:tcW w:w="2430" w:type="dxa"/>
            <w:tcBorders>
              <w:top w:val="single" w:sz="4" w:space="0" w:color="auto"/>
              <w:left w:val="single" w:sz="4" w:space="0" w:color="auto"/>
              <w:bottom w:val="single" w:sz="4" w:space="0" w:color="auto"/>
            </w:tcBorders>
            <w:shd w:val="clear" w:color="auto" w:fill="D9D9D9"/>
          </w:tcPr>
          <w:p w:rsidR="004D5B16" w:rsidRPr="002324F0" w:rsidRDefault="004D5B16" w:rsidP="004D5B16">
            <w:pPr>
              <w:spacing w:before="60" w:after="60" w:line="360" w:lineRule="auto"/>
              <w:ind w:left="-18" w:firstLine="18"/>
              <w:jc w:val="right"/>
              <w:rPr>
                <w:rFonts w:cs="Arial"/>
                <w:sz w:val="20"/>
                <w:szCs w:val="20"/>
                <w:lang w:val="pt-BR"/>
              </w:rPr>
            </w:pPr>
          </w:p>
        </w:tc>
      </w:tr>
      <w:tr w:rsidR="004D5B16" w:rsidRPr="00D67BAC" w:rsidTr="00FC6E81">
        <w:tc>
          <w:tcPr>
            <w:tcW w:w="738" w:type="dxa"/>
            <w:tcBorders>
              <w:top w:val="single" w:sz="4" w:space="0" w:color="auto"/>
              <w:bottom w:val="single" w:sz="4" w:space="0" w:color="auto"/>
              <w:right w:val="single" w:sz="4" w:space="0" w:color="auto"/>
            </w:tcBorders>
          </w:tcPr>
          <w:p w:rsidR="004D5B16" w:rsidRPr="00670373" w:rsidRDefault="004D5B16" w:rsidP="004D5B16">
            <w:pPr>
              <w:spacing w:before="60" w:after="60" w:line="360" w:lineRule="auto"/>
              <w:ind w:left="-110" w:right="-108"/>
              <w:jc w:val="center"/>
              <w:rPr>
                <w:rFonts w:cs="Arial"/>
                <w:sz w:val="20"/>
                <w:szCs w:val="20"/>
              </w:rPr>
            </w:pPr>
            <w:r w:rsidRPr="00670373">
              <w:rPr>
                <w:rFonts w:cs="Arial"/>
                <w:sz w:val="20"/>
                <w:szCs w:val="20"/>
              </w:rPr>
              <w:t>5</w:t>
            </w:r>
          </w:p>
        </w:tc>
        <w:tc>
          <w:tcPr>
            <w:tcW w:w="3240" w:type="dxa"/>
            <w:tcBorders>
              <w:top w:val="single" w:sz="4" w:space="0" w:color="auto"/>
              <w:left w:val="single" w:sz="4" w:space="0" w:color="auto"/>
              <w:bottom w:val="single" w:sz="4" w:space="0" w:color="auto"/>
              <w:right w:val="single" w:sz="4" w:space="0" w:color="auto"/>
            </w:tcBorders>
          </w:tcPr>
          <w:p w:rsidR="004D5B16" w:rsidRDefault="004D5B16" w:rsidP="004D5B16">
            <w:pPr>
              <w:tabs>
                <w:tab w:val="left" w:pos="244"/>
              </w:tabs>
              <w:spacing w:before="60" w:after="60" w:line="360" w:lineRule="auto"/>
              <w:rPr>
                <w:rFonts w:cs="Arial"/>
                <w:sz w:val="20"/>
                <w:szCs w:val="20"/>
              </w:rPr>
            </w:pPr>
            <w:r>
              <w:rPr>
                <w:rFonts w:cs="Arial"/>
                <w:sz w:val="20"/>
                <w:szCs w:val="20"/>
              </w:rPr>
              <w:t>Imunidade H</w:t>
            </w:r>
            <w:r w:rsidRPr="002324F0">
              <w:rPr>
                <w:rFonts w:cs="Arial"/>
                <w:sz w:val="20"/>
                <w:szCs w:val="20"/>
              </w:rPr>
              <w:t>umoral</w:t>
            </w:r>
          </w:p>
          <w:p w:rsidR="004D5B16" w:rsidRPr="002324F0" w:rsidRDefault="004D5B16" w:rsidP="004D5B16">
            <w:pPr>
              <w:tabs>
                <w:tab w:val="left" w:pos="244"/>
              </w:tabs>
              <w:spacing w:before="60" w:after="60" w:line="360" w:lineRule="auto"/>
              <w:rPr>
                <w:rFonts w:cs="Arial"/>
                <w:sz w:val="20"/>
                <w:szCs w:val="20"/>
              </w:rPr>
            </w:pPr>
          </w:p>
        </w:tc>
        <w:tc>
          <w:tcPr>
            <w:tcW w:w="3780" w:type="dxa"/>
            <w:tcBorders>
              <w:top w:val="single" w:sz="4" w:space="0" w:color="auto"/>
              <w:left w:val="single" w:sz="4" w:space="0" w:color="auto"/>
              <w:bottom w:val="single" w:sz="4" w:space="0" w:color="auto"/>
              <w:right w:val="single" w:sz="4" w:space="0" w:color="auto"/>
            </w:tcBorders>
          </w:tcPr>
          <w:p w:rsidR="004D5B16" w:rsidRPr="00D67BAC" w:rsidRDefault="004D5B16" w:rsidP="004D5B16">
            <w:pPr>
              <w:spacing w:before="60" w:after="60" w:line="360" w:lineRule="auto"/>
              <w:ind w:left="-18" w:firstLine="18"/>
              <w:rPr>
                <w:rFonts w:cs="Arial"/>
                <w:sz w:val="20"/>
                <w:szCs w:val="20"/>
                <w:lang w:val="pt-BR"/>
              </w:rPr>
            </w:pPr>
          </w:p>
        </w:tc>
        <w:tc>
          <w:tcPr>
            <w:tcW w:w="2430" w:type="dxa"/>
            <w:tcBorders>
              <w:top w:val="single" w:sz="4" w:space="0" w:color="auto"/>
              <w:left w:val="single" w:sz="4" w:space="0" w:color="auto"/>
              <w:bottom w:val="single" w:sz="4" w:space="0" w:color="auto"/>
            </w:tcBorders>
          </w:tcPr>
          <w:p w:rsidR="004D5B16" w:rsidRPr="00D67BAC" w:rsidRDefault="004D5B16" w:rsidP="004D5B16">
            <w:pPr>
              <w:spacing w:before="60" w:after="60" w:line="360" w:lineRule="auto"/>
              <w:ind w:left="-18" w:firstLine="18"/>
              <w:jc w:val="right"/>
              <w:rPr>
                <w:rFonts w:cs="Arial"/>
                <w:sz w:val="20"/>
                <w:szCs w:val="20"/>
                <w:lang w:val="pt-BR"/>
              </w:rPr>
            </w:pPr>
          </w:p>
        </w:tc>
      </w:tr>
      <w:tr w:rsidR="004D5B16" w:rsidRPr="00D67BAC" w:rsidTr="00FC6E81">
        <w:tc>
          <w:tcPr>
            <w:tcW w:w="738" w:type="dxa"/>
            <w:tcBorders>
              <w:top w:val="single" w:sz="4" w:space="0" w:color="auto"/>
              <w:bottom w:val="single" w:sz="4" w:space="0" w:color="auto"/>
              <w:right w:val="single" w:sz="4" w:space="0" w:color="auto"/>
            </w:tcBorders>
            <w:shd w:val="clear" w:color="auto" w:fill="D9D9D9"/>
          </w:tcPr>
          <w:p w:rsidR="004D5B16" w:rsidRPr="00670373" w:rsidRDefault="004D5B16" w:rsidP="004D5B16">
            <w:pPr>
              <w:spacing w:before="60" w:after="60" w:line="360" w:lineRule="auto"/>
              <w:ind w:left="-110" w:right="-108"/>
              <w:jc w:val="center"/>
              <w:rPr>
                <w:rFonts w:cs="Arial"/>
                <w:sz w:val="20"/>
                <w:szCs w:val="20"/>
              </w:rPr>
            </w:pPr>
            <w:r>
              <w:rPr>
                <w:rFonts w:cs="Arial"/>
                <w:sz w:val="20"/>
                <w:szCs w:val="20"/>
              </w:rPr>
              <w:t>6</w:t>
            </w:r>
          </w:p>
        </w:tc>
        <w:tc>
          <w:tcPr>
            <w:tcW w:w="3240" w:type="dxa"/>
            <w:tcBorders>
              <w:top w:val="single" w:sz="4" w:space="0" w:color="auto"/>
              <w:left w:val="single" w:sz="4" w:space="0" w:color="auto"/>
              <w:bottom w:val="single" w:sz="4" w:space="0" w:color="auto"/>
              <w:right w:val="single" w:sz="4" w:space="0" w:color="auto"/>
            </w:tcBorders>
            <w:shd w:val="clear" w:color="auto" w:fill="D9D9D9"/>
          </w:tcPr>
          <w:p w:rsidR="004D5B16" w:rsidRDefault="004D5B16" w:rsidP="004D5B16">
            <w:pPr>
              <w:tabs>
                <w:tab w:val="left" w:pos="244"/>
              </w:tabs>
              <w:spacing w:before="60" w:after="60" w:line="360" w:lineRule="auto"/>
              <w:rPr>
                <w:rFonts w:cs="Arial"/>
                <w:sz w:val="20"/>
                <w:szCs w:val="20"/>
              </w:rPr>
            </w:pPr>
            <w:r>
              <w:rPr>
                <w:rFonts w:cs="Arial"/>
                <w:sz w:val="20"/>
                <w:szCs w:val="20"/>
              </w:rPr>
              <w:t>Imunidade C</w:t>
            </w:r>
            <w:r w:rsidRPr="002324F0">
              <w:rPr>
                <w:rFonts w:cs="Arial"/>
                <w:sz w:val="20"/>
                <w:szCs w:val="20"/>
              </w:rPr>
              <w:t>elular</w:t>
            </w:r>
          </w:p>
          <w:p w:rsidR="004D5B16" w:rsidRPr="002324F0" w:rsidRDefault="004D5B16" w:rsidP="004D5B16">
            <w:pPr>
              <w:tabs>
                <w:tab w:val="left" w:pos="244"/>
              </w:tabs>
              <w:spacing w:before="60" w:after="60" w:line="360" w:lineRule="auto"/>
              <w:rPr>
                <w:rFonts w:cs="Arial"/>
                <w:sz w:val="20"/>
                <w:szCs w:val="20"/>
              </w:rPr>
            </w:pPr>
          </w:p>
        </w:tc>
        <w:tc>
          <w:tcPr>
            <w:tcW w:w="3780" w:type="dxa"/>
            <w:tcBorders>
              <w:top w:val="single" w:sz="4" w:space="0" w:color="auto"/>
              <w:left w:val="single" w:sz="4" w:space="0" w:color="auto"/>
              <w:bottom w:val="single" w:sz="4" w:space="0" w:color="auto"/>
              <w:right w:val="single" w:sz="4" w:space="0" w:color="auto"/>
            </w:tcBorders>
            <w:shd w:val="clear" w:color="auto" w:fill="D9D9D9"/>
          </w:tcPr>
          <w:p w:rsidR="004D5B16" w:rsidRPr="00D67BAC" w:rsidRDefault="004D5B16" w:rsidP="004D5B16">
            <w:pPr>
              <w:spacing w:before="60" w:after="60" w:line="360" w:lineRule="auto"/>
              <w:ind w:left="-18" w:firstLine="18"/>
              <w:rPr>
                <w:rFonts w:cs="Arial"/>
                <w:sz w:val="20"/>
                <w:szCs w:val="20"/>
                <w:lang w:val="pt-BR"/>
              </w:rPr>
            </w:pPr>
          </w:p>
        </w:tc>
        <w:tc>
          <w:tcPr>
            <w:tcW w:w="2430" w:type="dxa"/>
            <w:tcBorders>
              <w:top w:val="single" w:sz="4" w:space="0" w:color="auto"/>
              <w:left w:val="single" w:sz="4" w:space="0" w:color="auto"/>
              <w:bottom w:val="single" w:sz="4" w:space="0" w:color="auto"/>
            </w:tcBorders>
            <w:shd w:val="clear" w:color="auto" w:fill="D9D9D9"/>
          </w:tcPr>
          <w:p w:rsidR="004D5B16" w:rsidRPr="00D67BAC" w:rsidRDefault="004D5B16" w:rsidP="004D5B16">
            <w:pPr>
              <w:spacing w:before="60" w:after="60" w:line="360" w:lineRule="auto"/>
              <w:ind w:left="-18" w:firstLine="18"/>
              <w:jc w:val="right"/>
              <w:rPr>
                <w:rFonts w:cs="Arial"/>
                <w:sz w:val="20"/>
                <w:szCs w:val="20"/>
                <w:lang w:val="pt-BR"/>
              </w:rPr>
            </w:pPr>
          </w:p>
        </w:tc>
      </w:tr>
      <w:tr w:rsidR="004D5B16" w:rsidRPr="007A6934" w:rsidTr="00FC6E81">
        <w:tc>
          <w:tcPr>
            <w:tcW w:w="738" w:type="dxa"/>
            <w:tcBorders>
              <w:top w:val="single" w:sz="4" w:space="0" w:color="auto"/>
              <w:bottom w:val="single" w:sz="18" w:space="0" w:color="auto"/>
              <w:right w:val="single" w:sz="4" w:space="0" w:color="auto"/>
            </w:tcBorders>
            <w:shd w:val="clear" w:color="auto" w:fill="auto"/>
          </w:tcPr>
          <w:p w:rsidR="004D5B16" w:rsidRPr="00670373" w:rsidRDefault="004D5B16" w:rsidP="004D5B16">
            <w:pPr>
              <w:spacing w:before="60" w:after="60" w:line="360" w:lineRule="auto"/>
              <w:ind w:left="-110" w:right="-108"/>
              <w:jc w:val="center"/>
              <w:rPr>
                <w:rFonts w:cs="Arial"/>
                <w:sz w:val="20"/>
                <w:szCs w:val="20"/>
              </w:rPr>
            </w:pPr>
            <w:r>
              <w:rPr>
                <w:rFonts w:cs="Arial"/>
                <w:sz w:val="20"/>
                <w:szCs w:val="20"/>
              </w:rPr>
              <w:t>7</w:t>
            </w:r>
          </w:p>
        </w:tc>
        <w:tc>
          <w:tcPr>
            <w:tcW w:w="3240" w:type="dxa"/>
            <w:tcBorders>
              <w:top w:val="single" w:sz="4" w:space="0" w:color="auto"/>
              <w:left w:val="single" w:sz="4" w:space="0" w:color="auto"/>
              <w:bottom w:val="single" w:sz="18" w:space="0" w:color="auto"/>
              <w:right w:val="single" w:sz="4" w:space="0" w:color="auto"/>
            </w:tcBorders>
            <w:shd w:val="clear" w:color="auto" w:fill="auto"/>
            <w:vAlign w:val="center"/>
          </w:tcPr>
          <w:p w:rsidR="004D5B16" w:rsidRDefault="004D5B16" w:rsidP="004D5B16">
            <w:pPr>
              <w:tabs>
                <w:tab w:val="left" w:pos="244"/>
              </w:tabs>
              <w:spacing w:before="60" w:after="60" w:line="360" w:lineRule="auto"/>
              <w:rPr>
                <w:rFonts w:cs="Arial"/>
                <w:sz w:val="20"/>
                <w:szCs w:val="20"/>
              </w:rPr>
            </w:pPr>
            <w:r w:rsidRPr="00670373">
              <w:rPr>
                <w:rFonts w:cs="Arial"/>
                <w:sz w:val="20"/>
                <w:szCs w:val="20"/>
              </w:rPr>
              <w:t>Pontos-chave</w:t>
            </w:r>
          </w:p>
          <w:p w:rsidR="004D5B16" w:rsidRPr="00D67BAC" w:rsidRDefault="004D5B16" w:rsidP="004D5B16">
            <w:pPr>
              <w:tabs>
                <w:tab w:val="left" w:pos="244"/>
              </w:tabs>
              <w:spacing w:before="60" w:after="60" w:line="360" w:lineRule="auto"/>
              <w:rPr>
                <w:rFonts w:cs="Arial"/>
                <w:sz w:val="20"/>
                <w:szCs w:val="20"/>
              </w:rPr>
            </w:pPr>
          </w:p>
        </w:tc>
        <w:tc>
          <w:tcPr>
            <w:tcW w:w="3780" w:type="dxa"/>
            <w:tcBorders>
              <w:top w:val="single" w:sz="4" w:space="0" w:color="auto"/>
              <w:left w:val="single" w:sz="4" w:space="0" w:color="auto"/>
              <w:bottom w:val="single" w:sz="18" w:space="0" w:color="auto"/>
              <w:right w:val="single" w:sz="4" w:space="0" w:color="auto"/>
            </w:tcBorders>
            <w:shd w:val="clear" w:color="auto" w:fill="auto"/>
          </w:tcPr>
          <w:p w:rsidR="004D5B16" w:rsidRPr="00670373" w:rsidRDefault="004D5B16" w:rsidP="004D5B16">
            <w:pPr>
              <w:spacing w:before="60" w:after="60" w:line="360" w:lineRule="auto"/>
              <w:ind w:left="-18" w:firstLine="18"/>
              <w:rPr>
                <w:rFonts w:cs="Arial"/>
                <w:sz w:val="20"/>
                <w:szCs w:val="20"/>
              </w:rPr>
            </w:pPr>
          </w:p>
        </w:tc>
        <w:tc>
          <w:tcPr>
            <w:tcW w:w="2430" w:type="dxa"/>
            <w:tcBorders>
              <w:top w:val="single" w:sz="4" w:space="0" w:color="auto"/>
              <w:left w:val="single" w:sz="4" w:space="0" w:color="auto"/>
              <w:bottom w:val="single" w:sz="18" w:space="0" w:color="auto"/>
            </w:tcBorders>
            <w:shd w:val="clear" w:color="auto" w:fill="auto"/>
          </w:tcPr>
          <w:p w:rsidR="004D5B16" w:rsidRPr="00670373" w:rsidRDefault="004D5B16" w:rsidP="004D5B16">
            <w:pPr>
              <w:spacing w:before="60" w:after="60" w:line="360" w:lineRule="auto"/>
              <w:ind w:left="-18" w:firstLine="18"/>
              <w:jc w:val="right"/>
              <w:rPr>
                <w:rFonts w:cs="Arial"/>
                <w:sz w:val="20"/>
                <w:szCs w:val="20"/>
              </w:rPr>
            </w:pPr>
          </w:p>
        </w:tc>
      </w:tr>
    </w:tbl>
    <w:p w:rsidR="004D5B16" w:rsidRDefault="004D5B16" w:rsidP="004D5B16">
      <w:pPr>
        <w:tabs>
          <w:tab w:val="left" w:pos="424"/>
        </w:tabs>
        <w:jc w:val="both"/>
        <w:rPr>
          <w:rFonts w:cs="Arial"/>
          <w:b/>
          <w:lang w:val="pt-BR"/>
        </w:rPr>
      </w:pPr>
    </w:p>
    <w:p w:rsidR="00506DE0" w:rsidRDefault="00506DE0">
      <w:pPr>
        <w:rPr>
          <w:rFonts w:cs="Arial"/>
          <w:b/>
          <w:lang w:val="pt-BR"/>
        </w:rPr>
      </w:pPr>
      <w:r>
        <w:rPr>
          <w:rFonts w:cs="Arial"/>
          <w:b/>
          <w:lang w:val="pt-BR"/>
        </w:rPr>
        <w:br w:type="page"/>
      </w:r>
    </w:p>
    <w:p w:rsidR="004D5B16" w:rsidRPr="00D67BAC" w:rsidRDefault="004D5B16" w:rsidP="004D5B16">
      <w:pPr>
        <w:tabs>
          <w:tab w:val="left" w:pos="424"/>
        </w:tabs>
        <w:jc w:val="both"/>
        <w:rPr>
          <w:rFonts w:cs="Arial"/>
          <w:b/>
          <w:lang w:val="pt-BR"/>
        </w:rPr>
      </w:pPr>
      <w:r w:rsidRPr="00D67BAC">
        <w:rPr>
          <w:rFonts w:cs="Arial"/>
          <w:b/>
          <w:lang w:val="pt-BR"/>
        </w:rPr>
        <w:lastRenderedPageBreak/>
        <w:t>Equipamentos e meios audiovisuais necessários:</w:t>
      </w:r>
    </w:p>
    <w:p w:rsidR="004D5B16" w:rsidRPr="00D67BAC" w:rsidRDefault="004D5B16" w:rsidP="004D5B16">
      <w:pPr>
        <w:tabs>
          <w:tab w:val="left" w:pos="424"/>
        </w:tabs>
        <w:jc w:val="both"/>
        <w:rPr>
          <w:rFonts w:cs="Arial"/>
          <w:lang w:val="pt-BR"/>
        </w:rPr>
      </w:pPr>
    </w:p>
    <w:p w:rsidR="004D5B16" w:rsidRPr="00D67BAC" w:rsidRDefault="004D5B16" w:rsidP="004D5B16">
      <w:pPr>
        <w:tabs>
          <w:tab w:val="left" w:pos="424"/>
        </w:tabs>
        <w:jc w:val="both"/>
        <w:rPr>
          <w:rFonts w:cs="Arial"/>
          <w:lang w:val="pt-BR"/>
        </w:rPr>
      </w:pPr>
    </w:p>
    <w:p w:rsidR="004D5B16" w:rsidRDefault="004D5B16" w:rsidP="00506DE0">
      <w:pPr>
        <w:tabs>
          <w:tab w:val="left" w:pos="424"/>
        </w:tabs>
        <w:ind w:firstLine="720"/>
        <w:jc w:val="both"/>
        <w:rPr>
          <w:rFonts w:cs="Arial"/>
          <w:lang w:val="pt-BR"/>
        </w:rPr>
      </w:pPr>
    </w:p>
    <w:p w:rsidR="00506DE0" w:rsidRDefault="00506DE0" w:rsidP="00506DE0">
      <w:pPr>
        <w:tabs>
          <w:tab w:val="left" w:pos="424"/>
        </w:tabs>
        <w:ind w:firstLine="720"/>
        <w:jc w:val="both"/>
        <w:rPr>
          <w:rFonts w:cs="Arial"/>
          <w:lang w:val="pt-BR"/>
        </w:rPr>
      </w:pPr>
    </w:p>
    <w:p w:rsidR="00506DE0" w:rsidRDefault="00506DE0" w:rsidP="00506DE0">
      <w:pPr>
        <w:tabs>
          <w:tab w:val="left" w:pos="424"/>
        </w:tabs>
        <w:ind w:firstLine="720"/>
        <w:jc w:val="both"/>
        <w:rPr>
          <w:rFonts w:cs="Arial"/>
          <w:lang w:val="pt-BR"/>
        </w:rPr>
      </w:pPr>
    </w:p>
    <w:p w:rsidR="00506DE0" w:rsidRPr="00D67BAC" w:rsidRDefault="00506DE0" w:rsidP="00506DE0">
      <w:pPr>
        <w:tabs>
          <w:tab w:val="left" w:pos="424"/>
        </w:tabs>
        <w:ind w:firstLine="720"/>
        <w:jc w:val="both"/>
        <w:rPr>
          <w:rFonts w:cs="Arial"/>
          <w:lang w:val="pt-BR"/>
        </w:rPr>
      </w:pPr>
    </w:p>
    <w:p w:rsidR="004D5B16" w:rsidRPr="00D67BAC" w:rsidRDefault="004D5B16" w:rsidP="004D5B16">
      <w:pPr>
        <w:tabs>
          <w:tab w:val="left" w:pos="424"/>
        </w:tabs>
        <w:jc w:val="both"/>
        <w:rPr>
          <w:rFonts w:cs="Arial"/>
          <w:lang w:val="pt-BR"/>
        </w:rPr>
      </w:pPr>
    </w:p>
    <w:p w:rsidR="004D5B16" w:rsidRPr="00D67BAC" w:rsidRDefault="004D5B16" w:rsidP="004D5B16">
      <w:pPr>
        <w:tabs>
          <w:tab w:val="left" w:pos="424"/>
        </w:tabs>
        <w:jc w:val="both"/>
        <w:rPr>
          <w:rFonts w:cs="Arial"/>
          <w:lang w:val="pt-BR"/>
        </w:rPr>
      </w:pPr>
    </w:p>
    <w:p w:rsidR="004D5B16" w:rsidRPr="00D67BAC" w:rsidRDefault="004D5B16" w:rsidP="004D5B16">
      <w:pPr>
        <w:tabs>
          <w:tab w:val="left" w:pos="424"/>
        </w:tabs>
        <w:jc w:val="both"/>
        <w:rPr>
          <w:rFonts w:cs="Arial"/>
          <w:lang w:val="pt-BR"/>
        </w:rPr>
      </w:pPr>
      <w:r w:rsidRPr="00D67BAC">
        <w:rPr>
          <w:rFonts w:cs="Arial"/>
          <w:b/>
          <w:lang w:val="pt-BR"/>
        </w:rPr>
        <w:t>Trabalhos para casa (TPC), Exercícios e textos para leitura – incluir data a ser entregue:</w:t>
      </w:r>
      <w:r w:rsidRPr="00D67BAC">
        <w:rPr>
          <w:rFonts w:cs="Arial"/>
          <w:lang w:val="pt-BR"/>
        </w:rPr>
        <w:t xml:space="preserve"> </w:t>
      </w:r>
    </w:p>
    <w:p w:rsidR="004D5B16" w:rsidRPr="00D67BAC" w:rsidRDefault="004D5B16" w:rsidP="004D5B16">
      <w:pPr>
        <w:tabs>
          <w:tab w:val="left" w:pos="424"/>
        </w:tabs>
        <w:jc w:val="both"/>
        <w:rPr>
          <w:rFonts w:cs="Arial"/>
          <w:lang w:val="pt-BR"/>
        </w:rPr>
      </w:pPr>
    </w:p>
    <w:p w:rsidR="004D5B16" w:rsidRDefault="004D5B16" w:rsidP="004D5B16">
      <w:pPr>
        <w:tabs>
          <w:tab w:val="left" w:pos="424"/>
        </w:tabs>
        <w:jc w:val="both"/>
        <w:rPr>
          <w:rFonts w:cs="Arial"/>
          <w:lang w:val="pt-BR"/>
        </w:rPr>
      </w:pPr>
    </w:p>
    <w:p w:rsidR="009B602C" w:rsidRDefault="009B602C" w:rsidP="004D5B16">
      <w:pPr>
        <w:tabs>
          <w:tab w:val="left" w:pos="424"/>
        </w:tabs>
        <w:jc w:val="both"/>
        <w:rPr>
          <w:rFonts w:cs="Arial"/>
          <w:lang w:val="pt-BR"/>
        </w:rPr>
      </w:pPr>
    </w:p>
    <w:p w:rsidR="009B602C" w:rsidRDefault="009B602C" w:rsidP="004D5B16">
      <w:pPr>
        <w:tabs>
          <w:tab w:val="left" w:pos="424"/>
        </w:tabs>
        <w:jc w:val="both"/>
        <w:rPr>
          <w:rFonts w:cs="Arial"/>
          <w:lang w:val="pt-BR"/>
        </w:rPr>
      </w:pPr>
    </w:p>
    <w:p w:rsidR="009B602C" w:rsidRDefault="009B602C" w:rsidP="004D5B16">
      <w:pPr>
        <w:tabs>
          <w:tab w:val="left" w:pos="424"/>
        </w:tabs>
        <w:jc w:val="both"/>
        <w:rPr>
          <w:rFonts w:cs="Arial"/>
          <w:lang w:val="pt-BR"/>
        </w:rPr>
      </w:pPr>
    </w:p>
    <w:p w:rsidR="009B602C" w:rsidRPr="00D67BAC" w:rsidRDefault="009B602C" w:rsidP="004D5B16">
      <w:pPr>
        <w:tabs>
          <w:tab w:val="left" w:pos="424"/>
        </w:tabs>
        <w:jc w:val="both"/>
        <w:rPr>
          <w:rFonts w:cs="Arial"/>
          <w:lang w:val="pt-BR"/>
        </w:rPr>
      </w:pPr>
    </w:p>
    <w:p w:rsidR="004D5B16" w:rsidRPr="00D67BAC" w:rsidRDefault="004D5B16" w:rsidP="004D5B16">
      <w:pPr>
        <w:tabs>
          <w:tab w:val="left" w:pos="424"/>
        </w:tabs>
        <w:jc w:val="both"/>
        <w:rPr>
          <w:rFonts w:cs="Arial"/>
          <w:lang w:val="pt-BR"/>
        </w:rPr>
      </w:pPr>
    </w:p>
    <w:p w:rsidR="004D5B16" w:rsidRDefault="004D5B16" w:rsidP="004D5B16">
      <w:pPr>
        <w:tabs>
          <w:tab w:val="left" w:pos="424"/>
        </w:tabs>
        <w:jc w:val="both"/>
        <w:rPr>
          <w:rFonts w:cs="Arial"/>
          <w:lang w:val="pt-BR"/>
        </w:rPr>
      </w:pPr>
    </w:p>
    <w:p w:rsidR="00506DE0" w:rsidRDefault="00506DE0" w:rsidP="004D5B16">
      <w:pPr>
        <w:tabs>
          <w:tab w:val="left" w:pos="424"/>
        </w:tabs>
        <w:jc w:val="both"/>
        <w:rPr>
          <w:rFonts w:cs="Arial"/>
          <w:lang w:val="pt-BR"/>
        </w:rPr>
      </w:pPr>
    </w:p>
    <w:p w:rsidR="00506DE0" w:rsidRDefault="00506DE0" w:rsidP="004D5B16">
      <w:pPr>
        <w:tabs>
          <w:tab w:val="left" w:pos="424"/>
        </w:tabs>
        <w:jc w:val="both"/>
        <w:rPr>
          <w:rFonts w:cs="Arial"/>
          <w:lang w:val="pt-BR"/>
        </w:rPr>
      </w:pPr>
    </w:p>
    <w:p w:rsidR="00506DE0" w:rsidRDefault="00506DE0" w:rsidP="004D5B16">
      <w:pPr>
        <w:tabs>
          <w:tab w:val="left" w:pos="424"/>
        </w:tabs>
        <w:jc w:val="both"/>
        <w:rPr>
          <w:rFonts w:cs="Arial"/>
          <w:lang w:val="pt-BR"/>
        </w:rPr>
      </w:pPr>
    </w:p>
    <w:p w:rsidR="00506DE0" w:rsidRPr="00D67BAC" w:rsidRDefault="00506DE0" w:rsidP="004D5B16">
      <w:pPr>
        <w:tabs>
          <w:tab w:val="left" w:pos="424"/>
        </w:tabs>
        <w:jc w:val="both"/>
        <w:rPr>
          <w:rFonts w:cs="Arial"/>
          <w:lang w:val="pt-BR"/>
        </w:rPr>
      </w:pPr>
    </w:p>
    <w:p w:rsidR="004D5B16" w:rsidRDefault="004D5B16" w:rsidP="004D5B16">
      <w:pPr>
        <w:tabs>
          <w:tab w:val="left" w:pos="424"/>
        </w:tabs>
        <w:jc w:val="both"/>
        <w:rPr>
          <w:rFonts w:cs="Arial"/>
          <w:lang w:val="pt-BR"/>
        </w:rPr>
      </w:pPr>
    </w:p>
    <w:p w:rsidR="004D5B16" w:rsidRDefault="004D5B16" w:rsidP="004D5B16">
      <w:pPr>
        <w:tabs>
          <w:tab w:val="left" w:pos="424"/>
        </w:tabs>
        <w:jc w:val="both"/>
        <w:rPr>
          <w:rFonts w:cs="Arial"/>
          <w:lang w:val="pt-BR"/>
        </w:rPr>
      </w:pPr>
    </w:p>
    <w:p w:rsidR="004D5B16" w:rsidRDefault="004D5B16" w:rsidP="004D5B16">
      <w:pPr>
        <w:tabs>
          <w:tab w:val="left" w:pos="424"/>
        </w:tabs>
        <w:jc w:val="both"/>
        <w:rPr>
          <w:rFonts w:cs="Arial"/>
          <w:lang w:val="pt-BR"/>
        </w:rPr>
      </w:pPr>
    </w:p>
    <w:p w:rsidR="004D5B16" w:rsidRPr="00D67BAC" w:rsidRDefault="004D5B16" w:rsidP="004D5B16">
      <w:pPr>
        <w:tabs>
          <w:tab w:val="left" w:pos="424"/>
        </w:tabs>
        <w:jc w:val="both"/>
        <w:rPr>
          <w:rFonts w:cs="Arial"/>
          <w:b/>
          <w:lang w:val="pt-BR"/>
        </w:rPr>
      </w:pPr>
      <w:r w:rsidRPr="00D67BAC">
        <w:rPr>
          <w:rFonts w:cs="Arial"/>
          <w:b/>
          <w:lang w:val="pt-BR"/>
        </w:rPr>
        <w:t>Bibliografia (referências usadas para o desenvolvimento do conteúdo):</w:t>
      </w:r>
    </w:p>
    <w:p w:rsidR="004D5B16" w:rsidRPr="00F47FAF" w:rsidRDefault="004D5B16" w:rsidP="004D5B16">
      <w:pPr>
        <w:rPr>
          <w:lang w:val="pt-BR"/>
        </w:rPr>
      </w:pPr>
      <w:r w:rsidRPr="00C27151">
        <w:rPr>
          <w:lang w:val="pt-BR"/>
        </w:rPr>
        <w:t xml:space="preserve">Abbas, A.K., Lichtman, A.H. , Pllai, S. Imunologia Celular e Molecular. </w:t>
      </w:r>
      <w:r w:rsidRPr="00F47FAF">
        <w:rPr>
          <w:lang w:val="pt-BR"/>
        </w:rPr>
        <w:t>6ª. Ed. Elsevier. 2008</w:t>
      </w:r>
    </w:p>
    <w:p w:rsidR="004D5B16" w:rsidRDefault="004D5B16" w:rsidP="004D5B16">
      <w:pPr>
        <w:rPr>
          <w:lang w:val="pt-BR"/>
        </w:rPr>
      </w:pPr>
      <w:r w:rsidRPr="00C27151">
        <w:rPr>
          <w:lang w:val="pt-BR"/>
        </w:rPr>
        <w:t>Roitt, II., Delves, P. J. Roitt Fundamentos de Imunologia. Guanabara, 2004</w:t>
      </w:r>
    </w:p>
    <w:p w:rsidR="004D5B16" w:rsidRDefault="004D5B16" w:rsidP="004D5B16">
      <w:pPr>
        <w:rPr>
          <w:bCs/>
          <w:lang w:val="pt-BR"/>
        </w:rPr>
      </w:pPr>
      <w:r w:rsidRPr="00C27151">
        <w:rPr>
          <w:bCs/>
          <w:lang w:val="pt-BR"/>
        </w:rPr>
        <w:t xml:space="preserve">Engelkirk, P.G. Gwendolyn, B. Microbiologia para as Ciências da Saúde. 7ª. Ed. Guanabara Koogan. </w:t>
      </w:r>
    </w:p>
    <w:p w:rsidR="00D51901" w:rsidRDefault="00D51901">
      <w:pPr>
        <w:rPr>
          <w:rFonts w:cs="Arial"/>
          <w:bCs/>
          <w:lang w:val="pt-BR"/>
        </w:rPr>
      </w:pPr>
      <w:r>
        <w:rPr>
          <w:rFonts w:cs="Arial"/>
          <w:bCs/>
          <w:lang w:val="pt-BR"/>
        </w:rPr>
        <w:br w:type="page"/>
      </w:r>
    </w:p>
    <w:p w:rsidR="004D5B16" w:rsidRPr="005C54DD" w:rsidRDefault="004D5B16" w:rsidP="004D5B16">
      <w:pPr>
        <w:shd w:val="clear" w:color="auto" w:fill="C6D9F1" w:themeFill="text2" w:themeFillTint="33"/>
        <w:rPr>
          <w:rFonts w:cs="Arial"/>
          <w:b/>
          <w:sz w:val="24"/>
        </w:rPr>
      </w:pPr>
      <w:r w:rsidRPr="00070548">
        <w:rPr>
          <w:rFonts w:cs="Arial"/>
          <w:b/>
          <w:sz w:val="24"/>
        </w:rPr>
        <w:lastRenderedPageBreak/>
        <w:t>BLOCO 1: INTRODUÇÃO À AULA</w:t>
      </w:r>
      <w:r w:rsidRPr="005C54DD">
        <w:rPr>
          <w:rFonts w:cs="Arial"/>
          <w:b/>
          <w:sz w:val="24"/>
        </w:rPr>
        <w:tab/>
      </w:r>
    </w:p>
    <w:p w:rsidR="006E05D4" w:rsidRDefault="004D5B16" w:rsidP="00C52E09">
      <w:pPr>
        <w:pStyle w:val="ListParagraph"/>
        <w:numPr>
          <w:ilvl w:val="1"/>
          <w:numId w:val="281"/>
        </w:numPr>
        <w:spacing w:before="120" w:after="0"/>
        <w:ind w:right="-43"/>
        <w:jc w:val="both"/>
        <w:rPr>
          <w:rFonts w:cs="Arial"/>
          <w:lang w:val="pt-BR"/>
        </w:rPr>
      </w:pPr>
      <w:r w:rsidRPr="006E05D4">
        <w:rPr>
          <w:rFonts w:cs="Arial"/>
          <w:lang w:val="pt-BR"/>
        </w:rPr>
        <w:t>Apresentação do tópico, conteúdos e objectivos de aprendizagem.</w:t>
      </w:r>
    </w:p>
    <w:p w:rsidR="006E05D4" w:rsidRDefault="004D5B16" w:rsidP="00C52E09">
      <w:pPr>
        <w:pStyle w:val="ListParagraph"/>
        <w:numPr>
          <w:ilvl w:val="1"/>
          <w:numId w:val="281"/>
        </w:numPr>
        <w:spacing w:before="120" w:after="0"/>
        <w:ind w:right="-43"/>
        <w:jc w:val="both"/>
        <w:rPr>
          <w:rFonts w:cs="Arial"/>
          <w:lang w:val="pt-BR"/>
        </w:rPr>
      </w:pPr>
      <w:r w:rsidRPr="006E05D4">
        <w:rPr>
          <w:rFonts w:cs="Arial"/>
          <w:lang w:val="pt-BR"/>
        </w:rPr>
        <w:t>Apresentação da estrutura da aula.</w:t>
      </w:r>
    </w:p>
    <w:p w:rsidR="004D5B16" w:rsidRPr="006E05D4" w:rsidRDefault="004D5B16" w:rsidP="00C52E09">
      <w:pPr>
        <w:pStyle w:val="ListParagraph"/>
        <w:numPr>
          <w:ilvl w:val="1"/>
          <w:numId w:val="281"/>
        </w:numPr>
        <w:spacing w:before="120" w:after="0"/>
        <w:ind w:right="-43"/>
        <w:jc w:val="both"/>
        <w:rPr>
          <w:rFonts w:cs="Arial"/>
          <w:lang w:val="pt-BR"/>
        </w:rPr>
      </w:pPr>
      <w:r w:rsidRPr="006E05D4">
        <w:rPr>
          <w:rFonts w:cs="Arial"/>
          <w:lang w:val="pt-BR"/>
        </w:rPr>
        <w:t>Apresentação da bibliografia que o aluno deverá manejar para ampliar os conhecimentos.</w:t>
      </w:r>
    </w:p>
    <w:p w:rsidR="004D5B16" w:rsidRPr="00C27151" w:rsidRDefault="004D5B16" w:rsidP="0070097E">
      <w:pPr>
        <w:pStyle w:val="TM-0"/>
        <w:spacing w:after="0"/>
        <w:rPr>
          <w:lang w:val="pt-BR"/>
        </w:rPr>
      </w:pPr>
    </w:p>
    <w:p w:rsidR="004D5B16" w:rsidRPr="0087503D" w:rsidRDefault="004D5B16" w:rsidP="004D5B16">
      <w:pPr>
        <w:shd w:val="clear" w:color="auto" w:fill="B8CCE4"/>
        <w:tabs>
          <w:tab w:val="left" w:pos="1276"/>
          <w:tab w:val="right" w:pos="8550"/>
        </w:tabs>
        <w:spacing w:before="120" w:after="120"/>
        <w:ind w:right="-43"/>
        <w:jc w:val="both"/>
        <w:rPr>
          <w:lang w:val="pt-BR"/>
        </w:rPr>
      </w:pPr>
      <w:r w:rsidRPr="004D5B16">
        <w:rPr>
          <w:rFonts w:cs="Arial"/>
          <w:b/>
          <w:sz w:val="24"/>
          <w:lang w:val="pt-BR"/>
        </w:rPr>
        <w:t>BLOCO 2. CONCEITOS BÁSICOS DA IMUNIDADE</w:t>
      </w:r>
      <w:r w:rsidRPr="0087503D">
        <w:rPr>
          <w:lang w:val="pt-BR"/>
        </w:rPr>
        <w:tab/>
      </w:r>
    </w:p>
    <w:p w:rsidR="004D5B16" w:rsidRDefault="004D5B16" w:rsidP="00C52E09">
      <w:pPr>
        <w:pStyle w:val="TM-2n"/>
        <w:numPr>
          <w:ilvl w:val="1"/>
          <w:numId w:val="43"/>
        </w:numPr>
        <w:spacing w:before="120" w:after="0" w:line="276" w:lineRule="auto"/>
        <w:ind w:left="540" w:hanging="540"/>
      </w:pPr>
      <w:r>
        <w:t>O sistema imune é um conjunto de órgãos, tecidos, células, moléculas, e processos que protegem o organismo de doenças, identificando e eliminando patógenos e outras ameaças como células cancerosas.</w:t>
      </w:r>
    </w:p>
    <w:p w:rsidR="004D5B16" w:rsidRDefault="004D5B16" w:rsidP="00C52E09">
      <w:pPr>
        <w:pStyle w:val="TM-2n"/>
        <w:numPr>
          <w:ilvl w:val="1"/>
          <w:numId w:val="43"/>
        </w:numPr>
        <w:spacing w:before="120" w:after="0" w:line="276" w:lineRule="auto"/>
        <w:ind w:left="540" w:hanging="540"/>
      </w:pPr>
      <w:r>
        <w:t>O ser humano possui diferentes mecanismos de defesa, tanto de ocorrência natural como adquiridos após estímulos, contra os antígenos (microrganismos patogénicos, substâncias químicas, físicas e outras).</w:t>
      </w:r>
    </w:p>
    <w:p w:rsidR="004D5B16" w:rsidRDefault="004D5B16" w:rsidP="00C52E09">
      <w:pPr>
        <w:pStyle w:val="TM-2n"/>
        <w:numPr>
          <w:ilvl w:val="1"/>
          <w:numId w:val="43"/>
        </w:numPr>
        <w:spacing w:before="120" w:after="0" w:line="276" w:lineRule="auto"/>
        <w:ind w:left="540" w:hanging="540"/>
      </w:pPr>
      <w:r>
        <w:t>Os mecanismos de defesa do ser humano podem ser estruturados em três níveis (linhas de defesa) diferentes.</w:t>
      </w:r>
    </w:p>
    <w:p w:rsidR="004D5B16" w:rsidRDefault="004D5B16" w:rsidP="00C52E09">
      <w:pPr>
        <w:pStyle w:val="TM-3n"/>
        <w:numPr>
          <w:ilvl w:val="2"/>
          <w:numId w:val="43"/>
        </w:numPr>
        <w:tabs>
          <w:tab w:val="clear" w:pos="1276"/>
          <w:tab w:val="left" w:pos="1350"/>
        </w:tabs>
        <w:spacing w:before="120" w:after="0" w:line="276" w:lineRule="auto"/>
        <w:ind w:left="1350"/>
      </w:pPr>
      <w:r>
        <w:t>Os dois primeiros níveis fazem parte das defesas inespecíficas, que visam destruir todos os tipos de substâncias estranhas (incluindo os agentes patogénicos)</w:t>
      </w:r>
      <w:r w:rsidDel="001C5D7A">
        <w:t xml:space="preserve"> </w:t>
      </w:r>
      <w:r>
        <w:t>que tentam entrar no organismo.</w:t>
      </w:r>
    </w:p>
    <w:p w:rsidR="004D5B16" w:rsidRDefault="004D5B16" w:rsidP="00C52E09">
      <w:pPr>
        <w:pStyle w:val="TM-3n"/>
        <w:numPr>
          <w:ilvl w:val="2"/>
          <w:numId w:val="43"/>
        </w:numPr>
        <w:tabs>
          <w:tab w:val="clear" w:pos="1276"/>
          <w:tab w:val="left" w:pos="1350"/>
        </w:tabs>
        <w:spacing w:before="120" w:after="0" w:line="276" w:lineRule="auto"/>
        <w:ind w:left="1350"/>
      </w:pPr>
      <w:r>
        <w:t>O terceiro nível chamada também por resposta imunológica, é específico, e envolve uma série de eventos dirigidos a um patógeno ou substância estranha específicas.</w:t>
      </w:r>
    </w:p>
    <w:p w:rsidR="004D5B16" w:rsidRDefault="004D5B16" w:rsidP="004D5B16">
      <w:pPr>
        <w:pStyle w:val="TM-3n"/>
        <w:numPr>
          <w:ilvl w:val="0"/>
          <w:numId w:val="0"/>
        </w:numPr>
        <w:tabs>
          <w:tab w:val="clear" w:pos="1276"/>
          <w:tab w:val="left" w:pos="1350"/>
        </w:tabs>
        <w:spacing w:before="120" w:after="0"/>
        <w:ind w:left="1350"/>
      </w:pPr>
    </w:p>
    <w:p w:rsidR="004D5B16" w:rsidRDefault="004D5B16" w:rsidP="004D5B16">
      <w:pPr>
        <w:pStyle w:val="TM-3n"/>
        <w:numPr>
          <w:ilvl w:val="0"/>
          <w:numId w:val="0"/>
        </w:numPr>
        <w:tabs>
          <w:tab w:val="clear" w:pos="1276"/>
          <w:tab w:val="left" w:pos="1350"/>
        </w:tabs>
        <w:spacing w:before="120" w:after="0"/>
        <w:ind w:left="1701" w:hanging="284"/>
        <w:jc w:val="center"/>
      </w:pPr>
      <w:r>
        <w:rPr>
          <w:noProof/>
          <w:lang w:val="en-ZW" w:eastAsia="en-ZW"/>
        </w:rPr>
        <w:drawing>
          <wp:inline distT="0" distB="0" distL="0" distR="0" wp14:anchorId="3E977E1A" wp14:editId="54CD90D3">
            <wp:extent cx="4729077" cy="2447925"/>
            <wp:effectExtent l="4848" t="0" r="0" b="0"/>
            <wp:docPr id="50" name="Object 1"/>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624736" cy="3963055"/>
                      <a:chOff x="1187624" y="1916832"/>
                      <a:chExt cx="6624736" cy="3963055"/>
                    </a:xfrm>
                  </a:grpSpPr>
                  <a:grpSp>
                    <a:nvGrpSpPr>
                      <a:cNvPr id="30" name="Group 29"/>
                      <a:cNvGrpSpPr/>
                    </a:nvGrpSpPr>
                    <a:grpSpPr>
                      <a:xfrm>
                        <a:off x="1187624" y="1916832"/>
                        <a:ext cx="6624736" cy="3963055"/>
                        <a:chOff x="395536" y="1916832"/>
                        <a:chExt cx="6624736" cy="3963055"/>
                      </a:xfrm>
                    </a:grpSpPr>
                    <a:cxnSp>
                      <a:nvCxnSpPr>
                        <a:cNvPr id="17" name="Straight Connector 16"/>
                        <a:cNvCxnSpPr/>
                      </a:nvCxnSpPr>
                      <a:spPr>
                        <a:xfrm rot="5400000">
                          <a:off x="2698921" y="4726015"/>
                          <a:ext cx="433789" cy="0"/>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a:grpSp>
                      <a:nvGrpSpPr>
                        <a:cNvPr id="4" name="Group 28"/>
                        <a:cNvGrpSpPr/>
                      </a:nvGrpSpPr>
                      <a:grpSpPr>
                        <a:xfrm>
                          <a:off x="395536" y="1916832"/>
                          <a:ext cx="6624736" cy="3963055"/>
                          <a:chOff x="395536" y="1916832"/>
                          <a:chExt cx="6624736" cy="3963055"/>
                        </a:xfrm>
                      </a:grpSpPr>
                      <a:sp>
                        <a:nvSpPr>
                          <a:cNvPr id="2" name="TextBox 3"/>
                          <a:cNvSpPr txBox="1"/>
                        </a:nvSpPr>
                        <a:spPr>
                          <a:xfrm>
                            <a:off x="2051720" y="1916832"/>
                            <a:ext cx="4320480" cy="646331"/>
                          </a:xfrm>
                          <a:prstGeom prst="rect">
                            <a:avLst/>
                          </a:prstGeom>
                          <a:noFill/>
                          <a:ln w="12700">
                            <a:solidFill>
                              <a:schemeClr val="tx1"/>
                            </a:solidFill>
                          </a:ln>
                        </a:spPr>
                        <a:txSp>
                          <a:txBody>
                            <a:bodyPr wrap="square" rtlCol="0">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r>
                                <a:rPr lang="en-GB" dirty="0" err="1" smtClean="0"/>
                                <a:t>Mecanismos</a:t>
                              </a:r>
                              <a:r>
                                <a:rPr lang="en-GB" dirty="0" smtClean="0"/>
                                <a:t> de </a:t>
                              </a:r>
                              <a:r>
                                <a:rPr lang="en-GB" dirty="0" err="1" smtClean="0"/>
                                <a:t>Defesa</a:t>
                              </a:r>
                              <a:r>
                                <a:rPr lang="en-GB" dirty="0" smtClean="0"/>
                                <a:t> do </a:t>
                              </a:r>
                              <a:r>
                                <a:rPr lang="en-GB" dirty="0" err="1" smtClean="0"/>
                                <a:t>organismo</a:t>
                              </a:r>
                              <a:endParaRPr lang="en-GB" dirty="0" smtClean="0"/>
                            </a:p>
                            <a:p>
                              <a:pPr algn="ctr"/>
                              <a:r>
                                <a:rPr lang="en-GB" dirty="0" smtClean="0"/>
                                <a:t>(</a:t>
                              </a:r>
                              <a:r>
                                <a:rPr lang="en-GB" dirty="0" err="1" smtClean="0"/>
                                <a:t>Imunidade</a:t>
                              </a:r>
                              <a:r>
                                <a:rPr lang="en-GB" dirty="0" smtClean="0"/>
                                <a:t>)</a:t>
                              </a:r>
                              <a:endParaRPr lang="en-GB" dirty="0"/>
                            </a:p>
                          </a:txBody>
                          <a:useSpRect/>
                        </a:txSp>
                      </a:sp>
                      <a:cxnSp>
                        <a:nvCxnSpPr>
                          <a:cNvPr id="6" name="Straight Connector 5"/>
                          <a:cNvCxnSpPr>
                            <a:stCxn id="4" idx="2"/>
                          </a:cNvCxnSpPr>
                        </a:nvCxnSpPr>
                        <a:spPr>
                          <a:xfrm rot="5400000">
                            <a:off x="3995066" y="2780057"/>
                            <a:ext cx="433789" cy="0"/>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a:cxnSp>
                        <a:nvCxnSpPr>
                          <a:cNvPr id="8" name="Straight Connector 7"/>
                          <a:cNvCxnSpPr/>
                        </a:nvCxnSpPr>
                        <a:spPr>
                          <a:xfrm>
                            <a:off x="2123728" y="2996952"/>
                            <a:ext cx="4104456" cy="0"/>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a:cxnSp>
                        <a:nvCxnSpPr>
                          <a:cNvPr id="10" name="Straight Connector 9"/>
                          <a:cNvCxnSpPr/>
                        </a:nvCxnSpPr>
                        <a:spPr>
                          <a:xfrm rot="5400000">
                            <a:off x="1907704" y="3212976"/>
                            <a:ext cx="432048" cy="0"/>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a:cxnSp>
                        <a:nvCxnSpPr>
                          <a:cNvPr id="11" name="Straight Connector 10"/>
                          <a:cNvCxnSpPr/>
                        </a:nvCxnSpPr>
                        <a:spPr>
                          <a:xfrm rot="5400000">
                            <a:off x="6012160" y="3212976"/>
                            <a:ext cx="432048" cy="0"/>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a:sp>
                        <a:nvSpPr>
                          <a:cNvPr id="12" name="TextBox 11"/>
                          <a:cNvSpPr txBox="1"/>
                        </a:nvSpPr>
                        <a:spPr>
                          <a:xfrm>
                            <a:off x="1115616" y="3429000"/>
                            <a:ext cx="1872208" cy="646331"/>
                          </a:xfrm>
                          <a:prstGeom prst="rect">
                            <a:avLst/>
                          </a:prstGeom>
                          <a:noFill/>
                          <a:ln w="12700">
                            <a:solidFill>
                              <a:schemeClr val="tx1"/>
                            </a:solidFill>
                          </a:ln>
                        </a:spPr>
                        <a:txSp>
                          <a:txBody>
                            <a:bodyPr wrap="square" rtlCol="0">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r>
                                <a:rPr lang="en-GB" dirty="0" err="1" smtClean="0"/>
                                <a:t>Mecanismos</a:t>
                              </a:r>
                              <a:r>
                                <a:rPr lang="en-GB" dirty="0" smtClean="0"/>
                                <a:t> </a:t>
                              </a:r>
                              <a:r>
                                <a:rPr lang="en-GB" dirty="0" err="1" smtClean="0"/>
                                <a:t>Inespecíficos</a:t>
                              </a:r>
                              <a:endParaRPr lang="en-GB" dirty="0"/>
                            </a:p>
                          </a:txBody>
                          <a:useSpRect/>
                        </a:txSp>
                      </a:sp>
                      <a:sp>
                        <a:nvSpPr>
                          <a:cNvPr id="13" name="TextBox 12"/>
                          <a:cNvSpPr txBox="1"/>
                        </a:nvSpPr>
                        <a:spPr>
                          <a:xfrm>
                            <a:off x="5148064" y="3429000"/>
                            <a:ext cx="1872208" cy="646331"/>
                          </a:xfrm>
                          <a:prstGeom prst="rect">
                            <a:avLst/>
                          </a:prstGeom>
                          <a:noFill/>
                          <a:ln w="12700">
                            <a:solidFill>
                              <a:schemeClr val="tx1"/>
                            </a:solidFill>
                          </a:ln>
                        </a:spPr>
                        <a:txSp>
                          <a:txBody>
                            <a:bodyPr wrap="square" rtlCol="0">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r>
                                <a:rPr lang="en-GB" dirty="0" err="1" smtClean="0"/>
                                <a:t>Mecanismos</a:t>
                              </a:r>
                              <a:r>
                                <a:rPr lang="en-GB" dirty="0" smtClean="0"/>
                                <a:t> </a:t>
                              </a:r>
                              <a:r>
                                <a:rPr lang="en-GB" dirty="0" err="1" smtClean="0"/>
                                <a:t>Específicos</a:t>
                              </a:r>
                              <a:endParaRPr lang="en-GB" dirty="0"/>
                            </a:p>
                          </a:txBody>
                          <a:useSpRect/>
                        </a:txSp>
                      </a:sp>
                      <a:cxnSp>
                        <a:nvCxnSpPr>
                          <a:cNvPr id="14" name="Straight Connector 13"/>
                          <a:cNvCxnSpPr/>
                        </a:nvCxnSpPr>
                        <a:spPr>
                          <a:xfrm rot="5400000">
                            <a:off x="1834825" y="4293967"/>
                            <a:ext cx="433789" cy="0"/>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a:cxnSp>
                        <a:nvCxnSpPr>
                          <a:cNvPr id="16" name="Straight Connector 15"/>
                          <a:cNvCxnSpPr/>
                        </a:nvCxnSpPr>
                        <a:spPr>
                          <a:xfrm rot="5400000">
                            <a:off x="898721" y="4726015"/>
                            <a:ext cx="433789" cy="0"/>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a:cxnSp>
                        <a:nvCxnSpPr>
                          <a:cNvPr id="19" name="Straight Connector 18"/>
                          <a:cNvCxnSpPr/>
                        </a:nvCxnSpPr>
                        <a:spPr>
                          <a:xfrm>
                            <a:off x="1115616" y="4509120"/>
                            <a:ext cx="1800200" cy="0"/>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a:sp>
                        <a:nvSpPr>
                          <a:cNvPr id="24" name="TextBox 23"/>
                          <a:cNvSpPr txBox="1"/>
                        </a:nvSpPr>
                        <a:spPr>
                          <a:xfrm>
                            <a:off x="395536" y="4941168"/>
                            <a:ext cx="1512168" cy="938719"/>
                          </a:xfrm>
                          <a:prstGeom prst="rect">
                            <a:avLst/>
                          </a:prstGeom>
                          <a:noFill/>
                          <a:ln w="12700">
                            <a:solidFill>
                              <a:schemeClr val="tx1"/>
                            </a:solidFill>
                          </a:ln>
                        </a:spPr>
                        <a:txSp>
                          <a:txBody>
                            <a:bodyPr wrap="square" rtlCol="0">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r>
                                <a:rPr lang="en-GB" sz="1100" dirty="0"/>
                                <a:t>1</a:t>
                              </a:r>
                              <a:r>
                                <a:rPr lang="en-GB" sz="1100" dirty="0" smtClean="0"/>
                                <a:t>a </a:t>
                              </a:r>
                              <a:r>
                                <a:rPr lang="en-GB" sz="1100" dirty="0" err="1" smtClean="0"/>
                                <a:t>linha</a:t>
                              </a:r>
                              <a:r>
                                <a:rPr lang="en-GB" sz="1100" dirty="0" smtClean="0"/>
                                <a:t> de </a:t>
                              </a:r>
                              <a:r>
                                <a:rPr lang="en-GB" sz="1100" dirty="0" err="1" smtClean="0"/>
                                <a:t>de</a:t>
                              </a:r>
                              <a:r>
                                <a:rPr lang="en-GB" sz="1100" dirty="0" smtClean="0"/>
                                <a:t> </a:t>
                              </a:r>
                              <a:r>
                                <a:rPr lang="en-GB" sz="1100" dirty="0" err="1" smtClean="0"/>
                                <a:t>defesa</a:t>
                              </a:r>
                              <a:r>
                                <a:rPr lang="en-GB" sz="1100" dirty="0" smtClean="0"/>
                                <a:t> </a:t>
                              </a:r>
                            </a:p>
                            <a:p>
                              <a:pPr algn="ctr"/>
                              <a:r>
                                <a:rPr lang="en-GB" sz="1100" dirty="0" smtClean="0"/>
                                <a:t>(Pele, </a:t>
                              </a:r>
                              <a:r>
                                <a:rPr lang="en-GB" sz="1100" dirty="0" err="1" smtClean="0"/>
                                <a:t>suor</a:t>
                              </a:r>
                              <a:r>
                                <a:rPr lang="en-GB" sz="1100" dirty="0" smtClean="0"/>
                                <a:t>, saliva, </a:t>
                              </a:r>
                              <a:r>
                                <a:rPr lang="en-GB" sz="1100" dirty="0" err="1" smtClean="0"/>
                                <a:t>cílios</a:t>
                              </a:r>
                              <a:r>
                                <a:rPr lang="en-GB" sz="1100" dirty="0" smtClean="0"/>
                                <a:t>, </a:t>
                              </a:r>
                              <a:r>
                                <a:rPr lang="en-GB" sz="1100" dirty="0" err="1" smtClean="0"/>
                                <a:t>acidez</a:t>
                              </a:r>
                              <a:r>
                                <a:rPr lang="en-GB" sz="1100" dirty="0" smtClean="0"/>
                                <a:t> </a:t>
                              </a:r>
                              <a:r>
                                <a:rPr lang="en-GB" sz="1100" dirty="0" err="1" smtClean="0"/>
                                <a:t>gástrica</a:t>
                              </a:r>
                              <a:r>
                                <a:rPr lang="en-GB" sz="1100" dirty="0" smtClean="0"/>
                                <a:t>)</a:t>
                              </a:r>
                              <a:endParaRPr lang="en-GB" sz="1100" dirty="0"/>
                            </a:p>
                          </a:txBody>
                          <a:useSpRect/>
                        </a:txSp>
                      </a:sp>
                      <a:sp>
                        <a:nvSpPr>
                          <a:cNvPr id="25" name="TextBox 24"/>
                          <a:cNvSpPr txBox="1"/>
                        </a:nvSpPr>
                        <a:spPr>
                          <a:xfrm>
                            <a:off x="2195736" y="4941168"/>
                            <a:ext cx="1584176" cy="769441"/>
                          </a:xfrm>
                          <a:prstGeom prst="rect">
                            <a:avLst/>
                          </a:prstGeom>
                          <a:noFill/>
                          <a:ln w="12700">
                            <a:solidFill>
                              <a:schemeClr val="tx1"/>
                            </a:solidFill>
                          </a:ln>
                        </a:spPr>
                        <a:txSp>
                          <a:txBody>
                            <a:bodyPr wrap="square" rtlCol="0">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r>
                                <a:rPr lang="en-GB" sz="1100" dirty="0" smtClean="0"/>
                                <a:t>2a </a:t>
                              </a:r>
                              <a:r>
                                <a:rPr lang="en-GB" sz="1100" dirty="0" err="1" smtClean="0"/>
                                <a:t>linha</a:t>
                              </a:r>
                              <a:r>
                                <a:rPr lang="en-GB" sz="1100" dirty="0" smtClean="0"/>
                                <a:t> de </a:t>
                              </a:r>
                              <a:r>
                                <a:rPr lang="en-GB" sz="1100" dirty="0" err="1" smtClean="0"/>
                                <a:t>de</a:t>
                              </a:r>
                              <a:r>
                                <a:rPr lang="en-GB" sz="1100" dirty="0" smtClean="0"/>
                                <a:t> </a:t>
                              </a:r>
                              <a:r>
                                <a:rPr lang="en-GB" sz="1100" dirty="0" err="1" smtClean="0"/>
                                <a:t>defesa</a:t>
                              </a:r>
                              <a:r>
                                <a:rPr lang="en-GB" sz="1100" dirty="0" smtClean="0"/>
                                <a:t> </a:t>
                              </a:r>
                            </a:p>
                            <a:p>
                              <a:pPr algn="ctr"/>
                              <a:r>
                                <a:rPr lang="en-GB" sz="1100" dirty="0" smtClean="0"/>
                                <a:t>(</a:t>
                              </a:r>
                              <a:r>
                                <a:rPr lang="en-GB" sz="1100" dirty="0" err="1" smtClean="0"/>
                                <a:t>granulócitos</a:t>
                              </a:r>
                              <a:r>
                                <a:rPr lang="en-GB" sz="1100" dirty="0" smtClean="0"/>
                                <a:t>, </a:t>
                              </a:r>
                              <a:r>
                                <a:rPr lang="en-GB" sz="1100" dirty="0" err="1" smtClean="0"/>
                                <a:t>macrófagos</a:t>
                              </a:r>
                              <a:r>
                                <a:rPr lang="en-GB" sz="1100" dirty="0" smtClean="0"/>
                                <a:t>...)</a:t>
                              </a:r>
                            </a:p>
                            <a:p>
                              <a:pPr algn="ctr"/>
                              <a:r>
                                <a:rPr lang="en-GB" sz="1100" dirty="0" err="1" smtClean="0"/>
                                <a:t>Resposta</a:t>
                              </a:r>
                              <a:r>
                                <a:rPr lang="en-GB" sz="1100" dirty="0" smtClean="0"/>
                                <a:t> </a:t>
                              </a:r>
                              <a:r>
                                <a:rPr lang="en-GB" sz="1100" dirty="0" err="1" smtClean="0"/>
                                <a:t>Inflamatória</a:t>
                              </a:r>
                              <a:endParaRPr lang="en-GB" sz="1100" dirty="0"/>
                            </a:p>
                          </a:txBody>
                          <a:useSpRect/>
                        </a:txSp>
                      </a:sp>
                      <a:sp>
                        <a:nvSpPr>
                          <a:cNvPr id="26" name="TextBox 25"/>
                          <a:cNvSpPr txBox="1"/>
                        </a:nvSpPr>
                        <a:spPr>
                          <a:xfrm>
                            <a:off x="5292080" y="4869160"/>
                            <a:ext cx="1512168" cy="600164"/>
                          </a:xfrm>
                          <a:prstGeom prst="rect">
                            <a:avLst/>
                          </a:prstGeom>
                          <a:noFill/>
                          <a:ln w="12700">
                            <a:solidFill>
                              <a:schemeClr val="tx1"/>
                            </a:solidFill>
                          </a:ln>
                        </a:spPr>
                        <a:txSp>
                          <a:txBody>
                            <a:bodyPr wrap="square" rtlCol="0">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r>
                                <a:rPr lang="en-GB" sz="1100" dirty="0"/>
                                <a:t>3</a:t>
                              </a:r>
                              <a:r>
                                <a:rPr lang="en-GB" sz="1100" dirty="0" smtClean="0"/>
                                <a:t>a </a:t>
                              </a:r>
                              <a:r>
                                <a:rPr lang="en-GB" sz="1100" dirty="0" err="1" smtClean="0"/>
                                <a:t>linha</a:t>
                              </a:r>
                              <a:r>
                                <a:rPr lang="en-GB" sz="1100" dirty="0" smtClean="0"/>
                                <a:t> de </a:t>
                              </a:r>
                              <a:r>
                                <a:rPr lang="en-GB" sz="1100" dirty="0" err="1" smtClean="0"/>
                                <a:t>de</a:t>
                              </a:r>
                              <a:r>
                                <a:rPr lang="en-GB" sz="1100" dirty="0" smtClean="0"/>
                                <a:t> </a:t>
                              </a:r>
                              <a:r>
                                <a:rPr lang="en-GB" sz="1100" dirty="0" err="1" smtClean="0"/>
                                <a:t>defesa</a:t>
                              </a:r>
                              <a:r>
                                <a:rPr lang="en-GB" sz="1100" dirty="0" smtClean="0"/>
                                <a:t> </a:t>
                              </a:r>
                            </a:p>
                            <a:p>
                              <a:pPr algn="ctr"/>
                              <a:r>
                                <a:rPr lang="en-GB" sz="1100" dirty="0" smtClean="0"/>
                                <a:t>(</a:t>
                              </a:r>
                              <a:r>
                                <a:rPr lang="en-GB" sz="1100" dirty="0" err="1" smtClean="0"/>
                                <a:t>Linfócitos</a:t>
                              </a:r>
                              <a:r>
                                <a:rPr lang="en-GB" sz="1100" dirty="0" smtClean="0"/>
                                <a:t> T e B)</a:t>
                              </a:r>
                              <a:endParaRPr lang="en-GB" sz="1100" dirty="0"/>
                            </a:p>
                          </a:txBody>
                          <a:useSpRect/>
                        </a:txSp>
                      </a:sp>
                      <a:cxnSp>
                        <a:nvCxnSpPr>
                          <a:cNvPr id="28" name="Straight Connector 27"/>
                          <a:cNvCxnSpPr/>
                        </a:nvCxnSpPr>
                        <a:spPr>
                          <a:xfrm rot="5400000">
                            <a:off x="5759261" y="4473987"/>
                            <a:ext cx="793829" cy="0"/>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a:grpSp>
                  </a:grpSp>
                </lc:lockedCanvas>
              </a:graphicData>
            </a:graphic>
          </wp:inline>
        </w:drawing>
      </w:r>
    </w:p>
    <w:p w:rsidR="004D5B16" w:rsidRDefault="004D5B16" w:rsidP="004D5B16">
      <w:pPr>
        <w:pStyle w:val="TM-3n"/>
        <w:numPr>
          <w:ilvl w:val="0"/>
          <w:numId w:val="0"/>
        </w:numPr>
        <w:tabs>
          <w:tab w:val="clear" w:pos="1276"/>
          <w:tab w:val="left" w:pos="1350"/>
        </w:tabs>
        <w:spacing w:before="120" w:after="0"/>
        <w:ind w:left="1701" w:hanging="284"/>
        <w:jc w:val="center"/>
      </w:pPr>
      <w:r w:rsidRPr="00506DE0">
        <w:rPr>
          <w:b/>
          <w:lang w:val="pt-BR"/>
        </w:rPr>
        <w:t>Figura 1:</w:t>
      </w:r>
      <w:r>
        <w:rPr>
          <w:lang w:val="pt-BR"/>
        </w:rPr>
        <w:t xml:space="preserve"> Mecanismos de defesa do organismo (imunidade)</w:t>
      </w:r>
    </w:p>
    <w:p w:rsidR="004D5B16" w:rsidRDefault="004D5B16" w:rsidP="00C52E09">
      <w:pPr>
        <w:pStyle w:val="TM-2n"/>
        <w:numPr>
          <w:ilvl w:val="1"/>
          <w:numId w:val="43"/>
        </w:numPr>
        <w:spacing w:before="120" w:after="0" w:line="276" w:lineRule="auto"/>
        <w:ind w:left="540" w:hanging="540"/>
      </w:pPr>
      <w:r>
        <w:t xml:space="preserve">Um antígeno </w:t>
      </w:r>
      <w:r w:rsidRPr="001D4A5D">
        <w:rPr>
          <w:lang w:val="pt-BR"/>
        </w:rPr>
        <w:t xml:space="preserve">é qualquer molécula capaz de gerar uma resposta imune. </w:t>
      </w:r>
      <w:r w:rsidRPr="00334832">
        <w:t>Normalmente são grandes proteínas, polissacarídios ou lípidos presentes na membrana de microrganismos, embora também possam ser moléculas livres (tóxicos, medicamentos,…) associadas ou não a proteínas circulantes</w:t>
      </w:r>
      <w:r>
        <w:t>. Podem ser fragmentos de bactérias, vírus, fungos ou protozoários, ou também podem originarem-se de outros tecidos animais ou vegetais.</w:t>
      </w:r>
    </w:p>
    <w:p w:rsidR="004D5B16" w:rsidRDefault="004D5B16" w:rsidP="00C52E09">
      <w:pPr>
        <w:pStyle w:val="TM-2n"/>
        <w:numPr>
          <w:ilvl w:val="1"/>
          <w:numId w:val="43"/>
        </w:numPr>
        <w:spacing w:before="120" w:after="0" w:line="276" w:lineRule="auto"/>
        <w:ind w:left="540" w:hanging="540"/>
      </w:pPr>
      <w:r>
        <w:t>O ponto mais importante na caracterização de um antígeno é que deve ser reconhecido pelo sistema imunológico, como substância estranha ao organismo humano. O sistema imune tem esta capacidade de discriminar os antígenos próprios e os antígenos estranhos.</w:t>
      </w:r>
    </w:p>
    <w:p w:rsidR="004D5B16" w:rsidRDefault="004D5B16" w:rsidP="00C52E09">
      <w:pPr>
        <w:pStyle w:val="TM-2n"/>
        <w:numPr>
          <w:ilvl w:val="1"/>
          <w:numId w:val="43"/>
        </w:numPr>
        <w:spacing w:before="120" w:after="0" w:line="276" w:lineRule="auto"/>
        <w:ind w:left="540" w:hanging="540"/>
      </w:pPr>
      <w:r>
        <w:t xml:space="preserve">Os anticorpos </w:t>
      </w:r>
      <w:r w:rsidRPr="00334832">
        <w:t xml:space="preserve">são glicoproteínas específicas (“imunoglobulinas” ou “gammaglobulinas”) produzidas pelos linfócitos B </w:t>
      </w:r>
      <w:r>
        <w:t xml:space="preserve">(um tipo de glóbulo branco) </w:t>
      </w:r>
      <w:r w:rsidRPr="00334832">
        <w:t>em resposta a presença dum antígeno concreto, com o qual se ligam para formar um “</w:t>
      </w:r>
      <w:r w:rsidRPr="00334832">
        <w:rPr>
          <w:i/>
        </w:rPr>
        <w:t xml:space="preserve">complexo” antígeno-anticorpo, </w:t>
      </w:r>
      <w:r w:rsidRPr="00334832">
        <w:t xml:space="preserve">capaz de </w:t>
      </w:r>
      <w:r w:rsidRPr="00334832">
        <w:lastRenderedPageBreak/>
        <w:t>desencadear os mecanismos da imunidade conducentes à sua destruição e eliminação</w:t>
      </w:r>
      <w:r>
        <w:t>.. Cada anticorpo tem actividade específica dirigida ao antígeno que determinou a sua produção.</w:t>
      </w:r>
    </w:p>
    <w:p w:rsidR="004D5B16" w:rsidRDefault="004D5B16" w:rsidP="00C52E09">
      <w:pPr>
        <w:pStyle w:val="TM-2n"/>
        <w:numPr>
          <w:ilvl w:val="1"/>
          <w:numId w:val="43"/>
        </w:numPr>
        <w:spacing w:before="120" w:after="0" w:line="276" w:lineRule="auto"/>
        <w:ind w:left="540" w:hanging="540"/>
      </w:pPr>
      <w:r>
        <w:t xml:space="preserve">A resposta imunológica só é provocada se o antígeno for reconhecido como estranho. Neste caso, podem começar diferentes processos, desde a produção de moléculas de defesa ou anticorpos até a activação de células específicas. </w:t>
      </w:r>
    </w:p>
    <w:p w:rsidR="004D5B16" w:rsidRDefault="004D5B16" w:rsidP="004D5B16">
      <w:pPr>
        <w:pStyle w:val="TM-2n"/>
        <w:numPr>
          <w:ilvl w:val="0"/>
          <w:numId w:val="0"/>
        </w:numPr>
        <w:spacing w:before="120" w:after="0"/>
        <w:ind w:left="540"/>
      </w:pPr>
    </w:p>
    <w:p w:rsidR="004D5B16" w:rsidRPr="0087503D" w:rsidRDefault="004D5B16" w:rsidP="004D5B16">
      <w:pPr>
        <w:shd w:val="clear" w:color="auto" w:fill="B8CCE4"/>
        <w:tabs>
          <w:tab w:val="left" w:pos="1276"/>
          <w:tab w:val="right" w:pos="8550"/>
        </w:tabs>
        <w:spacing w:before="120" w:after="120"/>
        <w:ind w:right="-43"/>
        <w:jc w:val="both"/>
        <w:rPr>
          <w:lang w:val="pt-BR"/>
        </w:rPr>
      </w:pPr>
      <w:r w:rsidRPr="004D5B16">
        <w:rPr>
          <w:rFonts w:cs="Arial"/>
          <w:b/>
          <w:sz w:val="24"/>
          <w:lang w:val="pt-BR"/>
        </w:rPr>
        <w:t>BLOCO 3. AS CÉLULAS DO SISTEMA IMUNE</w:t>
      </w:r>
      <w:r w:rsidRPr="0087503D">
        <w:rPr>
          <w:lang w:val="pt-BR"/>
        </w:rPr>
        <w:tab/>
      </w:r>
    </w:p>
    <w:p w:rsidR="004D5B16" w:rsidRDefault="004D5B16" w:rsidP="00A05CAA">
      <w:pPr>
        <w:pStyle w:val="TM-2n"/>
        <w:numPr>
          <w:ilvl w:val="1"/>
          <w:numId w:val="1"/>
        </w:numPr>
        <w:spacing w:before="120" w:after="0" w:line="276" w:lineRule="auto"/>
        <w:ind w:left="540" w:hanging="540"/>
      </w:pPr>
      <w:r>
        <w:t>As células mais importantes do sistema imune são os glóbulos brancos ou leucócitos. Eles encontram-se principalmente no sangue, mas também estão presentes no sistema linfático e em outros órgãos como baço e timo.</w:t>
      </w:r>
    </w:p>
    <w:p w:rsidR="004D5B16" w:rsidRDefault="004D5B16" w:rsidP="00A05CAA">
      <w:pPr>
        <w:pStyle w:val="TM-2n"/>
        <w:numPr>
          <w:ilvl w:val="1"/>
          <w:numId w:val="1"/>
        </w:numPr>
        <w:spacing w:before="120" w:after="0" w:line="276" w:lineRule="auto"/>
        <w:ind w:left="540" w:hanging="540"/>
      </w:pPr>
      <w:r>
        <w:t>Existem cinco tipos diferentes de leucócitos, todos eles derivados da mesma célula precursora na medula óssea. Os leucócitos são agrupados em duas categorias:</w:t>
      </w:r>
    </w:p>
    <w:p w:rsidR="004D5B16" w:rsidRDefault="004D5B16" w:rsidP="00A05CAA">
      <w:pPr>
        <w:pStyle w:val="TM-3n"/>
        <w:numPr>
          <w:ilvl w:val="2"/>
          <w:numId w:val="1"/>
        </w:numPr>
        <w:tabs>
          <w:tab w:val="clear" w:pos="1276"/>
        </w:tabs>
        <w:spacing w:before="120" w:after="0" w:line="276" w:lineRule="auto"/>
        <w:ind w:left="1350" w:hanging="720"/>
      </w:pPr>
      <w:r>
        <w:t>Granulocitos ou polimorfonucleares. Apresentam grânulos no seu citoplasma e núcleo segmentado, que tomam cores diferentes quando observados no microscópio óptico. Existem 3 tipos: neutrófilos, basófilos, e eosinófilos.</w:t>
      </w:r>
    </w:p>
    <w:p w:rsidR="004D5B16" w:rsidRDefault="004D5B16" w:rsidP="00A05CAA">
      <w:pPr>
        <w:pStyle w:val="TM-3n"/>
        <w:numPr>
          <w:ilvl w:val="2"/>
          <w:numId w:val="1"/>
        </w:numPr>
        <w:tabs>
          <w:tab w:val="clear" w:pos="1276"/>
        </w:tabs>
        <w:spacing w:before="120" w:after="0" w:line="276" w:lineRule="auto"/>
        <w:ind w:left="1350" w:hanging="720"/>
      </w:pPr>
      <w:r>
        <w:t xml:space="preserve">Agranulocitos ou mononucleares. </w:t>
      </w:r>
      <w:r w:rsidRPr="003C4B80">
        <w:t xml:space="preserve">Não contêm grânulos no seu citoplasma e </w:t>
      </w:r>
      <w:r>
        <w:t xml:space="preserve">o </w:t>
      </w:r>
      <w:r w:rsidRPr="003C4B80">
        <w:t xml:space="preserve">núcleo </w:t>
      </w:r>
      <w:r>
        <w:t xml:space="preserve">é </w:t>
      </w:r>
      <w:r w:rsidRPr="003C4B80">
        <w:t>regular (não segmentado). Ex</w:t>
      </w:r>
      <w:r>
        <w:t>istem 2 tipos: linfócitos e monócitos.</w:t>
      </w:r>
    </w:p>
    <w:p w:rsidR="004D5B16" w:rsidRDefault="004D5B16" w:rsidP="004D5B16">
      <w:pPr>
        <w:pStyle w:val="TM-3n"/>
        <w:numPr>
          <w:ilvl w:val="0"/>
          <w:numId w:val="0"/>
        </w:numPr>
        <w:tabs>
          <w:tab w:val="clear" w:pos="1276"/>
        </w:tabs>
        <w:spacing w:before="120" w:after="0"/>
        <w:ind w:left="630"/>
        <w:jc w:val="center"/>
      </w:pPr>
      <w:r>
        <w:rPr>
          <w:noProof/>
          <w:lang w:val="en-ZW" w:eastAsia="en-ZW"/>
        </w:rPr>
        <w:drawing>
          <wp:inline distT="0" distB="0" distL="0" distR="0" wp14:anchorId="6D39BF46" wp14:editId="5B6BCB5A">
            <wp:extent cx="3781425" cy="2152650"/>
            <wp:effectExtent l="19050" t="0" r="0" b="0"/>
            <wp:docPr id="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srcRect/>
                    <a:stretch>
                      <a:fillRect/>
                    </a:stretch>
                  </pic:blipFill>
                  <pic:spPr bwMode="auto">
                    <a:xfrm>
                      <a:off x="0" y="0"/>
                      <a:ext cx="3781425" cy="2152650"/>
                    </a:xfrm>
                    <a:prstGeom prst="rect">
                      <a:avLst/>
                    </a:prstGeom>
                    <a:noFill/>
                    <a:ln w="9525">
                      <a:noFill/>
                      <a:miter lim="800000"/>
                      <a:headEnd/>
                      <a:tailEnd/>
                    </a:ln>
                  </pic:spPr>
                </pic:pic>
              </a:graphicData>
            </a:graphic>
          </wp:inline>
        </w:drawing>
      </w:r>
    </w:p>
    <w:p w:rsidR="004D5B16" w:rsidRDefault="004D5B16" w:rsidP="004D5B16">
      <w:pPr>
        <w:pStyle w:val="TM-3n"/>
        <w:numPr>
          <w:ilvl w:val="0"/>
          <w:numId w:val="0"/>
        </w:numPr>
        <w:tabs>
          <w:tab w:val="clear" w:pos="1276"/>
        </w:tabs>
        <w:spacing w:before="120" w:after="0"/>
        <w:ind w:left="630"/>
        <w:jc w:val="center"/>
      </w:pPr>
      <w:r w:rsidRPr="00506DE0">
        <w:rPr>
          <w:b/>
        </w:rPr>
        <w:t>Figura 2:</w:t>
      </w:r>
      <w:r>
        <w:t xml:space="preserve"> Leucócitos no sangue</w:t>
      </w:r>
    </w:p>
    <w:p w:rsidR="004D5B16" w:rsidRDefault="004D5B16" w:rsidP="00A05CAA">
      <w:pPr>
        <w:pStyle w:val="TM-2n"/>
        <w:numPr>
          <w:ilvl w:val="1"/>
          <w:numId w:val="1"/>
        </w:numPr>
        <w:spacing w:before="120" w:after="0" w:line="276" w:lineRule="auto"/>
        <w:ind w:left="540" w:hanging="540"/>
      </w:pPr>
      <w:r>
        <w:t>Neutrófilos. Células que atacam e fagocitam (englobamento e digestão) particularmente bactérias e fungos, estando presentes em grandes quantidades no pús de feridas.</w:t>
      </w:r>
    </w:p>
    <w:p w:rsidR="004D5B16" w:rsidRDefault="004D5B16" w:rsidP="00A05CAA">
      <w:pPr>
        <w:pStyle w:val="TM-2n"/>
        <w:numPr>
          <w:ilvl w:val="1"/>
          <w:numId w:val="1"/>
        </w:numPr>
        <w:spacing w:before="120" w:after="0" w:line="276" w:lineRule="auto"/>
        <w:ind w:left="540" w:hanging="540"/>
      </w:pPr>
      <w:r>
        <w:t>Eosinófilos. São responsáveis pela resposta imunológica perante infecções por parasitas, e também são as células inflamatórias predominantes nas reacções alérgicas.</w:t>
      </w:r>
    </w:p>
    <w:p w:rsidR="004D5B16" w:rsidRDefault="004D5B16" w:rsidP="00A05CAA">
      <w:pPr>
        <w:pStyle w:val="TM-2n"/>
        <w:numPr>
          <w:ilvl w:val="1"/>
          <w:numId w:val="1"/>
        </w:numPr>
        <w:spacing w:before="120" w:after="0" w:line="276" w:lineRule="auto"/>
        <w:ind w:left="540" w:hanging="540"/>
      </w:pPr>
      <w:r>
        <w:t>Basófilos. Estão envolvidos principalmente em reacções alérgicas. Produzem histamina, que é um potente agente que causa inflamação.</w:t>
      </w:r>
    </w:p>
    <w:p w:rsidR="004D5B16" w:rsidRDefault="004D5B16" w:rsidP="00A05CAA">
      <w:pPr>
        <w:pStyle w:val="TM-2n"/>
        <w:numPr>
          <w:ilvl w:val="1"/>
          <w:numId w:val="1"/>
        </w:numPr>
        <w:spacing w:before="120" w:after="0" w:line="276" w:lineRule="auto"/>
        <w:ind w:left="540" w:hanging="540"/>
      </w:pPr>
      <w:r>
        <w:t>Linfócitos. São visualizados como células com pouco citoplasma e um grande núcleo muito corado que ocupa quase toda a célula. No sangue existem 3 tipos de linfócitos:</w:t>
      </w:r>
    </w:p>
    <w:p w:rsidR="004D5B16" w:rsidRDefault="004D5B16" w:rsidP="00A05CAA">
      <w:pPr>
        <w:pStyle w:val="TM-3n"/>
        <w:numPr>
          <w:ilvl w:val="2"/>
          <w:numId w:val="1"/>
        </w:numPr>
        <w:tabs>
          <w:tab w:val="clear" w:pos="1276"/>
        </w:tabs>
        <w:spacing w:before="120" w:after="0" w:line="276" w:lineRule="auto"/>
        <w:ind w:left="1350" w:hanging="720"/>
      </w:pPr>
      <w:r>
        <w:t>Linfócitos B. Responsáveis pela produção de anticorpos em resposta à presença de antígenos específico. Após a sua activação, alguns linfócitos B conservam a capacidade de produzir anticorpos específicos, actuando como células de memória.</w:t>
      </w:r>
    </w:p>
    <w:p w:rsidR="004D5B16" w:rsidRDefault="004D5B16" w:rsidP="00A05CAA">
      <w:pPr>
        <w:pStyle w:val="TM-3n"/>
        <w:numPr>
          <w:ilvl w:val="2"/>
          <w:numId w:val="1"/>
        </w:numPr>
        <w:tabs>
          <w:tab w:val="clear" w:pos="1276"/>
        </w:tabs>
        <w:spacing w:before="120" w:after="0" w:line="276" w:lineRule="auto"/>
        <w:ind w:left="1350" w:hanging="720"/>
      </w:pPr>
      <w:r>
        <w:t>Linfócitos T. Existem vários tipos, dos quais os mais importantes são:</w:t>
      </w:r>
    </w:p>
    <w:p w:rsidR="004D5B16" w:rsidRDefault="004D5B16" w:rsidP="00C52E09">
      <w:pPr>
        <w:pStyle w:val="TM-4n"/>
        <w:numPr>
          <w:ilvl w:val="0"/>
          <w:numId w:val="44"/>
        </w:numPr>
        <w:tabs>
          <w:tab w:val="clear" w:pos="720"/>
          <w:tab w:val="clear" w:pos="1134"/>
          <w:tab w:val="left" w:pos="1710"/>
        </w:tabs>
        <w:spacing w:before="120" w:after="0" w:line="276" w:lineRule="auto"/>
        <w:ind w:left="1710"/>
      </w:pPr>
      <w:r>
        <w:t xml:space="preserve">Células CD4+. Coordenam a resposta imunológica, e devido a isso são chamadas linfócitos auxiliares. São importantes nas infecções por bactérias intracelulares. São </w:t>
      </w:r>
      <w:r>
        <w:lastRenderedPageBreak/>
        <w:t>as células-alvo do HIV, que ataca e destrói estas células, produzindo imunodepressão.</w:t>
      </w:r>
    </w:p>
    <w:p w:rsidR="004D5B16" w:rsidRDefault="004D5B16" w:rsidP="00C52E09">
      <w:pPr>
        <w:pStyle w:val="TM-4n"/>
        <w:numPr>
          <w:ilvl w:val="0"/>
          <w:numId w:val="44"/>
        </w:numPr>
        <w:tabs>
          <w:tab w:val="clear" w:pos="720"/>
          <w:tab w:val="clear" w:pos="1134"/>
          <w:tab w:val="left" w:pos="1710"/>
        </w:tabs>
        <w:spacing w:before="120" w:after="0" w:line="276" w:lineRule="auto"/>
        <w:ind w:left="1710"/>
      </w:pPr>
      <w:r>
        <w:t>Células CD8+. São capazes de eliminar células infectadas por vírus e células cancerosas. Devido a isto são chamadas linfócitos citotóxicos.</w:t>
      </w:r>
    </w:p>
    <w:p w:rsidR="004D5B16" w:rsidRDefault="004D5B16" w:rsidP="00A05CAA">
      <w:pPr>
        <w:pStyle w:val="TM-3n"/>
        <w:numPr>
          <w:ilvl w:val="2"/>
          <w:numId w:val="1"/>
        </w:numPr>
        <w:tabs>
          <w:tab w:val="clear" w:pos="1276"/>
        </w:tabs>
        <w:spacing w:before="120" w:after="0" w:line="276" w:lineRule="auto"/>
        <w:ind w:left="1350" w:hanging="720"/>
      </w:pPr>
      <w:r>
        <w:t>Linfócitos NK (</w:t>
      </w:r>
      <w:r>
        <w:rPr>
          <w:i/>
        </w:rPr>
        <w:t>natural killer)</w:t>
      </w:r>
      <w:r>
        <w:t xml:space="preserve"> ou exterminadores naturais. São capazes de eliminar células do corpo que apresentem um sinal químico determinado. Por exemplo, as células infectadas por vírus ou as células cancerosas.</w:t>
      </w:r>
    </w:p>
    <w:p w:rsidR="004D5B16" w:rsidRDefault="004D5B16" w:rsidP="00A05CAA">
      <w:pPr>
        <w:pStyle w:val="TM-2n"/>
        <w:numPr>
          <w:ilvl w:val="1"/>
          <w:numId w:val="1"/>
        </w:numPr>
        <w:spacing w:before="120" w:after="0" w:line="276" w:lineRule="auto"/>
        <w:ind w:left="540" w:hanging="540"/>
      </w:pPr>
      <w:r>
        <w:t>Monócitos. São mais pequenos que os linfócitos, com núcleo pequeno apresentando  maior volume citoplasmático se comparados com os linfócitos. Têm várias funções diferentes, entre elas a fagocitose. Também conduzem muitos antígenos até outras células do sistema imune para iniciar a resposta imunológica. Podem migrar do sangue para outros tecidos do corpo, tomando duas formas diferentes:</w:t>
      </w:r>
    </w:p>
    <w:p w:rsidR="004D5B16" w:rsidRDefault="004D5B16" w:rsidP="00A05CAA">
      <w:pPr>
        <w:pStyle w:val="TM-3n"/>
        <w:numPr>
          <w:ilvl w:val="2"/>
          <w:numId w:val="1"/>
        </w:numPr>
        <w:tabs>
          <w:tab w:val="clear" w:pos="1276"/>
        </w:tabs>
        <w:spacing w:before="120" w:after="0" w:line="276" w:lineRule="auto"/>
        <w:ind w:left="1350" w:hanging="720"/>
      </w:pPr>
      <w:r>
        <w:t>Macrófagos. Responsáveis pelas actividades de fagocitose de restos celulares e patógenos nos tecidos, e outras funções de activação do sistema imune.</w:t>
      </w:r>
    </w:p>
    <w:p w:rsidR="004D5B16" w:rsidRDefault="004D5B16" w:rsidP="00A05CAA">
      <w:pPr>
        <w:pStyle w:val="TM-3n"/>
        <w:numPr>
          <w:ilvl w:val="2"/>
          <w:numId w:val="1"/>
        </w:numPr>
        <w:tabs>
          <w:tab w:val="clear" w:pos="1276"/>
        </w:tabs>
        <w:spacing w:before="120" w:after="0" w:line="276" w:lineRule="auto"/>
        <w:ind w:left="1350" w:hanging="720"/>
      </w:pPr>
      <w:r>
        <w:t>Células dendríticas. A sua função principal é o transporte de antígenos até os linfócitos T para desencadear a resposta imune.</w:t>
      </w:r>
    </w:p>
    <w:p w:rsidR="004D5B16" w:rsidRPr="000B25DB" w:rsidRDefault="004D5B16" w:rsidP="004D5B16">
      <w:pPr>
        <w:pStyle w:val="TM-0"/>
      </w:pPr>
    </w:p>
    <w:p w:rsidR="004D5B16" w:rsidRPr="004D5B16" w:rsidRDefault="004D5B16" w:rsidP="004D5B16">
      <w:pPr>
        <w:shd w:val="clear" w:color="auto" w:fill="B8CCE4"/>
        <w:spacing w:before="120" w:after="120"/>
        <w:ind w:right="-43"/>
        <w:jc w:val="both"/>
        <w:rPr>
          <w:b/>
          <w:bCs/>
          <w:sz w:val="24"/>
          <w:szCs w:val="20"/>
          <w:lang w:val="pt-BR" w:eastAsia="es-ES"/>
        </w:rPr>
      </w:pPr>
      <w:r w:rsidRPr="004D5B16">
        <w:rPr>
          <w:b/>
          <w:bCs/>
          <w:sz w:val="24"/>
          <w:szCs w:val="20"/>
          <w:lang w:val="pt-BR" w:eastAsia="es-ES"/>
        </w:rPr>
        <w:t>BLOCO 4. OS TECIDOS DO SISTEMA IMUNE</w:t>
      </w:r>
    </w:p>
    <w:p w:rsidR="004D5B16" w:rsidRPr="009044E8" w:rsidRDefault="004D5B16" w:rsidP="00C52E09">
      <w:pPr>
        <w:pStyle w:val="TM-2n"/>
        <w:numPr>
          <w:ilvl w:val="1"/>
          <w:numId w:val="45"/>
        </w:numPr>
        <w:spacing w:before="120" w:after="0" w:line="276" w:lineRule="auto"/>
        <w:ind w:left="540" w:hanging="540"/>
      </w:pPr>
      <w:r w:rsidRPr="00A34496">
        <w:rPr>
          <w:lang w:val="pt-BR"/>
        </w:rPr>
        <w:t xml:space="preserve">Além das células e substâncias que participam nas diferentes respostas defensivas, o </w:t>
      </w:r>
      <w:r w:rsidRPr="00A34496">
        <w:rPr>
          <w:b/>
          <w:lang w:val="pt-BR"/>
        </w:rPr>
        <w:t>sistema imune é composto por órgãos</w:t>
      </w:r>
      <w:r w:rsidRPr="00A34496">
        <w:rPr>
          <w:lang w:val="pt-BR"/>
        </w:rPr>
        <w:t xml:space="preserve"> , que intervêm de várias maneiras</w:t>
      </w:r>
      <w:r>
        <w:rPr>
          <w:lang w:val="pt-BR"/>
        </w:rPr>
        <w:t>:</w:t>
      </w:r>
    </w:p>
    <w:p w:rsidR="004D5B16" w:rsidRDefault="004D5B16" w:rsidP="00C52E09">
      <w:pPr>
        <w:pStyle w:val="TM-2n"/>
        <w:numPr>
          <w:ilvl w:val="2"/>
          <w:numId w:val="45"/>
        </w:numPr>
        <w:spacing w:before="120" w:after="0" w:line="276" w:lineRule="auto"/>
        <w:ind w:left="630" w:firstLine="0"/>
      </w:pPr>
      <w:r w:rsidRPr="009044E8">
        <w:rPr>
          <w:i/>
          <w:lang w:val="pt-BR"/>
        </w:rPr>
        <w:t>Órgãos linfáticos primários</w:t>
      </w:r>
      <w:r w:rsidRPr="009044E8">
        <w:rPr>
          <w:lang w:val="pt-BR"/>
        </w:rPr>
        <w:t xml:space="preserve">: medula óssea e timo. É onde se produzem as células </w:t>
      </w:r>
      <w:r>
        <w:rPr>
          <w:lang w:val="pt-BR"/>
        </w:rPr>
        <w:t>mad</w:t>
      </w:r>
      <w:r w:rsidRPr="009044E8">
        <w:rPr>
          <w:lang w:val="pt-BR"/>
        </w:rPr>
        <w:t>uras do sistema imune pela divisão dos seus precursores linfóides.</w:t>
      </w:r>
    </w:p>
    <w:p w:rsidR="004D5B16" w:rsidRPr="00D23C01" w:rsidRDefault="004D5B16" w:rsidP="00C52E09">
      <w:pPr>
        <w:pStyle w:val="TM-2n"/>
        <w:numPr>
          <w:ilvl w:val="2"/>
          <w:numId w:val="45"/>
        </w:numPr>
        <w:spacing w:before="120" w:after="0" w:line="276" w:lineRule="auto"/>
        <w:ind w:left="630" w:firstLine="0"/>
      </w:pPr>
      <w:r w:rsidRPr="009044E8">
        <w:rPr>
          <w:i/>
          <w:lang w:val="pt-BR"/>
        </w:rPr>
        <w:t>Órgãos linfáticos secundários:</w:t>
      </w:r>
      <w:r w:rsidRPr="009044E8">
        <w:rPr>
          <w:lang w:val="pt-BR"/>
        </w:rPr>
        <w:t xml:space="preserve"> amígdalas, baço, gânglios, fígado, tecido linfóide associado às mucosas. São os lugares onde migram as células formadas nos órgãos primários, para desempenhar as suas funções.</w:t>
      </w:r>
    </w:p>
    <w:p w:rsidR="004D5B16" w:rsidRPr="00D23C01" w:rsidRDefault="004D5B16" w:rsidP="00C52E09">
      <w:pPr>
        <w:pStyle w:val="TM-3n"/>
        <w:numPr>
          <w:ilvl w:val="2"/>
          <w:numId w:val="45"/>
        </w:numPr>
        <w:tabs>
          <w:tab w:val="clear" w:pos="1276"/>
          <w:tab w:val="left" w:pos="1350"/>
        </w:tabs>
        <w:spacing w:before="120" w:after="0" w:line="276" w:lineRule="auto"/>
        <w:ind w:left="1350"/>
      </w:pPr>
      <w:r w:rsidRPr="00D23C01">
        <w:rPr>
          <w:b/>
        </w:rPr>
        <w:t>Nódulos linfáticos</w:t>
      </w:r>
      <w:r w:rsidRPr="00D23C01">
        <w:t xml:space="preserve"> </w:t>
      </w:r>
      <w:r>
        <w:t xml:space="preserve">(gânglios) - </w:t>
      </w:r>
      <w:r w:rsidRPr="00D23C01">
        <w:t>onde ocorre a interacção entre as células do sistema imune com os antígenos, e a activação dos dois tipos de resposta imunológica (humoral e celular).</w:t>
      </w:r>
    </w:p>
    <w:p w:rsidR="004D5B16" w:rsidRDefault="004D5B16" w:rsidP="00C52E09">
      <w:pPr>
        <w:pStyle w:val="TM-3n"/>
        <w:numPr>
          <w:ilvl w:val="2"/>
          <w:numId w:val="45"/>
        </w:numPr>
        <w:tabs>
          <w:tab w:val="clear" w:pos="1276"/>
          <w:tab w:val="left" w:pos="1350"/>
        </w:tabs>
        <w:spacing w:before="120" w:after="0" w:line="276" w:lineRule="auto"/>
        <w:ind w:left="1350"/>
      </w:pPr>
      <w:r w:rsidRPr="00D23C01">
        <w:rPr>
          <w:b/>
        </w:rPr>
        <w:t>Baço</w:t>
      </w:r>
      <w:r w:rsidRPr="00D23C01">
        <w:t xml:space="preserve"> órgão também envolvido nas respostas imunológicas celular e humoral, para além de funcionar como filtro para a retirada de eritrócitos não viáveis na circulação sanguínea.</w:t>
      </w:r>
    </w:p>
    <w:p w:rsidR="004D5B16" w:rsidRPr="00D23C01" w:rsidRDefault="004D5B16" w:rsidP="00C52E09">
      <w:pPr>
        <w:pStyle w:val="TM-3n"/>
        <w:numPr>
          <w:ilvl w:val="2"/>
          <w:numId w:val="45"/>
        </w:numPr>
        <w:tabs>
          <w:tab w:val="clear" w:pos="1276"/>
          <w:tab w:val="left" w:pos="1350"/>
        </w:tabs>
        <w:spacing w:before="120" w:after="0" w:line="276" w:lineRule="auto"/>
        <w:ind w:left="1350"/>
      </w:pPr>
      <w:r>
        <w:rPr>
          <w:b/>
        </w:rPr>
        <w:t>Figado</w:t>
      </w:r>
      <w:r>
        <w:t xml:space="preserve"> – órgão envolvido na defesa celular (através das células de Kupfer) contra microrganismos</w:t>
      </w:r>
    </w:p>
    <w:p w:rsidR="004D5B16" w:rsidRPr="00D23C01" w:rsidRDefault="004D5B16" w:rsidP="00C52E09">
      <w:pPr>
        <w:pStyle w:val="TM-3n"/>
        <w:numPr>
          <w:ilvl w:val="2"/>
          <w:numId w:val="45"/>
        </w:numPr>
        <w:tabs>
          <w:tab w:val="clear" w:pos="1276"/>
          <w:tab w:val="left" w:pos="1350"/>
        </w:tabs>
        <w:spacing w:before="120" w:after="0" w:line="276" w:lineRule="auto"/>
        <w:ind w:left="1350"/>
      </w:pPr>
      <w:r w:rsidRPr="00D23C01">
        <w:rPr>
          <w:b/>
        </w:rPr>
        <w:t>Amígdalas</w:t>
      </w:r>
      <w:r w:rsidRPr="00D23C01">
        <w:t xml:space="preserve"> Constituem o primeiro mecanismo de defesa perante a patógenos ingeridos ou inalados.</w:t>
      </w:r>
    </w:p>
    <w:p w:rsidR="004D5B16" w:rsidRPr="00D23C01" w:rsidRDefault="004D5B16" w:rsidP="00C52E09">
      <w:pPr>
        <w:pStyle w:val="TM-3n"/>
        <w:numPr>
          <w:ilvl w:val="2"/>
          <w:numId w:val="45"/>
        </w:numPr>
        <w:tabs>
          <w:tab w:val="clear" w:pos="1276"/>
          <w:tab w:val="left" w:pos="1350"/>
        </w:tabs>
        <w:spacing w:before="120" w:after="0" w:line="276" w:lineRule="auto"/>
        <w:ind w:left="1350"/>
      </w:pPr>
      <w:r w:rsidRPr="00D23C01">
        <w:rPr>
          <w:b/>
        </w:rPr>
        <w:t>Tecido linfóide localizados nas mucosas</w:t>
      </w:r>
      <w:r w:rsidRPr="00D23C01">
        <w:t>, especialmente respiratória e gastrointestinal, que se encontra disperso em diferentes pontos, pronto para localizar e capturar antígenos que pelo epitélio mucoso.</w:t>
      </w:r>
    </w:p>
    <w:p w:rsidR="004D5B16" w:rsidRDefault="004D5B16" w:rsidP="004D5B16">
      <w:pPr>
        <w:pStyle w:val="TM-3n"/>
        <w:numPr>
          <w:ilvl w:val="0"/>
          <w:numId w:val="0"/>
        </w:numPr>
        <w:tabs>
          <w:tab w:val="clear" w:pos="1276"/>
        </w:tabs>
        <w:jc w:val="center"/>
        <w:rPr>
          <w:noProof/>
          <w:sz w:val="20"/>
          <w:lang w:eastAsia="en-US"/>
        </w:rPr>
      </w:pPr>
      <w:r>
        <w:rPr>
          <w:noProof/>
          <w:sz w:val="20"/>
          <w:lang w:val="en-ZW" w:eastAsia="en-ZW"/>
        </w:rPr>
        <w:lastRenderedPageBreak/>
        <w:drawing>
          <wp:inline distT="0" distB="0" distL="0" distR="0" wp14:anchorId="51651D53" wp14:editId="2F22ECFE">
            <wp:extent cx="3295650" cy="5105400"/>
            <wp:effectExtent l="19050" t="0" r="0" b="0"/>
            <wp:docPr id="6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srcRect/>
                    <a:stretch>
                      <a:fillRect/>
                    </a:stretch>
                  </pic:blipFill>
                  <pic:spPr bwMode="auto">
                    <a:xfrm>
                      <a:off x="0" y="0"/>
                      <a:ext cx="3295650" cy="5105400"/>
                    </a:xfrm>
                    <a:prstGeom prst="rect">
                      <a:avLst/>
                    </a:prstGeom>
                    <a:noFill/>
                    <a:ln w="9525">
                      <a:noFill/>
                      <a:miter lim="800000"/>
                      <a:headEnd/>
                      <a:tailEnd/>
                    </a:ln>
                  </pic:spPr>
                </pic:pic>
              </a:graphicData>
            </a:graphic>
          </wp:inline>
        </w:drawing>
      </w:r>
    </w:p>
    <w:p w:rsidR="004D5B16" w:rsidRDefault="004D5B16" w:rsidP="004D5B16">
      <w:pPr>
        <w:pStyle w:val="TM-3n"/>
        <w:numPr>
          <w:ilvl w:val="0"/>
          <w:numId w:val="0"/>
        </w:numPr>
        <w:tabs>
          <w:tab w:val="clear" w:pos="1276"/>
        </w:tabs>
        <w:jc w:val="center"/>
        <w:rPr>
          <w:noProof/>
          <w:sz w:val="20"/>
          <w:lang w:eastAsia="en-US"/>
        </w:rPr>
      </w:pPr>
      <w:r w:rsidRPr="00506DE0">
        <w:rPr>
          <w:b/>
          <w:noProof/>
          <w:sz w:val="20"/>
          <w:lang w:eastAsia="en-US"/>
        </w:rPr>
        <w:t>Figura 3:</w:t>
      </w:r>
      <w:r>
        <w:rPr>
          <w:noProof/>
          <w:sz w:val="20"/>
          <w:lang w:eastAsia="en-US"/>
        </w:rPr>
        <w:t xml:space="preserve"> órgãos linfáticos primários e secundários</w:t>
      </w:r>
    </w:p>
    <w:p w:rsidR="004D5B16" w:rsidRDefault="004D5B16" w:rsidP="004D5B16">
      <w:pPr>
        <w:pStyle w:val="TM-3n"/>
        <w:numPr>
          <w:ilvl w:val="0"/>
          <w:numId w:val="0"/>
        </w:numPr>
        <w:tabs>
          <w:tab w:val="clear" w:pos="1276"/>
        </w:tabs>
        <w:jc w:val="center"/>
      </w:pPr>
    </w:p>
    <w:p w:rsidR="004D5B16" w:rsidRPr="00D23C01" w:rsidRDefault="004D5B16" w:rsidP="004D5B16">
      <w:pPr>
        <w:shd w:val="clear" w:color="auto" w:fill="B8CCE4"/>
        <w:spacing w:before="120" w:after="120"/>
        <w:ind w:right="-43"/>
        <w:jc w:val="both"/>
        <w:rPr>
          <w:b/>
          <w:bCs/>
          <w:sz w:val="24"/>
          <w:szCs w:val="20"/>
          <w:lang w:eastAsia="es-ES"/>
        </w:rPr>
      </w:pPr>
      <w:proofErr w:type="gramStart"/>
      <w:r w:rsidRPr="00D23C01">
        <w:rPr>
          <w:b/>
          <w:bCs/>
          <w:sz w:val="24"/>
          <w:szCs w:val="20"/>
          <w:lang w:eastAsia="es-ES"/>
        </w:rPr>
        <w:t>BLOCO 5.</w:t>
      </w:r>
      <w:proofErr w:type="gramEnd"/>
      <w:r w:rsidRPr="00D23C01">
        <w:rPr>
          <w:b/>
          <w:bCs/>
          <w:sz w:val="24"/>
          <w:szCs w:val="20"/>
          <w:lang w:eastAsia="es-ES"/>
        </w:rPr>
        <w:t xml:space="preserve"> IMUNIDADE HUMORAL</w:t>
      </w:r>
    </w:p>
    <w:p w:rsidR="004D5B16" w:rsidRDefault="004D5B16" w:rsidP="00C52E09">
      <w:pPr>
        <w:pStyle w:val="TM-2n"/>
        <w:numPr>
          <w:ilvl w:val="1"/>
          <w:numId w:val="250"/>
        </w:numPr>
        <w:spacing w:before="120" w:after="0" w:line="276" w:lineRule="auto"/>
        <w:ind w:left="540" w:hanging="540"/>
      </w:pPr>
      <w:r>
        <w:t>A imunidade humoral caracteriza-se pela produção de anticorpos, como resposta à presença de antígenos reconhecidos como estranhos.</w:t>
      </w:r>
    </w:p>
    <w:p w:rsidR="004D5B16" w:rsidRDefault="004D5B16" w:rsidP="00C52E09">
      <w:pPr>
        <w:pStyle w:val="TM-2n"/>
        <w:numPr>
          <w:ilvl w:val="1"/>
          <w:numId w:val="250"/>
        </w:numPr>
        <w:spacing w:before="120" w:after="0" w:line="276" w:lineRule="auto"/>
        <w:ind w:left="540" w:hanging="540"/>
      </w:pPr>
      <w:r>
        <w:t>O grau de especificidade dos anticorpos é muito alto, e normalmente só reconhecem e se ligam ao antígeno que estimulou a sua produção.</w:t>
      </w:r>
    </w:p>
    <w:p w:rsidR="004D5B16" w:rsidRDefault="004D5B16" w:rsidP="00C52E09">
      <w:pPr>
        <w:pStyle w:val="TM-2n"/>
        <w:numPr>
          <w:ilvl w:val="1"/>
          <w:numId w:val="250"/>
        </w:numPr>
        <w:spacing w:before="120" w:after="0" w:line="276" w:lineRule="auto"/>
        <w:ind w:left="540" w:hanging="540"/>
      </w:pPr>
      <w:r>
        <w:t>Os anticorpos se encontram normalmente no sangue, mas também em outros fluidos e secreções corporais (linfa, saliva, lágrimas, leite materno).</w:t>
      </w:r>
    </w:p>
    <w:p w:rsidR="004D5B16" w:rsidRDefault="004D5B16" w:rsidP="00C52E09">
      <w:pPr>
        <w:pStyle w:val="TM-2n"/>
        <w:numPr>
          <w:ilvl w:val="1"/>
          <w:numId w:val="250"/>
        </w:numPr>
        <w:spacing w:before="120" w:after="0" w:line="276" w:lineRule="auto"/>
        <w:ind w:left="540" w:hanging="540"/>
      </w:pPr>
      <w:r>
        <w:t>Após a exposição a um antígeno, produz-se uma resposta primária tardia na produção de anticorpos, que normalmente demora entre 10 e 14 dias a iniciar. Em exposições posteriores ao mesmo antígeno, a resposta secundária é gerada muito mais rapidamente (entre 1 a 3 dias), produzindo uma grande quantidade de anticorpos (isto devido a memória imunológica).</w:t>
      </w:r>
    </w:p>
    <w:p w:rsidR="004D5B16" w:rsidRDefault="004D5B16" w:rsidP="00C52E09">
      <w:pPr>
        <w:pStyle w:val="TM-2n"/>
        <w:numPr>
          <w:ilvl w:val="1"/>
          <w:numId w:val="250"/>
        </w:numPr>
        <w:spacing w:before="120" w:after="0" w:line="276" w:lineRule="auto"/>
        <w:ind w:left="540" w:hanging="540"/>
      </w:pPr>
      <w:r>
        <w:t>Normalmente, os antígenos devem ser processados por determinadas células presentes no sangue. Os passos envolvidos neste processamento são os seguintes:</w:t>
      </w:r>
    </w:p>
    <w:p w:rsidR="006D397B" w:rsidRDefault="004D5B16" w:rsidP="00C52E09">
      <w:pPr>
        <w:pStyle w:val="TM-3n"/>
        <w:numPr>
          <w:ilvl w:val="2"/>
          <w:numId w:val="251"/>
        </w:numPr>
        <w:tabs>
          <w:tab w:val="clear" w:pos="1276"/>
          <w:tab w:val="left" w:pos="1350"/>
        </w:tabs>
        <w:spacing w:before="120" w:after="0" w:line="276" w:lineRule="auto"/>
        <w:ind w:hanging="180"/>
      </w:pPr>
      <w:r>
        <w:t>O antígeno (qualquer agente estranho ao organismo, também pode ser uma célula bacteriana), é ingerido e digerido por um tipo específico de células chamadas macrófagos.</w:t>
      </w:r>
    </w:p>
    <w:p w:rsidR="004D5B16" w:rsidRDefault="004D5B16" w:rsidP="00C52E09">
      <w:pPr>
        <w:pStyle w:val="TM-3n"/>
        <w:numPr>
          <w:ilvl w:val="2"/>
          <w:numId w:val="251"/>
        </w:numPr>
        <w:tabs>
          <w:tab w:val="clear" w:pos="1276"/>
          <w:tab w:val="left" w:pos="1350"/>
        </w:tabs>
        <w:spacing w:before="120" w:after="0" w:line="276" w:lineRule="auto"/>
        <w:ind w:hanging="180"/>
      </w:pPr>
      <w:r>
        <w:t>Após a digestão, o macrófago expõe os antígenos na sua superfície celular.</w:t>
      </w:r>
    </w:p>
    <w:p w:rsidR="006D397B" w:rsidRDefault="006D397B" w:rsidP="00C52E09">
      <w:pPr>
        <w:pStyle w:val="TM-3n"/>
        <w:numPr>
          <w:ilvl w:val="2"/>
          <w:numId w:val="251"/>
        </w:numPr>
        <w:tabs>
          <w:tab w:val="clear" w:pos="1276"/>
          <w:tab w:val="left" w:pos="1350"/>
        </w:tabs>
        <w:spacing w:before="120" w:after="0" w:line="276" w:lineRule="auto"/>
        <w:ind w:hanging="180"/>
      </w:pPr>
      <w:r>
        <w:lastRenderedPageBreak/>
        <w:t>Um tipo especial de linfócitos, chamados células T, se ligam ao antígeno exposto pelo macrófago e começam a sintetizar sinais químicos</w:t>
      </w:r>
    </w:p>
    <w:p w:rsidR="006D397B" w:rsidRDefault="006D397B" w:rsidP="00C52E09">
      <w:pPr>
        <w:pStyle w:val="TM-3n"/>
        <w:numPr>
          <w:ilvl w:val="2"/>
          <w:numId w:val="251"/>
        </w:numPr>
        <w:tabs>
          <w:tab w:val="clear" w:pos="1276"/>
          <w:tab w:val="left" w:pos="1350"/>
        </w:tabs>
        <w:spacing w:before="120" w:after="0" w:line="276" w:lineRule="auto"/>
        <w:ind w:hanging="180"/>
      </w:pPr>
      <w:r>
        <w:t>Estes sinais químicos são recebidos por um terceiro grupo de células, chamadas células ou linfocitos B</w:t>
      </w:r>
    </w:p>
    <w:p w:rsidR="006D397B" w:rsidRDefault="006D397B" w:rsidP="00C52E09">
      <w:pPr>
        <w:pStyle w:val="TM-3n"/>
        <w:numPr>
          <w:ilvl w:val="2"/>
          <w:numId w:val="251"/>
        </w:numPr>
        <w:tabs>
          <w:tab w:val="clear" w:pos="1276"/>
          <w:tab w:val="left" w:pos="1350"/>
        </w:tabs>
        <w:spacing w:before="120" w:after="0" w:line="276" w:lineRule="auto"/>
        <w:ind w:hanging="180"/>
      </w:pPr>
      <w:r>
        <w:t>Os linfocitos B começam a se dividir, produzindo clones de células B (vários linfócitos B semelhantes).</w:t>
      </w:r>
    </w:p>
    <w:p w:rsidR="006D397B" w:rsidRDefault="006D397B" w:rsidP="00C52E09">
      <w:pPr>
        <w:pStyle w:val="TM-3n"/>
        <w:numPr>
          <w:ilvl w:val="2"/>
          <w:numId w:val="251"/>
        </w:numPr>
        <w:tabs>
          <w:tab w:val="clear" w:pos="1276"/>
          <w:tab w:val="left" w:pos="1350"/>
        </w:tabs>
        <w:spacing w:before="120" w:after="0" w:line="276" w:lineRule="auto"/>
        <w:ind w:hanging="180"/>
      </w:pPr>
      <w:r>
        <w:t>Uma parte dos clones se diferencia em células plasmáticas que vão produzir anticorpos específicos para o antígeno em causa.</w:t>
      </w:r>
    </w:p>
    <w:p w:rsidR="006D397B" w:rsidRDefault="006D397B" w:rsidP="00C52E09">
      <w:pPr>
        <w:pStyle w:val="TM-3n"/>
        <w:numPr>
          <w:ilvl w:val="2"/>
          <w:numId w:val="251"/>
        </w:numPr>
        <w:tabs>
          <w:tab w:val="clear" w:pos="1276"/>
          <w:tab w:val="left" w:pos="1350"/>
        </w:tabs>
        <w:spacing w:before="120" w:after="0" w:line="276" w:lineRule="auto"/>
        <w:ind w:hanging="180"/>
      </w:pPr>
      <w:r>
        <w:t>Outros clones permanecerão no organismo como células de memória, capazes de se activar rapidamente no caso em que o mesmo tipo de antígeno volta a penetrar no corpo.</w:t>
      </w:r>
    </w:p>
    <w:p w:rsidR="004D5B16" w:rsidRDefault="004D5B16" w:rsidP="004D5B16">
      <w:pPr>
        <w:pStyle w:val="TM-3n"/>
        <w:numPr>
          <w:ilvl w:val="0"/>
          <w:numId w:val="0"/>
        </w:numPr>
        <w:tabs>
          <w:tab w:val="clear" w:pos="1276"/>
          <w:tab w:val="left" w:pos="1350"/>
        </w:tabs>
        <w:spacing w:before="120" w:after="0"/>
        <w:ind w:left="1350"/>
      </w:pPr>
      <w:r>
        <w:rPr>
          <w:noProof/>
          <w:sz w:val="20"/>
          <w:lang w:val="en-ZW" w:eastAsia="en-ZW"/>
        </w:rPr>
        <w:drawing>
          <wp:inline distT="0" distB="0" distL="0" distR="0" wp14:anchorId="69EA9F11" wp14:editId="68E5445D">
            <wp:extent cx="4638675" cy="4781550"/>
            <wp:effectExtent l="57150" t="38100" r="47625" b="38100"/>
            <wp:docPr id="6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cstate="print">
                      <a:grayscl/>
                    </a:blip>
                    <a:srcRect b="4198"/>
                    <a:stretch>
                      <a:fillRect/>
                    </a:stretch>
                  </pic:blipFill>
                  <pic:spPr bwMode="auto">
                    <a:xfrm rot="-60000">
                      <a:off x="0" y="0"/>
                      <a:ext cx="4638675" cy="4781550"/>
                    </a:xfrm>
                    <a:prstGeom prst="rect">
                      <a:avLst/>
                    </a:prstGeom>
                    <a:noFill/>
                    <a:ln w="9525">
                      <a:noFill/>
                      <a:miter lim="800000"/>
                      <a:headEnd/>
                      <a:tailEnd/>
                    </a:ln>
                  </pic:spPr>
                </pic:pic>
              </a:graphicData>
            </a:graphic>
          </wp:inline>
        </w:drawing>
      </w:r>
    </w:p>
    <w:p w:rsidR="004D5B16" w:rsidRDefault="004D5B16" w:rsidP="004D5B16">
      <w:pPr>
        <w:pStyle w:val="TM-3n"/>
        <w:numPr>
          <w:ilvl w:val="0"/>
          <w:numId w:val="0"/>
        </w:numPr>
        <w:tabs>
          <w:tab w:val="clear" w:pos="1276"/>
          <w:tab w:val="left" w:pos="1350"/>
        </w:tabs>
        <w:spacing w:before="120" w:after="0"/>
        <w:ind w:left="630"/>
        <w:jc w:val="center"/>
      </w:pPr>
    </w:p>
    <w:p w:rsidR="004D5B16" w:rsidRDefault="004D5B16" w:rsidP="004D5B16">
      <w:pPr>
        <w:pStyle w:val="TM-3n"/>
        <w:numPr>
          <w:ilvl w:val="0"/>
          <w:numId w:val="0"/>
        </w:numPr>
        <w:tabs>
          <w:tab w:val="clear" w:pos="1276"/>
          <w:tab w:val="left" w:pos="1350"/>
        </w:tabs>
        <w:spacing w:before="120" w:after="0"/>
        <w:ind w:left="630"/>
        <w:jc w:val="center"/>
      </w:pPr>
      <w:r w:rsidRPr="00506DE0">
        <w:rPr>
          <w:b/>
        </w:rPr>
        <w:t>Figura 4:</w:t>
      </w:r>
      <w:r>
        <w:t xml:space="preserve"> Resposta Humoral – esquema central e à esquerda</w:t>
      </w:r>
    </w:p>
    <w:p w:rsidR="004D5B16" w:rsidRDefault="004D5B16" w:rsidP="00C52E09">
      <w:pPr>
        <w:pStyle w:val="TM-2n"/>
        <w:numPr>
          <w:ilvl w:val="1"/>
          <w:numId w:val="250"/>
        </w:numPr>
        <w:spacing w:before="120" w:after="0" w:line="276" w:lineRule="auto"/>
        <w:ind w:left="540" w:hanging="540"/>
      </w:pPr>
      <w:r>
        <w:t>Quando um anticorpo se liga a um antígeno, forma-se um complexo antígeno-anticorpo, que é capaz de activar a cascata do complemento. Isto resulta na activação de leucócitos, destruição das células bacterianas e aumento da fagocitose.</w:t>
      </w:r>
    </w:p>
    <w:p w:rsidR="004D5B16" w:rsidRDefault="004D5B16" w:rsidP="00C52E09">
      <w:pPr>
        <w:pStyle w:val="TM-2n"/>
        <w:numPr>
          <w:ilvl w:val="1"/>
          <w:numId w:val="250"/>
        </w:numPr>
        <w:spacing w:before="120" w:after="0" w:line="276" w:lineRule="auto"/>
        <w:ind w:left="540" w:hanging="540"/>
      </w:pPr>
      <w:r w:rsidRPr="00334832">
        <w:t>Os anticorpos ou imunoglobulinas tem estrutura em “Y”, com uma zona variável (específica para se ligar com cada antígeno) e uma zona constante (responsável pela actividade imune)</w:t>
      </w:r>
      <w:r>
        <w:t>.</w:t>
      </w:r>
    </w:p>
    <w:p w:rsidR="004D5B16" w:rsidRDefault="009A56D9" w:rsidP="004D5B16">
      <w:pPr>
        <w:pStyle w:val="TM-2n"/>
        <w:numPr>
          <w:ilvl w:val="0"/>
          <w:numId w:val="0"/>
        </w:numPr>
        <w:spacing w:before="120" w:after="0"/>
        <w:ind w:left="540"/>
        <w:jc w:val="center"/>
        <w:rPr>
          <w:noProof/>
          <w:sz w:val="20"/>
          <w:lang w:eastAsia="en-US"/>
        </w:rPr>
      </w:pPr>
      <w:r>
        <w:rPr>
          <w:noProof/>
          <w:sz w:val="20"/>
          <w:lang w:val="en-GB" w:eastAsia="en-GB"/>
        </w:rPr>
        <w:lastRenderedPageBreak/>
        <w:pict>
          <v:shapetype id="_x0000_t202" coordsize="21600,21600" o:spt="202" path="m,l,21600r21600,l21600,xe">
            <v:stroke joinstyle="miter"/>
            <v:path gradientshapeok="t" o:connecttype="rect"/>
          </v:shapetype>
          <v:shape id="_x0000_s1110" type="#_x0000_t202" style="position:absolute;left:0;text-align:left;margin-left:277.85pt;margin-top:130.5pt;width:170.65pt;height:35.3pt;z-index:251669504;mso-height-percent:200;mso-height-percent:200;mso-width-relative:margin;mso-height-relative:margin" filled="f" stroked="f">
            <v:textbox style="mso-next-textbox:#_x0000_s1110;mso-fit-shape-to-text:t">
              <w:txbxContent>
                <w:p w:rsidR="005630DE" w:rsidRPr="00DB25C7" w:rsidRDefault="005630DE" w:rsidP="004D5B16">
                  <w:pPr>
                    <w:rPr>
                      <w:sz w:val="20"/>
                      <w:lang w:val="pt-BR"/>
                    </w:rPr>
                  </w:pPr>
                  <w:r w:rsidRPr="00DB25C7">
                    <w:rPr>
                      <w:sz w:val="20"/>
                      <w:lang w:val="pt-BR"/>
                    </w:rPr>
                    <w:t>Imagem cortesia da Biblioteca Nacional de Medicina do EUA</w:t>
                  </w:r>
                </w:p>
              </w:txbxContent>
            </v:textbox>
          </v:shape>
        </w:pict>
      </w:r>
      <w:r w:rsidR="004D5B16">
        <w:rPr>
          <w:noProof/>
          <w:sz w:val="20"/>
          <w:lang w:val="en-ZW" w:eastAsia="en-ZW"/>
        </w:rPr>
        <w:drawing>
          <wp:inline distT="0" distB="0" distL="0" distR="0" wp14:anchorId="3E7C80EC" wp14:editId="496AAF1B">
            <wp:extent cx="2095500" cy="2733675"/>
            <wp:effectExtent l="0" t="0" r="0" b="0"/>
            <wp:docPr id="6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srcRect/>
                    <a:stretch>
                      <a:fillRect/>
                    </a:stretch>
                  </pic:blipFill>
                  <pic:spPr bwMode="auto">
                    <a:xfrm>
                      <a:off x="0" y="0"/>
                      <a:ext cx="2095500" cy="2733675"/>
                    </a:xfrm>
                    <a:prstGeom prst="rect">
                      <a:avLst/>
                    </a:prstGeom>
                    <a:noFill/>
                    <a:ln w="9525">
                      <a:noFill/>
                      <a:miter lim="800000"/>
                      <a:headEnd/>
                      <a:tailEnd/>
                    </a:ln>
                  </pic:spPr>
                </pic:pic>
              </a:graphicData>
            </a:graphic>
          </wp:inline>
        </w:drawing>
      </w:r>
    </w:p>
    <w:p w:rsidR="004D5B16" w:rsidRDefault="004D5B16" w:rsidP="004D5B16">
      <w:pPr>
        <w:pStyle w:val="TM-2n"/>
        <w:numPr>
          <w:ilvl w:val="0"/>
          <w:numId w:val="0"/>
        </w:numPr>
        <w:spacing w:before="120" w:after="0"/>
        <w:ind w:left="540"/>
        <w:jc w:val="center"/>
      </w:pPr>
      <w:r w:rsidRPr="00506DE0">
        <w:rPr>
          <w:b/>
          <w:noProof/>
          <w:sz w:val="20"/>
          <w:lang w:eastAsia="en-US"/>
        </w:rPr>
        <w:t>Figura 5:</w:t>
      </w:r>
      <w:r>
        <w:rPr>
          <w:noProof/>
          <w:sz w:val="20"/>
          <w:lang w:eastAsia="en-US"/>
        </w:rPr>
        <w:t xml:space="preserve"> Anticorpo</w:t>
      </w:r>
    </w:p>
    <w:p w:rsidR="004D5B16" w:rsidRDefault="004D5B16" w:rsidP="004D5B16">
      <w:pPr>
        <w:pStyle w:val="TM-2n"/>
        <w:numPr>
          <w:ilvl w:val="0"/>
          <w:numId w:val="0"/>
        </w:numPr>
        <w:spacing w:before="120" w:after="0"/>
        <w:ind w:left="540"/>
      </w:pPr>
    </w:p>
    <w:p w:rsidR="004D5B16" w:rsidRDefault="004D5B16" w:rsidP="00C52E09">
      <w:pPr>
        <w:pStyle w:val="TM-2n"/>
        <w:numPr>
          <w:ilvl w:val="1"/>
          <w:numId w:val="250"/>
        </w:numPr>
        <w:spacing w:before="120" w:after="0" w:line="276" w:lineRule="auto"/>
        <w:ind w:left="540" w:hanging="540"/>
      </w:pPr>
      <w:r>
        <w:t>No ser humano existem cinco tipos diferentes de imunoglobulinas (anticorpos). Os anticorpos têm diferentes propriedades para desempenhar a sua função: fixação e inactivação de antígenos, activação da cascata de complemento (reacções bioquímicas sequenciais que iniciam o processo de inflamação), estimulação para a liberação de mediadores/reguladores de inflamação e facilitação da fagocitose.</w:t>
      </w:r>
    </w:p>
    <w:p w:rsidR="006D397B" w:rsidRDefault="004D5B16" w:rsidP="00C52E09">
      <w:pPr>
        <w:pStyle w:val="TM-3n"/>
        <w:numPr>
          <w:ilvl w:val="2"/>
          <w:numId w:val="252"/>
        </w:numPr>
        <w:tabs>
          <w:tab w:val="clear" w:pos="1276"/>
          <w:tab w:val="left" w:pos="1350"/>
        </w:tabs>
        <w:spacing w:before="120" w:after="0" w:line="276" w:lineRule="auto"/>
        <w:ind w:hanging="180"/>
      </w:pPr>
      <w:r w:rsidRPr="00D23C01">
        <w:rPr>
          <w:b/>
        </w:rPr>
        <w:t>Imunoglobulina A (IgA),</w:t>
      </w:r>
      <w:r>
        <w:t xml:space="preserve"> é a classe predominante na saliva, lágrimas, leite materno, líquido seminal, secreções mucosas de nariz, pulmões e tracto gastrointestinal.</w:t>
      </w:r>
    </w:p>
    <w:p w:rsidR="006D397B" w:rsidRDefault="004D5B16" w:rsidP="00C52E09">
      <w:pPr>
        <w:pStyle w:val="TM-3n"/>
        <w:numPr>
          <w:ilvl w:val="2"/>
          <w:numId w:val="252"/>
        </w:numPr>
        <w:tabs>
          <w:tab w:val="clear" w:pos="1276"/>
          <w:tab w:val="left" w:pos="1350"/>
        </w:tabs>
        <w:spacing w:before="120" w:after="0" w:line="276" w:lineRule="auto"/>
        <w:ind w:hanging="180"/>
      </w:pPr>
      <w:r w:rsidRPr="006D397B">
        <w:rPr>
          <w:b/>
        </w:rPr>
        <w:t>Imunoglobulina D (IgD),</w:t>
      </w:r>
      <w:r>
        <w:t xml:space="preserve"> encontra-se sobre toda a superfície das células B.</w:t>
      </w:r>
    </w:p>
    <w:p w:rsidR="004D5B16" w:rsidRDefault="004D5B16" w:rsidP="00C52E09">
      <w:pPr>
        <w:pStyle w:val="TM-3n"/>
        <w:numPr>
          <w:ilvl w:val="2"/>
          <w:numId w:val="252"/>
        </w:numPr>
        <w:tabs>
          <w:tab w:val="clear" w:pos="1276"/>
          <w:tab w:val="left" w:pos="1350"/>
        </w:tabs>
        <w:spacing w:before="120" w:after="0" w:line="276" w:lineRule="auto"/>
        <w:ind w:hanging="180"/>
      </w:pPr>
      <w:r w:rsidRPr="006D397B">
        <w:rPr>
          <w:b/>
        </w:rPr>
        <w:t>Imunoglobulina E (IgE),</w:t>
      </w:r>
      <w:r>
        <w:t xml:space="preserve"> importante na resposta alérgica. Encontra-se na superfície dos basófilos.</w:t>
      </w:r>
    </w:p>
    <w:p w:rsidR="006D397B" w:rsidRDefault="006D397B" w:rsidP="00C52E09">
      <w:pPr>
        <w:pStyle w:val="TM-3n"/>
        <w:numPr>
          <w:ilvl w:val="2"/>
          <w:numId w:val="252"/>
        </w:numPr>
        <w:tabs>
          <w:tab w:val="clear" w:pos="1276"/>
          <w:tab w:val="left" w:pos="1350"/>
        </w:tabs>
        <w:spacing w:before="120" w:after="0" w:line="276" w:lineRule="auto"/>
        <w:ind w:hanging="180"/>
      </w:pPr>
      <w:r w:rsidRPr="00D23C01">
        <w:rPr>
          <w:b/>
        </w:rPr>
        <w:t>Imunoglobulina G (IgG),</w:t>
      </w:r>
      <w:r>
        <w:t xml:space="preserve"> esta imunoglobulina quando está ligada ao antígeno pode activar a cascata de complemento. É </w:t>
      </w:r>
      <w:r w:rsidRPr="00550DE9">
        <w:rPr>
          <w:b/>
        </w:rPr>
        <w:t>produzida pelas células de memória na resposta secundária</w:t>
      </w:r>
      <w:r>
        <w:t xml:space="preserve">, e pode permanecer durante períodos prolongados no indivíduo. </w:t>
      </w:r>
      <w:r w:rsidRPr="00550DE9">
        <w:rPr>
          <w:b/>
        </w:rPr>
        <w:t>É a única imunoglobulina capaz de atravessar a placenta.</w:t>
      </w:r>
    </w:p>
    <w:p w:rsidR="006D397B" w:rsidRDefault="006D397B" w:rsidP="00C52E09">
      <w:pPr>
        <w:pStyle w:val="TM-3n"/>
        <w:numPr>
          <w:ilvl w:val="2"/>
          <w:numId w:val="252"/>
        </w:numPr>
        <w:tabs>
          <w:tab w:val="clear" w:pos="1276"/>
          <w:tab w:val="left" w:pos="1350"/>
        </w:tabs>
        <w:spacing w:before="120" w:after="0" w:line="276" w:lineRule="auto"/>
        <w:ind w:hanging="180"/>
      </w:pPr>
      <w:r w:rsidRPr="00D23C01">
        <w:rPr>
          <w:b/>
        </w:rPr>
        <w:t>Imunoglobulina M (IgM),</w:t>
      </w:r>
      <w:r>
        <w:t xml:space="preserve"> apresenta-se em polímeros de cinco unidades iguais. </w:t>
      </w:r>
      <w:r w:rsidRPr="00550DE9">
        <w:rPr>
          <w:b/>
        </w:rPr>
        <w:t>São os primeiros anticorpos que se formam na resposta primária contra antígenos</w:t>
      </w:r>
      <w:r>
        <w:t>. Têm uma vida relativamente curta, de alguns meses.</w:t>
      </w:r>
    </w:p>
    <w:p w:rsidR="004D5B16" w:rsidRPr="000B25DB" w:rsidRDefault="004D5B16" w:rsidP="004D5B16">
      <w:pPr>
        <w:pStyle w:val="TM-3n"/>
        <w:numPr>
          <w:ilvl w:val="0"/>
          <w:numId w:val="0"/>
        </w:numPr>
        <w:tabs>
          <w:tab w:val="clear" w:pos="1276"/>
          <w:tab w:val="left" w:pos="1350"/>
        </w:tabs>
        <w:ind w:left="1350"/>
      </w:pPr>
    </w:p>
    <w:p w:rsidR="004D5B16" w:rsidRPr="00D23C01" w:rsidRDefault="004D5B16" w:rsidP="004D5B16">
      <w:pPr>
        <w:shd w:val="clear" w:color="auto" w:fill="B8CCE4"/>
        <w:spacing w:before="120" w:after="120"/>
        <w:ind w:right="-43"/>
        <w:jc w:val="both"/>
        <w:rPr>
          <w:b/>
          <w:bCs/>
          <w:sz w:val="24"/>
          <w:szCs w:val="20"/>
          <w:lang w:eastAsia="es-ES"/>
        </w:rPr>
      </w:pPr>
      <w:proofErr w:type="gramStart"/>
      <w:r w:rsidRPr="00D23C01">
        <w:rPr>
          <w:b/>
          <w:bCs/>
          <w:sz w:val="24"/>
          <w:szCs w:val="20"/>
          <w:lang w:eastAsia="es-ES"/>
        </w:rPr>
        <w:t>BLOCO 6.</w:t>
      </w:r>
      <w:proofErr w:type="gramEnd"/>
      <w:r w:rsidRPr="00D23C01">
        <w:rPr>
          <w:b/>
          <w:bCs/>
          <w:sz w:val="24"/>
          <w:szCs w:val="20"/>
          <w:lang w:eastAsia="es-ES"/>
        </w:rPr>
        <w:t xml:space="preserve"> IMUNIDADE CELULAR</w:t>
      </w:r>
    </w:p>
    <w:p w:rsidR="004D5B16" w:rsidRDefault="004D5B16" w:rsidP="00C52E09">
      <w:pPr>
        <w:pStyle w:val="TM-2n"/>
        <w:numPr>
          <w:ilvl w:val="1"/>
          <w:numId w:val="46"/>
        </w:numPr>
        <w:spacing w:before="120" w:after="0" w:line="276" w:lineRule="auto"/>
      </w:pPr>
      <w:r>
        <w:t>Os anticorpos são incapazes de entrar nas células, mesmo em células contendo patógenos intracelulares. Para resolver este problema, o organismo conta com a imunidade celular, que é um sistema de interacções entre diferentes tipos de células e secreções celulares.</w:t>
      </w:r>
    </w:p>
    <w:p w:rsidR="004D5B16" w:rsidRDefault="004D5B16" w:rsidP="00C52E09">
      <w:pPr>
        <w:pStyle w:val="TM-2n"/>
        <w:numPr>
          <w:ilvl w:val="1"/>
          <w:numId w:val="46"/>
        </w:numPr>
        <w:spacing w:before="120" w:after="0" w:line="276" w:lineRule="auto"/>
      </w:pPr>
      <w:r>
        <w:t>A resposta imune celular é também chamada citotóxica, já que envolve a destruição das células infectadas pelos patógenos intracelulares.</w:t>
      </w:r>
    </w:p>
    <w:p w:rsidR="004D5B16" w:rsidRDefault="004D5B16" w:rsidP="00C52E09">
      <w:pPr>
        <w:pStyle w:val="TM-2n"/>
        <w:numPr>
          <w:ilvl w:val="1"/>
          <w:numId w:val="46"/>
        </w:numPr>
        <w:spacing w:before="120" w:after="0" w:line="276" w:lineRule="auto"/>
      </w:pPr>
      <w:r>
        <w:t>Uma resposta citotóxica típica envolve os seguintes passos:</w:t>
      </w:r>
    </w:p>
    <w:p w:rsidR="004D5B16" w:rsidRDefault="004D5B16" w:rsidP="00C52E09">
      <w:pPr>
        <w:pStyle w:val="TM-2n"/>
        <w:numPr>
          <w:ilvl w:val="2"/>
          <w:numId w:val="46"/>
        </w:numPr>
        <w:spacing w:before="120" w:after="0" w:line="276" w:lineRule="auto"/>
        <w:ind w:left="1350" w:hanging="630"/>
      </w:pPr>
      <w:r>
        <w:t>Os macrófagos digerem os patógenos e apresenta os antígenos na sua superfície.</w:t>
      </w:r>
    </w:p>
    <w:p w:rsidR="004D5B16" w:rsidRDefault="004D5B16" w:rsidP="00C52E09">
      <w:pPr>
        <w:pStyle w:val="TM-2n"/>
        <w:numPr>
          <w:ilvl w:val="2"/>
          <w:numId w:val="46"/>
        </w:numPr>
        <w:spacing w:before="120" w:after="0" w:line="276" w:lineRule="auto"/>
        <w:ind w:left="1350" w:hanging="630"/>
      </w:pPr>
      <w:r>
        <w:t>As células T ligam-se ao antígeno e produz sinais químicos.</w:t>
      </w:r>
    </w:p>
    <w:p w:rsidR="004D5B16" w:rsidRDefault="004D5B16" w:rsidP="00C52E09">
      <w:pPr>
        <w:pStyle w:val="TM-2n"/>
        <w:numPr>
          <w:ilvl w:val="2"/>
          <w:numId w:val="46"/>
        </w:numPr>
        <w:spacing w:before="120" w:after="0" w:line="276" w:lineRule="auto"/>
        <w:ind w:left="1350" w:hanging="630"/>
      </w:pPr>
      <w:r>
        <w:lastRenderedPageBreak/>
        <w:t>Os sinais químicos atingem determinadas células do sistema imunológico, chamadas células efectoras. Existem vários tipos de células efectoras, entre elas células T, e também células T NK.</w:t>
      </w:r>
    </w:p>
    <w:p w:rsidR="004D5B16" w:rsidRDefault="004D5B16" w:rsidP="00C52E09">
      <w:pPr>
        <w:pStyle w:val="TM-2n"/>
        <w:numPr>
          <w:ilvl w:val="2"/>
          <w:numId w:val="46"/>
        </w:numPr>
        <w:spacing w:before="120" w:after="0" w:line="276" w:lineRule="auto"/>
        <w:ind w:left="1350" w:hanging="630"/>
      </w:pPr>
      <w:r>
        <w:t>A célula efectora liga-se a uma célula alvo (célula infectada pelo patógeno e que apresenta o antígeno na sua superfície).</w:t>
      </w:r>
    </w:p>
    <w:p w:rsidR="004D5B16" w:rsidRPr="000B25DB" w:rsidRDefault="004D5B16" w:rsidP="00C52E09">
      <w:pPr>
        <w:pStyle w:val="TM-2n"/>
        <w:numPr>
          <w:ilvl w:val="2"/>
          <w:numId w:val="46"/>
        </w:numPr>
        <w:spacing w:before="120" w:after="0" w:line="276" w:lineRule="auto"/>
        <w:ind w:left="1350" w:hanging="630"/>
      </w:pPr>
      <w:r>
        <w:t>A célula efectora elimina diversos produtos, que são tóxicos celulares e penetram na célula alvo, causando rompimento da membrana celular, das organelas e do DNA e provocando a morte celular (vide Figura 4, esquema central e à direita).</w:t>
      </w:r>
    </w:p>
    <w:p w:rsidR="004D5B16" w:rsidRPr="000B25DB" w:rsidRDefault="004D5B16" w:rsidP="004D5B16">
      <w:pPr>
        <w:pStyle w:val="TM-0"/>
      </w:pPr>
    </w:p>
    <w:p w:rsidR="004D5B16" w:rsidRPr="004D5B16" w:rsidRDefault="004D5B16" w:rsidP="004D5B16">
      <w:pPr>
        <w:shd w:val="clear" w:color="auto" w:fill="B8CCE4"/>
        <w:spacing w:before="120" w:after="120"/>
        <w:ind w:right="-43"/>
        <w:jc w:val="both"/>
        <w:rPr>
          <w:b/>
          <w:bCs/>
          <w:sz w:val="24"/>
          <w:szCs w:val="20"/>
          <w:lang w:val="pt-BR" w:eastAsia="es-ES"/>
        </w:rPr>
      </w:pPr>
      <w:r w:rsidRPr="004D5B16">
        <w:rPr>
          <w:b/>
          <w:bCs/>
          <w:sz w:val="24"/>
          <w:szCs w:val="20"/>
          <w:lang w:val="pt-BR" w:eastAsia="es-ES"/>
        </w:rPr>
        <w:t>BLOCO 7. PONTOS-CHAVE</w:t>
      </w:r>
    </w:p>
    <w:p w:rsidR="004D5B16" w:rsidRPr="004D5B16" w:rsidRDefault="004D5B16" w:rsidP="004D5B16">
      <w:pPr>
        <w:jc w:val="both"/>
        <w:rPr>
          <w:rFonts w:cs="Arial"/>
          <w:lang w:val="pt-BR"/>
        </w:rPr>
      </w:pPr>
      <w:r w:rsidRPr="004D5B16">
        <w:rPr>
          <w:rFonts w:cs="Arial"/>
          <w:lang w:val="pt-BR"/>
        </w:rPr>
        <w:t>7.1 O sistema imune protege o organismo de doenças, identificando e eliminando patógenos e outras ameaças para o organismo</w:t>
      </w:r>
    </w:p>
    <w:p w:rsidR="004D5B16" w:rsidRPr="004D5B16" w:rsidRDefault="004D5B16" w:rsidP="004D5B16">
      <w:pPr>
        <w:jc w:val="both"/>
        <w:rPr>
          <w:rFonts w:cs="Arial"/>
          <w:lang w:val="pt-BR"/>
        </w:rPr>
      </w:pPr>
      <w:r w:rsidRPr="004D5B16">
        <w:rPr>
          <w:rFonts w:cs="Arial"/>
          <w:lang w:val="pt-BR"/>
        </w:rPr>
        <w:t xml:space="preserve">7.2 Para a defesa do organismo existem 3 linhas de defesa: a 1ª e 2ª linha que fazem parte da defesa inespecífica, e a 3ª linha de defesa (resposta imunológica) que faz parte da defesa específica. </w:t>
      </w:r>
    </w:p>
    <w:p w:rsidR="004D5B16" w:rsidRPr="00DB25C7" w:rsidRDefault="004D5B16" w:rsidP="004D5B16">
      <w:pPr>
        <w:jc w:val="both"/>
        <w:rPr>
          <w:rFonts w:cs="Arial"/>
          <w:lang w:val="pt-BR"/>
        </w:rPr>
      </w:pPr>
      <w:r w:rsidRPr="00DB25C7">
        <w:rPr>
          <w:rFonts w:cs="Arial"/>
          <w:lang w:val="pt-BR"/>
        </w:rPr>
        <w:t>7.3 Um antígeno é qualquer molécula capaz de gerar resposta imune; que desencadeia vários  processos, desde a produção de anticorpos até a activação de células específicas</w:t>
      </w:r>
    </w:p>
    <w:p w:rsidR="004D5B16" w:rsidRPr="004D5B16" w:rsidRDefault="004D5B16" w:rsidP="004D5B16">
      <w:pPr>
        <w:jc w:val="both"/>
        <w:rPr>
          <w:rFonts w:cs="Arial"/>
          <w:lang w:val="pt-BR"/>
        </w:rPr>
      </w:pPr>
      <w:r w:rsidRPr="004D5B16">
        <w:rPr>
          <w:rFonts w:cs="Arial"/>
          <w:lang w:val="pt-BR"/>
        </w:rPr>
        <w:t>7.4 As células mais importantes do sistema imune são os glóbulos brancos ou leucócitos</w:t>
      </w:r>
      <w:bookmarkStart w:id="9" w:name="_GoBack"/>
      <w:bookmarkEnd w:id="9"/>
    </w:p>
    <w:p w:rsidR="004D5B16" w:rsidRPr="004D5B16" w:rsidRDefault="004D5B16" w:rsidP="004D5B16">
      <w:pPr>
        <w:jc w:val="both"/>
        <w:rPr>
          <w:rFonts w:cs="Arial"/>
          <w:lang w:val="pt-BR"/>
        </w:rPr>
      </w:pPr>
      <w:r w:rsidRPr="004D5B16">
        <w:rPr>
          <w:rFonts w:cs="Arial"/>
          <w:lang w:val="pt-BR"/>
        </w:rPr>
        <w:t>7.5 Existem cinco tipos diferentes de leucócitos: neutrófilos, basófilos, eosinófilos, linfócitos e monócitos</w:t>
      </w:r>
    </w:p>
    <w:p w:rsidR="004D5B16" w:rsidRPr="004D5B16" w:rsidRDefault="004D5B16" w:rsidP="004D5B16">
      <w:pPr>
        <w:jc w:val="both"/>
        <w:rPr>
          <w:rFonts w:cs="Arial"/>
          <w:lang w:val="pt-BR"/>
        </w:rPr>
      </w:pPr>
      <w:r w:rsidRPr="004D5B16">
        <w:rPr>
          <w:rFonts w:cs="Arial"/>
          <w:lang w:val="pt-BR"/>
        </w:rPr>
        <w:t>7.6 As células do sistema imune são produzidas nos órgãos linfóides primários (medula óssea e o timo).</w:t>
      </w:r>
    </w:p>
    <w:p w:rsidR="004D5B16" w:rsidRPr="004D5B16" w:rsidRDefault="004D5B16" w:rsidP="004D5B16">
      <w:pPr>
        <w:jc w:val="both"/>
        <w:rPr>
          <w:rFonts w:cs="Arial"/>
          <w:lang w:val="pt-BR"/>
        </w:rPr>
      </w:pPr>
      <w:r w:rsidRPr="004D5B16">
        <w:rPr>
          <w:rFonts w:cs="Arial"/>
          <w:lang w:val="pt-BR"/>
        </w:rPr>
        <w:t>7.7 Os órgãos linfóides secundários são aqueles onde funcionam as células do sistema imune e incluem a amígdala, o baço, o fígado, os gânglios linfáticos e tecido linfóide localizado nas mucosas.</w:t>
      </w:r>
    </w:p>
    <w:p w:rsidR="004D5B16" w:rsidRPr="00DB25C7" w:rsidRDefault="004D5B16" w:rsidP="004D5B16">
      <w:pPr>
        <w:jc w:val="both"/>
        <w:rPr>
          <w:rFonts w:cs="Arial"/>
          <w:lang w:val="pt-BR"/>
        </w:rPr>
      </w:pPr>
      <w:r w:rsidRPr="00DB25C7">
        <w:rPr>
          <w:rFonts w:cs="Arial"/>
          <w:lang w:val="pt-BR"/>
        </w:rPr>
        <w:t>7.8 A imunidade humoral se caracteriza pela produção de moléculas especiais (imunoglobulinas) chamadas anticorpos, fazem parte as IgA, IgD, IgE, IgG e IgM.</w:t>
      </w:r>
    </w:p>
    <w:p w:rsidR="004D5B16" w:rsidRPr="004D5B16" w:rsidRDefault="004D5B16" w:rsidP="004D5B16">
      <w:pPr>
        <w:jc w:val="both"/>
        <w:rPr>
          <w:lang w:val="pt-BR"/>
        </w:rPr>
      </w:pPr>
      <w:r w:rsidRPr="004D5B16">
        <w:rPr>
          <w:rFonts w:cs="Arial"/>
          <w:lang w:val="pt-BR"/>
        </w:rPr>
        <w:t>7.9 A resposta imune celular é também chamada citotóxica, já que supõe a destruição das células infectadas por patógenos intracelulares.</w:t>
      </w:r>
    </w:p>
    <w:p w:rsidR="004D5B16" w:rsidRPr="004D5B16" w:rsidRDefault="004D5B16" w:rsidP="004D5B16">
      <w:pPr>
        <w:rPr>
          <w:lang w:val="pt-BR"/>
        </w:rPr>
      </w:pPr>
    </w:p>
    <w:p w:rsidR="004D5B16" w:rsidRDefault="004D5B16">
      <w:pPr>
        <w:rPr>
          <w:lang w:val="pt-BR"/>
        </w:rPr>
      </w:pPr>
      <w:r>
        <w:rPr>
          <w:lang w:val="pt-BR"/>
        </w:rPr>
        <w:br w:type="page"/>
      </w:r>
    </w:p>
    <w:tbl>
      <w:tblPr>
        <w:tblW w:w="10240" w:type="dxa"/>
        <w:tblLayout w:type="fixed"/>
        <w:tblCellMar>
          <w:left w:w="70" w:type="dxa"/>
          <w:right w:w="70" w:type="dxa"/>
        </w:tblCellMar>
        <w:tblLook w:val="0020" w:firstRow="1" w:lastRow="0" w:firstColumn="0" w:lastColumn="0" w:noHBand="0" w:noVBand="0"/>
      </w:tblPr>
      <w:tblGrid>
        <w:gridCol w:w="1600"/>
        <w:gridCol w:w="5580"/>
        <w:gridCol w:w="1710"/>
        <w:gridCol w:w="1350"/>
      </w:tblGrid>
      <w:tr w:rsidR="004D5B16" w:rsidRPr="00134F89" w:rsidTr="004D5B16">
        <w:trPr>
          <w:cantSplit/>
          <w:trHeight w:val="413"/>
        </w:trPr>
        <w:tc>
          <w:tcPr>
            <w:tcW w:w="1600" w:type="dxa"/>
            <w:tcBorders>
              <w:top w:val="single" w:sz="6" w:space="0" w:color="000000"/>
              <w:left w:val="single" w:sz="6" w:space="0" w:color="000000"/>
              <w:bottom w:val="single" w:sz="6" w:space="0" w:color="000000"/>
              <w:right w:val="single" w:sz="6" w:space="0" w:color="000000"/>
            </w:tcBorders>
            <w:vAlign w:val="center"/>
          </w:tcPr>
          <w:p w:rsidR="004D5B16" w:rsidRPr="00134F89" w:rsidRDefault="004D5B16" w:rsidP="004D5B16">
            <w:pPr>
              <w:jc w:val="both"/>
              <w:rPr>
                <w:rFonts w:cs="Arial"/>
                <w:b/>
                <w:lang w:val="pt-PT"/>
              </w:rPr>
            </w:pPr>
            <w:r w:rsidRPr="00134F89">
              <w:rPr>
                <w:rFonts w:cs="Arial"/>
                <w:b/>
                <w:lang w:val="pt-PT"/>
              </w:rPr>
              <w:lastRenderedPageBreak/>
              <w:t>Disciplina</w:t>
            </w:r>
          </w:p>
        </w:tc>
        <w:tc>
          <w:tcPr>
            <w:tcW w:w="5580" w:type="dxa"/>
            <w:tcBorders>
              <w:top w:val="single" w:sz="6" w:space="0" w:color="000000"/>
              <w:left w:val="single" w:sz="6" w:space="0" w:color="000000"/>
              <w:bottom w:val="single" w:sz="6" w:space="0" w:color="000000"/>
              <w:right w:val="single" w:sz="6" w:space="0" w:color="000000"/>
            </w:tcBorders>
            <w:vAlign w:val="center"/>
          </w:tcPr>
          <w:p w:rsidR="004D5B16" w:rsidRPr="00F53619" w:rsidRDefault="004D5B16" w:rsidP="004D5B16">
            <w:pPr>
              <w:rPr>
                <w:rFonts w:cs="Arial"/>
              </w:rPr>
            </w:pPr>
            <w:r w:rsidRPr="00F53619">
              <w:rPr>
                <w:rFonts w:cs="Arial"/>
              </w:rPr>
              <w:t>Introdução às Ciências Médicas</w:t>
            </w:r>
          </w:p>
        </w:tc>
        <w:tc>
          <w:tcPr>
            <w:tcW w:w="1710" w:type="dxa"/>
            <w:tcBorders>
              <w:top w:val="single" w:sz="6" w:space="0" w:color="000000"/>
              <w:left w:val="single" w:sz="6" w:space="0" w:color="000000"/>
              <w:bottom w:val="single" w:sz="6" w:space="0" w:color="000000"/>
              <w:right w:val="single" w:sz="6" w:space="0" w:color="000000"/>
            </w:tcBorders>
            <w:vAlign w:val="center"/>
          </w:tcPr>
          <w:p w:rsidR="004D5B16" w:rsidRPr="00134F89" w:rsidRDefault="004D5B16" w:rsidP="004D5B16">
            <w:pPr>
              <w:jc w:val="both"/>
              <w:rPr>
                <w:rFonts w:cs="Arial"/>
                <w:b/>
                <w:lang w:val="pt-PT"/>
              </w:rPr>
            </w:pPr>
            <w:r w:rsidRPr="00134F89">
              <w:rPr>
                <w:rFonts w:cs="Arial"/>
                <w:b/>
                <w:lang w:val="pt-PT"/>
              </w:rPr>
              <w:t xml:space="preserve">N° da Aula </w:t>
            </w:r>
          </w:p>
        </w:tc>
        <w:tc>
          <w:tcPr>
            <w:tcW w:w="1350" w:type="dxa"/>
            <w:tcBorders>
              <w:top w:val="single" w:sz="6" w:space="0" w:color="000000"/>
              <w:left w:val="single" w:sz="6" w:space="0" w:color="000000"/>
              <w:bottom w:val="single" w:sz="6" w:space="0" w:color="000000"/>
              <w:right w:val="single" w:sz="6" w:space="0" w:color="000000"/>
            </w:tcBorders>
            <w:vAlign w:val="center"/>
          </w:tcPr>
          <w:p w:rsidR="004D5B16" w:rsidRPr="0070097E" w:rsidRDefault="004D5B16" w:rsidP="004D5B16">
            <w:pPr>
              <w:jc w:val="center"/>
              <w:rPr>
                <w:rFonts w:cs="Arial"/>
                <w:lang w:val="pt-PT"/>
              </w:rPr>
            </w:pPr>
            <w:r w:rsidRPr="0070097E">
              <w:rPr>
                <w:rFonts w:cs="Arial"/>
                <w:lang w:val="pt-PT"/>
              </w:rPr>
              <w:t>5</w:t>
            </w:r>
          </w:p>
        </w:tc>
      </w:tr>
      <w:tr w:rsidR="004D5B16" w:rsidRPr="00134F89" w:rsidTr="004D5B16">
        <w:trPr>
          <w:cantSplit/>
          <w:trHeight w:val="413"/>
        </w:trPr>
        <w:tc>
          <w:tcPr>
            <w:tcW w:w="1600" w:type="dxa"/>
            <w:tcBorders>
              <w:top w:val="single" w:sz="6" w:space="0" w:color="000000"/>
              <w:left w:val="single" w:sz="6" w:space="0" w:color="000000"/>
              <w:bottom w:val="single" w:sz="6" w:space="0" w:color="000000"/>
              <w:right w:val="single" w:sz="6" w:space="0" w:color="000000"/>
            </w:tcBorders>
            <w:vAlign w:val="center"/>
          </w:tcPr>
          <w:p w:rsidR="004D5B16" w:rsidRPr="00134F89" w:rsidRDefault="004D5B16" w:rsidP="004D5B16">
            <w:pPr>
              <w:jc w:val="both"/>
              <w:rPr>
                <w:rFonts w:cs="Arial"/>
                <w:b/>
                <w:lang w:val="pt-PT"/>
              </w:rPr>
            </w:pPr>
            <w:r w:rsidRPr="00134F89">
              <w:rPr>
                <w:rFonts w:cs="Arial"/>
                <w:b/>
                <w:lang w:val="pt-PT"/>
              </w:rPr>
              <w:t>Tópico</w:t>
            </w:r>
          </w:p>
        </w:tc>
        <w:tc>
          <w:tcPr>
            <w:tcW w:w="5580" w:type="dxa"/>
            <w:tcBorders>
              <w:top w:val="single" w:sz="6" w:space="0" w:color="000000"/>
              <w:left w:val="single" w:sz="6" w:space="0" w:color="000000"/>
              <w:bottom w:val="single" w:sz="6" w:space="0" w:color="000000"/>
              <w:right w:val="single" w:sz="6" w:space="0" w:color="000000"/>
            </w:tcBorders>
            <w:vAlign w:val="center"/>
          </w:tcPr>
          <w:p w:rsidR="004D5B16" w:rsidRPr="00134F89" w:rsidRDefault="004D5B16" w:rsidP="004D5B16">
            <w:pPr>
              <w:jc w:val="both"/>
              <w:rPr>
                <w:rFonts w:cs="Arial"/>
                <w:b/>
                <w:lang w:val="pt-PT"/>
              </w:rPr>
            </w:pPr>
            <w:r w:rsidRPr="00415F9E">
              <w:rPr>
                <w:rFonts w:cs="Arial"/>
              </w:rPr>
              <w:t>Imunologia (2)</w:t>
            </w:r>
          </w:p>
        </w:tc>
        <w:tc>
          <w:tcPr>
            <w:tcW w:w="1710" w:type="dxa"/>
            <w:tcBorders>
              <w:top w:val="single" w:sz="6" w:space="0" w:color="000000"/>
              <w:left w:val="single" w:sz="6" w:space="0" w:color="000000"/>
              <w:bottom w:val="single" w:sz="6" w:space="0" w:color="000000"/>
              <w:right w:val="single" w:sz="6" w:space="0" w:color="000000"/>
            </w:tcBorders>
            <w:vAlign w:val="center"/>
          </w:tcPr>
          <w:p w:rsidR="004D5B16" w:rsidRPr="00134F89" w:rsidRDefault="004D5B16" w:rsidP="004D5B16">
            <w:pPr>
              <w:jc w:val="both"/>
              <w:rPr>
                <w:rFonts w:cs="Arial"/>
                <w:b/>
                <w:lang w:val="pt-PT"/>
              </w:rPr>
            </w:pPr>
            <w:r w:rsidRPr="00134F89">
              <w:rPr>
                <w:rFonts w:cs="Arial"/>
                <w:b/>
                <w:lang w:val="pt-PT"/>
              </w:rPr>
              <w:t xml:space="preserve">Tipo </w:t>
            </w:r>
          </w:p>
        </w:tc>
        <w:tc>
          <w:tcPr>
            <w:tcW w:w="1350" w:type="dxa"/>
            <w:tcBorders>
              <w:top w:val="single" w:sz="6" w:space="0" w:color="000000"/>
              <w:left w:val="single" w:sz="6" w:space="0" w:color="000000"/>
              <w:bottom w:val="single" w:sz="6" w:space="0" w:color="000000"/>
              <w:right w:val="single" w:sz="6" w:space="0" w:color="000000"/>
            </w:tcBorders>
            <w:vAlign w:val="center"/>
          </w:tcPr>
          <w:p w:rsidR="004D5B16" w:rsidRPr="0070097E" w:rsidRDefault="004D5B16" w:rsidP="004D5B16">
            <w:pPr>
              <w:jc w:val="center"/>
              <w:rPr>
                <w:rFonts w:cs="Arial"/>
                <w:lang w:val="pt-PT"/>
              </w:rPr>
            </w:pPr>
            <w:r w:rsidRPr="0070097E">
              <w:rPr>
                <w:rFonts w:cs="Arial"/>
                <w:lang w:val="pt-PT"/>
              </w:rPr>
              <w:t>Teórica</w:t>
            </w:r>
          </w:p>
        </w:tc>
      </w:tr>
      <w:tr w:rsidR="004D5B16" w:rsidRPr="00134F89" w:rsidTr="004D5B16">
        <w:trPr>
          <w:cantSplit/>
          <w:trHeight w:val="414"/>
        </w:trPr>
        <w:tc>
          <w:tcPr>
            <w:tcW w:w="1600" w:type="dxa"/>
            <w:tcBorders>
              <w:top w:val="single" w:sz="6" w:space="0" w:color="000000"/>
              <w:left w:val="single" w:sz="6" w:space="0" w:color="000000"/>
              <w:bottom w:val="single" w:sz="6" w:space="0" w:color="000000"/>
              <w:right w:val="single" w:sz="6" w:space="0" w:color="000000"/>
            </w:tcBorders>
            <w:vAlign w:val="center"/>
          </w:tcPr>
          <w:p w:rsidR="004D5B16" w:rsidRPr="00134F89" w:rsidRDefault="004D5B16" w:rsidP="004D5B16">
            <w:pPr>
              <w:jc w:val="both"/>
              <w:rPr>
                <w:rFonts w:cs="Arial"/>
                <w:b/>
                <w:lang w:val="pt-PT"/>
              </w:rPr>
            </w:pPr>
            <w:r w:rsidRPr="00134F89">
              <w:rPr>
                <w:rFonts w:cs="Arial"/>
                <w:b/>
                <w:lang w:val="pt-PT"/>
              </w:rPr>
              <w:t>Conteúdos</w:t>
            </w:r>
          </w:p>
        </w:tc>
        <w:tc>
          <w:tcPr>
            <w:tcW w:w="5580" w:type="dxa"/>
            <w:tcBorders>
              <w:top w:val="single" w:sz="6" w:space="0" w:color="000000"/>
              <w:left w:val="single" w:sz="6" w:space="0" w:color="000000"/>
              <w:bottom w:val="single" w:sz="6" w:space="0" w:color="000000"/>
              <w:right w:val="single" w:sz="6" w:space="0" w:color="000000"/>
            </w:tcBorders>
            <w:vAlign w:val="center"/>
          </w:tcPr>
          <w:p w:rsidR="004D5B16" w:rsidRPr="00D51901" w:rsidRDefault="004D5B16" w:rsidP="004D5B16">
            <w:pPr>
              <w:pStyle w:val="Heading1"/>
              <w:rPr>
                <w:b w:val="0"/>
                <w:sz w:val="22"/>
                <w:szCs w:val="22"/>
                <w:lang w:val="pt-PT"/>
              </w:rPr>
            </w:pPr>
            <w:bookmarkStart w:id="10" w:name="_Toc329099753"/>
            <w:r w:rsidRPr="00D51901">
              <w:rPr>
                <w:b w:val="0"/>
                <w:sz w:val="22"/>
                <w:szCs w:val="22"/>
                <w:lang w:val="pt-BR"/>
              </w:rPr>
              <w:t>Imunologia Clínica</w:t>
            </w:r>
            <w:bookmarkEnd w:id="10"/>
          </w:p>
        </w:tc>
        <w:tc>
          <w:tcPr>
            <w:tcW w:w="1710" w:type="dxa"/>
            <w:tcBorders>
              <w:top w:val="single" w:sz="6" w:space="0" w:color="000000"/>
              <w:left w:val="single" w:sz="6" w:space="0" w:color="000000"/>
              <w:bottom w:val="single" w:sz="6" w:space="0" w:color="000000"/>
              <w:right w:val="single" w:sz="6" w:space="0" w:color="000000"/>
            </w:tcBorders>
            <w:vAlign w:val="center"/>
          </w:tcPr>
          <w:p w:rsidR="004D5B16" w:rsidRPr="00134F89" w:rsidRDefault="004D5B16" w:rsidP="004D5B16">
            <w:pPr>
              <w:jc w:val="both"/>
              <w:rPr>
                <w:rFonts w:cs="Arial"/>
                <w:b/>
                <w:lang w:val="pt-PT"/>
              </w:rPr>
            </w:pPr>
            <w:r w:rsidRPr="00134F89">
              <w:rPr>
                <w:rFonts w:cs="Arial"/>
                <w:b/>
                <w:lang w:val="pt-PT"/>
              </w:rPr>
              <w:t>Duração</w:t>
            </w:r>
          </w:p>
        </w:tc>
        <w:tc>
          <w:tcPr>
            <w:tcW w:w="1350" w:type="dxa"/>
            <w:tcBorders>
              <w:top w:val="single" w:sz="6" w:space="0" w:color="000000"/>
              <w:left w:val="single" w:sz="6" w:space="0" w:color="000000"/>
              <w:bottom w:val="single" w:sz="6" w:space="0" w:color="000000"/>
              <w:right w:val="single" w:sz="6" w:space="0" w:color="000000"/>
            </w:tcBorders>
            <w:vAlign w:val="center"/>
          </w:tcPr>
          <w:p w:rsidR="004D5B16" w:rsidRPr="0070097E" w:rsidRDefault="004D5B16" w:rsidP="004D5B16">
            <w:pPr>
              <w:jc w:val="center"/>
              <w:rPr>
                <w:rFonts w:cs="Arial"/>
                <w:lang w:val="pt-PT"/>
              </w:rPr>
            </w:pPr>
            <w:r w:rsidRPr="0070097E">
              <w:rPr>
                <w:rFonts w:cs="Arial"/>
                <w:lang w:val="pt-PT"/>
              </w:rPr>
              <w:t>2h</w:t>
            </w:r>
          </w:p>
        </w:tc>
      </w:tr>
    </w:tbl>
    <w:p w:rsidR="004D5B16" w:rsidRPr="00134F89" w:rsidRDefault="004D5B16" w:rsidP="004D5B16">
      <w:pPr>
        <w:spacing w:line="120" w:lineRule="auto"/>
        <w:jc w:val="both"/>
        <w:rPr>
          <w:rFonts w:cs="Arial"/>
          <w:lang w:val="pt-PT"/>
        </w:rPr>
      </w:pPr>
    </w:p>
    <w:p w:rsidR="004D5B16" w:rsidRPr="0052785B" w:rsidRDefault="004D5B16" w:rsidP="0052785B">
      <w:pPr>
        <w:rPr>
          <w:b/>
          <w:lang w:val="pt-PT"/>
        </w:rPr>
      </w:pPr>
      <w:r w:rsidRPr="0052785B">
        <w:rPr>
          <w:b/>
          <w:lang w:val="pt-PT"/>
        </w:rPr>
        <w:t>Objectivos de Aprendizagem</w:t>
      </w:r>
    </w:p>
    <w:p w:rsidR="004D5B16" w:rsidRPr="004D5B16" w:rsidRDefault="004D5B16" w:rsidP="004D5B16">
      <w:pPr>
        <w:rPr>
          <w:rFonts w:cs="Arial"/>
          <w:lang w:val="pt-BR"/>
        </w:rPr>
      </w:pPr>
      <w:r w:rsidRPr="004D5B16">
        <w:rPr>
          <w:rFonts w:cs="Arial"/>
          <w:lang w:val="pt-BR"/>
        </w:rPr>
        <w:t>Até ao fim da aula os alunos devem ser capazes de:</w:t>
      </w:r>
    </w:p>
    <w:p w:rsidR="004D5B16" w:rsidRPr="004D5B16" w:rsidRDefault="004D5B16" w:rsidP="00C52E09">
      <w:pPr>
        <w:pStyle w:val="ListParagraph"/>
        <w:numPr>
          <w:ilvl w:val="0"/>
          <w:numId w:val="47"/>
        </w:numPr>
        <w:spacing w:after="0" w:line="240" w:lineRule="auto"/>
        <w:contextualSpacing w:val="0"/>
        <w:rPr>
          <w:rFonts w:cs="Arial"/>
          <w:lang w:val="pt-BR"/>
        </w:rPr>
      </w:pPr>
      <w:r w:rsidRPr="004D5B16">
        <w:rPr>
          <w:rFonts w:cs="Arial"/>
          <w:lang w:val="pt-BR"/>
        </w:rPr>
        <w:t>Explicar o que é a imunidade inata</w:t>
      </w:r>
    </w:p>
    <w:p w:rsidR="004D5B16" w:rsidRPr="004D5B16" w:rsidRDefault="004D5B16" w:rsidP="00C52E09">
      <w:pPr>
        <w:pStyle w:val="ListParagraph"/>
        <w:numPr>
          <w:ilvl w:val="0"/>
          <w:numId w:val="47"/>
        </w:numPr>
        <w:spacing w:after="0" w:line="240" w:lineRule="auto"/>
        <w:contextualSpacing w:val="0"/>
        <w:rPr>
          <w:rFonts w:cs="Arial"/>
          <w:lang w:val="pt-BR"/>
        </w:rPr>
      </w:pPr>
      <w:r w:rsidRPr="004D5B16">
        <w:rPr>
          <w:rFonts w:cs="Arial"/>
          <w:lang w:val="pt-BR"/>
        </w:rPr>
        <w:t>Descrever a inflamação aguda e crónica dentro da imunidade inata</w:t>
      </w:r>
    </w:p>
    <w:p w:rsidR="004D5B16" w:rsidRPr="004D5B16" w:rsidRDefault="004D5B16" w:rsidP="00C52E09">
      <w:pPr>
        <w:pStyle w:val="ListParagraph"/>
        <w:numPr>
          <w:ilvl w:val="0"/>
          <w:numId w:val="47"/>
        </w:numPr>
        <w:spacing w:after="0" w:line="240" w:lineRule="auto"/>
        <w:contextualSpacing w:val="0"/>
        <w:rPr>
          <w:rFonts w:cs="Arial"/>
          <w:lang w:val="pt-BR"/>
        </w:rPr>
      </w:pPr>
      <w:r w:rsidRPr="004D5B16">
        <w:rPr>
          <w:rFonts w:cs="Arial"/>
          <w:lang w:val="pt-BR"/>
        </w:rPr>
        <w:t>Explicar o que é a imunidade adaptativa ou adquirida</w:t>
      </w:r>
    </w:p>
    <w:p w:rsidR="004D5B16" w:rsidRPr="004D5B16" w:rsidRDefault="004D5B16" w:rsidP="00C52E09">
      <w:pPr>
        <w:pStyle w:val="ListParagraph"/>
        <w:numPr>
          <w:ilvl w:val="0"/>
          <w:numId w:val="47"/>
        </w:numPr>
        <w:spacing w:after="0" w:line="240" w:lineRule="auto"/>
        <w:contextualSpacing w:val="0"/>
        <w:rPr>
          <w:rFonts w:cs="Arial"/>
          <w:lang w:val="pt-BR"/>
        </w:rPr>
      </w:pPr>
      <w:r w:rsidRPr="004D5B16">
        <w:rPr>
          <w:rFonts w:cs="Arial"/>
          <w:lang w:val="pt-BR"/>
        </w:rPr>
        <w:t>Explicar a relação entre imunidade inata e adaptativa</w:t>
      </w:r>
    </w:p>
    <w:p w:rsidR="004D5B16" w:rsidRDefault="004D5B16" w:rsidP="004D5B16">
      <w:pPr>
        <w:pStyle w:val="TM-4n"/>
        <w:numPr>
          <w:ilvl w:val="0"/>
          <w:numId w:val="0"/>
        </w:numPr>
        <w:spacing w:before="120" w:after="0" w:line="276" w:lineRule="auto"/>
        <w:ind w:left="720"/>
      </w:pPr>
    </w:p>
    <w:p w:rsidR="004D5B16" w:rsidRPr="0052785B" w:rsidRDefault="004D5B16" w:rsidP="0052785B">
      <w:pPr>
        <w:rPr>
          <w:b/>
        </w:rPr>
      </w:pPr>
      <w:r w:rsidRPr="0052785B">
        <w:rPr>
          <w:b/>
        </w:rPr>
        <w:t>Estrutura da Aula</w:t>
      </w:r>
    </w:p>
    <w:tbl>
      <w:tblPr>
        <w:tblW w:w="10188" w:type="dxa"/>
        <w:tblBorders>
          <w:top w:val="single" w:sz="18" w:space="0" w:color="auto"/>
          <w:bottom w:val="single" w:sz="18" w:space="0" w:color="auto"/>
        </w:tblBorders>
        <w:tblLayout w:type="fixed"/>
        <w:tblLook w:val="0400" w:firstRow="0" w:lastRow="0" w:firstColumn="0" w:lastColumn="0" w:noHBand="0" w:noVBand="1"/>
      </w:tblPr>
      <w:tblGrid>
        <w:gridCol w:w="738"/>
        <w:gridCol w:w="3240"/>
        <w:gridCol w:w="3780"/>
        <w:gridCol w:w="2430"/>
      </w:tblGrid>
      <w:tr w:rsidR="004D5B16" w:rsidRPr="00415F9E" w:rsidTr="00FC6E81">
        <w:trPr>
          <w:trHeight w:val="490"/>
        </w:trPr>
        <w:tc>
          <w:tcPr>
            <w:tcW w:w="738" w:type="dxa"/>
            <w:tcBorders>
              <w:top w:val="single" w:sz="18" w:space="0" w:color="auto"/>
              <w:bottom w:val="single" w:sz="18" w:space="0" w:color="auto"/>
              <w:right w:val="single" w:sz="4" w:space="0" w:color="auto"/>
            </w:tcBorders>
            <w:shd w:val="clear" w:color="auto" w:fill="B8CCE4"/>
          </w:tcPr>
          <w:p w:rsidR="004D5B16" w:rsidRPr="00415F9E" w:rsidRDefault="004D5B16" w:rsidP="004D5B16">
            <w:pPr>
              <w:spacing w:before="60"/>
              <w:ind w:left="-110" w:right="-108"/>
              <w:jc w:val="center"/>
              <w:rPr>
                <w:rFonts w:cs="Arial"/>
                <w:b/>
              </w:rPr>
            </w:pPr>
            <w:r w:rsidRPr="00415F9E">
              <w:rPr>
                <w:rFonts w:cs="Arial"/>
                <w:b/>
              </w:rPr>
              <w:t>Bloco</w:t>
            </w:r>
          </w:p>
        </w:tc>
        <w:tc>
          <w:tcPr>
            <w:tcW w:w="3240" w:type="dxa"/>
            <w:tcBorders>
              <w:top w:val="single" w:sz="18" w:space="0" w:color="auto"/>
              <w:left w:val="single" w:sz="4" w:space="0" w:color="auto"/>
              <w:bottom w:val="single" w:sz="18" w:space="0" w:color="auto"/>
              <w:right w:val="single" w:sz="4" w:space="0" w:color="auto"/>
            </w:tcBorders>
            <w:shd w:val="clear" w:color="auto" w:fill="B8CCE4"/>
          </w:tcPr>
          <w:p w:rsidR="004D5B16" w:rsidRPr="00415F9E" w:rsidRDefault="004D5B16" w:rsidP="004D5B16">
            <w:pPr>
              <w:spacing w:before="60"/>
              <w:jc w:val="center"/>
              <w:rPr>
                <w:rFonts w:cs="Arial"/>
                <w:b/>
              </w:rPr>
            </w:pPr>
            <w:r w:rsidRPr="00415F9E">
              <w:rPr>
                <w:rFonts w:cs="Arial"/>
                <w:b/>
              </w:rPr>
              <w:t>Título do Bloco</w:t>
            </w:r>
          </w:p>
        </w:tc>
        <w:tc>
          <w:tcPr>
            <w:tcW w:w="3780" w:type="dxa"/>
            <w:tcBorders>
              <w:top w:val="single" w:sz="18" w:space="0" w:color="auto"/>
              <w:left w:val="single" w:sz="4" w:space="0" w:color="auto"/>
              <w:bottom w:val="single" w:sz="18" w:space="0" w:color="auto"/>
              <w:right w:val="single" w:sz="4" w:space="0" w:color="auto"/>
            </w:tcBorders>
            <w:shd w:val="clear" w:color="auto" w:fill="B8CCE4"/>
          </w:tcPr>
          <w:p w:rsidR="004D5B16" w:rsidRPr="00415F9E" w:rsidRDefault="004D5B16" w:rsidP="004D5B16">
            <w:pPr>
              <w:tabs>
                <w:tab w:val="left" w:pos="244"/>
              </w:tabs>
              <w:spacing w:before="60"/>
              <w:jc w:val="center"/>
              <w:rPr>
                <w:rFonts w:cs="Arial"/>
                <w:b/>
                <w:lang w:val="pt-BR"/>
              </w:rPr>
            </w:pPr>
            <w:r w:rsidRPr="00415F9E">
              <w:rPr>
                <w:rFonts w:cs="Arial"/>
                <w:b/>
              </w:rPr>
              <w:t>M</w:t>
            </w:r>
            <w:r w:rsidRPr="00415F9E">
              <w:rPr>
                <w:rFonts w:cs="Arial"/>
                <w:b/>
                <w:lang w:val="pt-BR"/>
              </w:rPr>
              <w:t>étodo de Ensino</w:t>
            </w:r>
          </w:p>
        </w:tc>
        <w:tc>
          <w:tcPr>
            <w:tcW w:w="2430" w:type="dxa"/>
            <w:tcBorders>
              <w:top w:val="single" w:sz="18" w:space="0" w:color="auto"/>
              <w:left w:val="single" w:sz="4" w:space="0" w:color="auto"/>
              <w:bottom w:val="single" w:sz="18" w:space="0" w:color="auto"/>
            </w:tcBorders>
            <w:shd w:val="clear" w:color="auto" w:fill="B8CCE4"/>
          </w:tcPr>
          <w:p w:rsidR="004D5B16" w:rsidRPr="00415F9E" w:rsidRDefault="004D5B16" w:rsidP="004D5B16">
            <w:pPr>
              <w:tabs>
                <w:tab w:val="left" w:pos="244"/>
              </w:tabs>
              <w:spacing w:before="60"/>
              <w:jc w:val="center"/>
              <w:rPr>
                <w:rFonts w:cs="Arial"/>
                <w:b/>
                <w:lang w:val="pt-BR"/>
              </w:rPr>
            </w:pPr>
            <w:r w:rsidRPr="00415F9E">
              <w:rPr>
                <w:rFonts w:cs="Arial"/>
                <w:b/>
              </w:rPr>
              <w:t>Duração</w:t>
            </w:r>
          </w:p>
        </w:tc>
      </w:tr>
      <w:tr w:rsidR="004D5B16" w:rsidRPr="00415F9E" w:rsidTr="00FC6E81">
        <w:tc>
          <w:tcPr>
            <w:tcW w:w="738" w:type="dxa"/>
            <w:tcBorders>
              <w:top w:val="single" w:sz="18" w:space="0" w:color="auto"/>
              <w:bottom w:val="single" w:sz="4" w:space="0" w:color="auto"/>
              <w:right w:val="single" w:sz="4" w:space="0" w:color="auto"/>
            </w:tcBorders>
          </w:tcPr>
          <w:p w:rsidR="004D5B16" w:rsidRPr="00415F9E" w:rsidRDefault="004D5B16" w:rsidP="004D5B16">
            <w:pPr>
              <w:spacing w:before="60" w:after="60" w:line="360" w:lineRule="auto"/>
              <w:ind w:left="-110" w:right="-108"/>
              <w:jc w:val="center"/>
              <w:rPr>
                <w:rFonts w:cs="Arial"/>
              </w:rPr>
            </w:pPr>
            <w:r w:rsidRPr="00415F9E">
              <w:rPr>
                <w:rFonts w:cs="Arial"/>
              </w:rPr>
              <w:t>1</w:t>
            </w:r>
          </w:p>
        </w:tc>
        <w:tc>
          <w:tcPr>
            <w:tcW w:w="3240" w:type="dxa"/>
            <w:tcBorders>
              <w:top w:val="single" w:sz="18" w:space="0" w:color="auto"/>
              <w:left w:val="single" w:sz="4" w:space="0" w:color="auto"/>
              <w:bottom w:val="single" w:sz="4" w:space="0" w:color="auto"/>
              <w:right w:val="single" w:sz="4" w:space="0" w:color="auto"/>
            </w:tcBorders>
            <w:vAlign w:val="center"/>
          </w:tcPr>
          <w:p w:rsidR="004D5B16" w:rsidRPr="00415F9E" w:rsidRDefault="004D5B16" w:rsidP="004D5B16">
            <w:pPr>
              <w:tabs>
                <w:tab w:val="left" w:pos="244"/>
              </w:tabs>
              <w:spacing w:before="60" w:after="60" w:line="480" w:lineRule="auto"/>
              <w:rPr>
                <w:rFonts w:cs="Arial"/>
              </w:rPr>
            </w:pPr>
            <w:r w:rsidRPr="00415F9E">
              <w:rPr>
                <w:rFonts w:cs="Arial"/>
              </w:rPr>
              <w:t>Introdução à Aula</w:t>
            </w:r>
          </w:p>
          <w:p w:rsidR="004D5B16" w:rsidRPr="00415F9E" w:rsidRDefault="004D5B16" w:rsidP="004D5B16">
            <w:pPr>
              <w:tabs>
                <w:tab w:val="left" w:pos="244"/>
              </w:tabs>
              <w:spacing w:before="60" w:after="60" w:line="480" w:lineRule="auto"/>
              <w:rPr>
                <w:rFonts w:cs="Arial"/>
              </w:rPr>
            </w:pPr>
          </w:p>
        </w:tc>
        <w:tc>
          <w:tcPr>
            <w:tcW w:w="3780" w:type="dxa"/>
            <w:tcBorders>
              <w:top w:val="single" w:sz="18" w:space="0" w:color="auto"/>
              <w:left w:val="single" w:sz="4" w:space="0" w:color="auto"/>
              <w:bottom w:val="single" w:sz="4" w:space="0" w:color="auto"/>
              <w:right w:val="single" w:sz="4" w:space="0" w:color="auto"/>
            </w:tcBorders>
          </w:tcPr>
          <w:p w:rsidR="004D5B16" w:rsidRPr="00415F9E" w:rsidRDefault="004D5B16" w:rsidP="004D5B16">
            <w:pPr>
              <w:tabs>
                <w:tab w:val="left" w:pos="244"/>
              </w:tabs>
              <w:spacing w:before="60" w:after="60" w:line="360" w:lineRule="auto"/>
              <w:rPr>
                <w:rFonts w:cs="Arial"/>
              </w:rPr>
            </w:pPr>
          </w:p>
        </w:tc>
        <w:tc>
          <w:tcPr>
            <w:tcW w:w="2430" w:type="dxa"/>
            <w:tcBorders>
              <w:top w:val="single" w:sz="18" w:space="0" w:color="auto"/>
              <w:left w:val="single" w:sz="4" w:space="0" w:color="auto"/>
              <w:bottom w:val="single" w:sz="4" w:space="0" w:color="auto"/>
            </w:tcBorders>
          </w:tcPr>
          <w:p w:rsidR="004D5B16" w:rsidRPr="00415F9E" w:rsidRDefault="004D5B16" w:rsidP="004D5B16">
            <w:pPr>
              <w:tabs>
                <w:tab w:val="left" w:pos="244"/>
              </w:tabs>
              <w:spacing w:before="60" w:after="60" w:line="360" w:lineRule="auto"/>
              <w:jc w:val="right"/>
              <w:rPr>
                <w:rFonts w:cs="Arial"/>
              </w:rPr>
            </w:pPr>
          </w:p>
        </w:tc>
      </w:tr>
      <w:tr w:rsidR="004D5B16" w:rsidRPr="00415F9E" w:rsidTr="00FC6E81">
        <w:tc>
          <w:tcPr>
            <w:tcW w:w="738" w:type="dxa"/>
            <w:tcBorders>
              <w:top w:val="single" w:sz="4" w:space="0" w:color="auto"/>
              <w:bottom w:val="single" w:sz="4" w:space="0" w:color="auto"/>
              <w:right w:val="single" w:sz="4" w:space="0" w:color="auto"/>
            </w:tcBorders>
            <w:shd w:val="clear" w:color="auto" w:fill="D9D9D9"/>
          </w:tcPr>
          <w:p w:rsidR="004D5B16" w:rsidRPr="00415F9E" w:rsidRDefault="004D5B16" w:rsidP="004D5B16">
            <w:pPr>
              <w:spacing w:before="60" w:after="60" w:line="360" w:lineRule="auto"/>
              <w:ind w:left="-110" w:right="-108"/>
              <w:jc w:val="center"/>
              <w:rPr>
                <w:rFonts w:cs="Arial"/>
              </w:rPr>
            </w:pPr>
            <w:r w:rsidRPr="00415F9E">
              <w:rPr>
                <w:rFonts w:cs="Arial"/>
              </w:rPr>
              <w:t>2</w:t>
            </w:r>
          </w:p>
        </w:tc>
        <w:tc>
          <w:tcPr>
            <w:tcW w:w="3240" w:type="dxa"/>
            <w:tcBorders>
              <w:top w:val="single" w:sz="4" w:space="0" w:color="auto"/>
              <w:left w:val="single" w:sz="4" w:space="0" w:color="auto"/>
              <w:bottom w:val="single" w:sz="4" w:space="0" w:color="auto"/>
              <w:right w:val="single" w:sz="4" w:space="0" w:color="auto"/>
            </w:tcBorders>
            <w:shd w:val="clear" w:color="auto" w:fill="D9D9D9"/>
          </w:tcPr>
          <w:p w:rsidR="004D5B16" w:rsidRPr="00415F9E" w:rsidRDefault="004D5B16" w:rsidP="004D5B16">
            <w:pPr>
              <w:tabs>
                <w:tab w:val="left" w:pos="244"/>
              </w:tabs>
              <w:spacing w:before="60" w:after="60" w:line="480" w:lineRule="auto"/>
              <w:rPr>
                <w:rFonts w:cs="Arial"/>
              </w:rPr>
            </w:pPr>
            <w:r w:rsidRPr="00415F9E">
              <w:rPr>
                <w:rFonts w:cs="Arial"/>
              </w:rPr>
              <w:t>Imunidade Inata</w:t>
            </w:r>
          </w:p>
          <w:p w:rsidR="004D5B16" w:rsidRPr="00415F9E" w:rsidRDefault="004D5B16" w:rsidP="004D5B16">
            <w:pPr>
              <w:tabs>
                <w:tab w:val="left" w:pos="244"/>
              </w:tabs>
              <w:spacing w:before="60" w:after="60" w:line="480" w:lineRule="auto"/>
              <w:rPr>
                <w:rFonts w:cs="Arial"/>
              </w:rPr>
            </w:pPr>
          </w:p>
        </w:tc>
        <w:tc>
          <w:tcPr>
            <w:tcW w:w="3780" w:type="dxa"/>
            <w:tcBorders>
              <w:top w:val="single" w:sz="4" w:space="0" w:color="auto"/>
              <w:left w:val="single" w:sz="4" w:space="0" w:color="auto"/>
              <w:bottom w:val="single" w:sz="4" w:space="0" w:color="auto"/>
              <w:right w:val="single" w:sz="4" w:space="0" w:color="auto"/>
            </w:tcBorders>
            <w:shd w:val="clear" w:color="auto" w:fill="D9D9D9"/>
          </w:tcPr>
          <w:p w:rsidR="004D5B16" w:rsidRPr="00415F9E" w:rsidRDefault="004D5B16" w:rsidP="004D5B16">
            <w:pPr>
              <w:tabs>
                <w:tab w:val="left" w:pos="244"/>
              </w:tabs>
              <w:spacing w:before="60" w:after="60" w:line="360" w:lineRule="auto"/>
              <w:rPr>
                <w:rFonts w:cs="Arial"/>
              </w:rPr>
            </w:pPr>
          </w:p>
        </w:tc>
        <w:tc>
          <w:tcPr>
            <w:tcW w:w="2430" w:type="dxa"/>
            <w:tcBorders>
              <w:top w:val="single" w:sz="4" w:space="0" w:color="auto"/>
              <w:left w:val="single" w:sz="4" w:space="0" w:color="auto"/>
              <w:bottom w:val="single" w:sz="4" w:space="0" w:color="auto"/>
            </w:tcBorders>
            <w:shd w:val="clear" w:color="auto" w:fill="D9D9D9"/>
          </w:tcPr>
          <w:p w:rsidR="004D5B16" w:rsidRPr="00415F9E" w:rsidRDefault="004D5B16" w:rsidP="004D5B16">
            <w:pPr>
              <w:tabs>
                <w:tab w:val="left" w:pos="244"/>
              </w:tabs>
              <w:spacing w:before="60" w:after="60" w:line="360" w:lineRule="auto"/>
              <w:jc w:val="right"/>
              <w:rPr>
                <w:rFonts w:cs="Arial"/>
              </w:rPr>
            </w:pPr>
          </w:p>
        </w:tc>
      </w:tr>
      <w:tr w:rsidR="004D5B16" w:rsidRPr="00415F9E" w:rsidTr="00FC6E81">
        <w:tc>
          <w:tcPr>
            <w:tcW w:w="738" w:type="dxa"/>
            <w:tcBorders>
              <w:top w:val="single" w:sz="4" w:space="0" w:color="auto"/>
              <w:bottom w:val="single" w:sz="4" w:space="0" w:color="auto"/>
              <w:right w:val="single" w:sz="4" w:space="0" w:color="auto"/>
            </w:tcBorders>
            <w:shd w:val="clear" w:color="auto" w:fill="auto"/>
          </w:tcPr>
          <w:p w:rsidR="004D5B16" w:rsidRPr="00415F9E" w:rsidRDefault="004D5B16" w:rsidP="004D5B16">
            <w:pPr>
              <w:spacing w:before="60" w:after="60" w:line="360" w:lineRule="auto"/>
              <w:ind w:left="-110" w:right="-108"/>
              <w:jc w:val="center"/>
              <w:rPr>
                <w:rFonts w:cs="Arial"/>
              </w:rPr>
            </w:pPr>
            <w:r w:rsidRPr="00415F9E">
              <w:rPr>
                <w:rFonts w:cs="Arial"/>
              </w:rPr>
              <w:t>3</w:t>
            </w:r>
          </w:p>
        </w:tc>
        <w:tc>
          <w:tcPr>
            <w:tcW w:w="3240" w:type="dxa"/>
            <w:tcBorders>
              <w:top w:val="single" w:sz="4" w:space="0" w:color="auto"/>
              <w:left w:val="single" w:sz="4" w:space="0" w:color="auto"/>
              <w:bottom w:val="single" w:sz="4" w:space="0" w:color="auto"/>
              <w:right w:val="single" w:sz="4" w:space="0" w:color="auto"/>
            </w:tcBorders>
            <w:shd w:val="clear" w:color="auto" w:fill="auto"/>
          </w:tcPr>
          <w:p w:rsidR="004D5B16" w:rsidRPr="00415F9E" w:rsidRDefault="004D5B16" w:rsidP="004D5B16">
            <w:pPr>
              <w:tabs>
                <w:tab w:val="left" w:pos="244"/>
              </w:tabs>
              <w:spacing w:before="60" w:after="60" w:line="480" w:lineRule="auto"/>
              <w:rPr>
                <w:rFonts w:cs="Arial"/>
              </w:rPr>
            </w:pPr>
            <w:r w:rsidRPr="00415F9E">
              <w:rPr>
                <w:rFonts w:cs="Arial"/>
              </w:rPr>
              <w:t>Inflamação</w:t>
            </w:r>
          </w:p>
        </w:tc>
        <w:tc>
          <w:tcPr>
            <w:tcW w:w="3780" w:type="dxa"/>
            <w:tcBorders>
              <w:top w:val="single" w:sz="4" w:space="0" w:color="auto"/>
              <w:left w:val="single" w:sz="4" w:space="0" w:color="auto"/>
              <w:bottom w:val="single" w:sz="4" w:space="0" w:color="auto"/>
              <w:right w:val="single" w:sz="4" w:space="0" w:color="auto"/>
            </w:tcBorders>
            <w:shd w:val="clear" w:color="auto" w:fill="auto"/>
          </w:tcPr>
          <w:p w:rsidR="004D5B16" w:rsidRDefault="004D5B16" w:rsidP="004D5B16">
            <w:pPr>
              <w:tabs>
                <w:tab w:val="left" w:pos="244"/>
              </w:tabs>
              <w:spacing w:before="60" w:after="60" w:line="360" w:lineRule="auto"/>
              <w:rPr>
                <w:rFonts w:cs="Arial"/>
              </w:rPr>
            </w:pPr>
          </w:p>
          <w:p w:rsidR="004D5B16" w:rsidRDefault="004D5B16" w:rsidP="004D5B16">
            <w:pPr>
              <w:tabs>
                <w:tab w:val="left" w:pos="244"/>
              </w:tabs>
              <w:spacing w:before="60" w:after="60" w:line="360" w:lineRule="auto"/>
              <w:rPr>
                <w:rFonts w:cs="Arial"/>
              </w:rPr>
            </w:pPr>
          </w:p>
          <w:p w:rsidR="004D5B16" w:rsidRPr="00415F9E" w:rsidRDefault="004D5B16" w:rsidP="004D5B16">
            <w:pPr>
              <w:tabs>
                <w:tab w:val="left" w:pos="244"/>
              </w:tabs>
              <w:spacing w:before="60" w:after="60" w:line="360" w:lineRule="auto"/>
              <w:rPr>
                <w:rFonts w:cs="Arial"/>
              </w:rPr>
            </w:pPr>
          </w:p>
        </w:tc>
        <w:tc>
          <w:tcPr>
            <w:tcW w:w="2430" w:type="dxa"/>
            <w:tcBorders>
              <w:top w:val="single" w:sz="4" w:space="0" w:color="auto"/>
              <w:left w:val="single" w:sz="4" w:space="0" w:color="auto"/>
              <w:bottom w:val="single" w:sz="4" w:space="0" w:color="auto"/>
            </w:tcBorders>
            <w:shd w:val="clear" w:color="auto" w:fill="auto"/>
          </w:tcPr>
          <w:p w:rsidR="004D5B16" w:rsidRPr="00415F9E" w:rsidRDefault="004D5B16" w:rsidP="004D5B16">
            <w:pPr>
              <w:tabs>
                <w:tab w:val="left" w:pos="244"/>
              </w:tabs>
              <w:spacing w:before="60" w:after="60" w:line="360" w:lineRule="auto"/>
              <w:jc w:val="right"/>
              <w:rPr>
                <w:rFonts w:cs="Arial"/>
              </w:rPr>
            </w:pPr>
          </w:p>
        </w:tc>
      </w:tr>
      <w:tr w:rsidR="004D5B16" w:rsidRPr="00415F9E" w:rsidTr="00FC6E81">
        <w:tc>
          <w:tcPr>
            <w:tcW w:w="738" w:type="dxa"/>
            <w:tcBorders>
              <w:top w:val="single" w:sz="4" w:space="0" w:color="auto"/>
              <w:bottom w:val="single" w:sz="4" w:space="0" w:color="auto"/>
              <w:right w:val="single" w:sz="4" w:space="0" w:color="auto"/>
            </w:tcBorders>
            <w:shd w:val="clear" w:color="auto" w:fill="D9D9D9" w:themeFill="background1" w:themeFillShade="D9"/>
          </w:tcPr>
          <w:p w:rsidR="004D5B16" w:rsidRPr="00415F9E" w:rsidRDefault="004D5B16" w:rsidP="004D5B16">
            <w:pPr>
              <w:spacing w:before="60" w:after="60" w:line="360" w:lineRule="auto"/>
              <w:ind w:left="-110" w:right="-108"/>
              <w:jc w:val="center"/>
              <w:rPr>
                <w:rFonts w:cs="Arial"/>
              </w:rPr>
            </w:pPr>
            <w:r w:rsidRPr="00415F9E">
              <w:rPr>
                <w:rFonts w:cs="Arial"/>
              </w:rPr>
              <w:t>4</w:t>
            </w:r>
          </w:p>
        </w:tc>
        <w:tc>
          <w:tcPr>
            <w:tcW w:w="32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4D5B16" w:rsidRPr="00415F9E" w:rsidRDefault="004D5B16" w:rsidP="004D5B16">
            <w:pPr>
              <w:tabs>
                <w:tab w:val="left" w:pos="244"/>
              </w:tabs>
              <w:spacing w:before="60" w:after="60"/>
              <w:rPr>
                <w:rFonts w:cs="Arial"/>
              </w:rPr>
            </w:pPr>
            <w:r w:rsidRPr="00415F9E">
              <w:rPr>
                <w:rFonts w:cs="Arial"/>
              </w:rPr>
              <w:t>Imunidade Adaptativa ou Adquirida</w:t>
            </w:r>
          </w:p>
          <w:p w:rsidR="004D5B16" w:rsidRPr="00415F9E" w:rsidRDefault="004D5B16" w:rsidP="004D5B16">
            <w:pPr>
              <w:tabs>
                <w:tab w:val="left" w:pos="244"/>
              </w:tabs>
              <w:spacing w:before="60" w:after="60" w:line="480" w:lineRule="auto"/>
              <w:rPr>
                <w:rFonts w:cs="Arial"/>
              </w:rPr>
            </w:pPr>
          </w:p>
        </w:tc>
        <w:tc>
          <w:tcPr>
            <w:tcW w:w="37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4D5B16" w:rsidRPr="00415F9E" w:rsidRDefault="004D5B16" w:rsidP="004D5B16">
            <w:pPr>
              <w:spacing w:before="60" w:after="60" w:line="360" w:lineRule="auto"/>
              <w:ind w:left="-18" w:firstLine="18"/>
              <w:rPr>
                <w:rFonts w:cs="Arial"/>
              </w:rPr>
            </w:pPr>
          </w:p>
        </w:tc>
        <w:tc>
          <w:tcPr>
            <w:tcW w:w="2430" w:type="dxa"/>
            <w:tcBorders>
              <w:top w:val="single" w:sz="4" w:space="0" w:color="auto"/>
              <w:left w:val="single" w:sz="4" w:space="0" w:color="auto"/>
              <w:bottom w:val="single" w:sz="4" w:space="0" w:color="auto"/>
            </w:tcBorders>
            <w:shd w:val="clear" w:color="auto" w:fill="D9D9D9" w:themeFill="background1" w:themeFillShade="D9"/>
          </w:tcPr>
          <w:p w:rsidR="004D5B16" w:rsidRPr="00415F9E" w:rsidRDefault="004D5B16" w:rsidP="004D5B16">
            <w:pPr>
              <w:spacing w:before="60" w:after="60" w:line="360" w:lineRule="auto"/>
              <w:ind w:left="-18" w:firstLine="18"/>
              <w:jc w:val="right"/>
              <w:rPr>
                <w:rFonts w:cs="Arial"/>
              </w:rPr>
            </w:pPr>
          </w:p>
        </w:tc>
      </w:tr>
      <w:tr w:rsidR="004D5B16" w:rsidRPr="00415F9E" w:rsidTr="00FC6E81">
        <w:tc>
          <w:tcPr>
            <w:tcW w:w="738" w:type="dxa"/>
            <w:tcBorders>
              <w:top w:val="single" w:sz="4" w:space="0" w:color="auto"/>
              <w:bottom w:val="single" w:sz="18" w:space="0" w:color="auto"/>
              <w:right w:val="single" w:sz="4" w:space="0" w:color="auto"/>
            </w:tcBorders>
            <w:shd w:val="clear" w:color="auto" w:fill="FFFFFF"/>
          </w:tcPr>
          <w:p w:rsidR="004D5B16" w:rsidRPr="00415F9E" w:rsidRDefault="004D5B16" w:rsidP="004D5B16">
            <w:pPr>
              <w:spacing w:before="60" w:after="60" w:line="360" w:lineRule="auto"/>
              <w:ind w:left="-110" w:right="-108"/>
              <w:jc w:val="center"/>
              <w:rPr>
                <w:rFonts w:cs="Arial"/>
              </w:rPr>
            </w:pPr>
            <w:r w:rsidRPr="00415F9E">
              <w:rPr>
                <w:rFonts w:cs="Arial"/>
              </w:rPr>
              <w:t>5</w:t>
            </w:r>
          </w:p>
        </w:tc>
        <w:tc>
          <w:tcPr>
            <w:tcW w:w="3240" w:type="dxa"/>
            <w:tcBorders>
              <w:top w:val="single" w:sz="4" w:space="0" w:color="auto"/>
              <w:left w:val="single" w:sz="4" w:space="0" w:color="auto"/>
              <w:bottom w:val="single" w:sz="18" w:space="0" w:color="auto"/>
              <w:right w:val="single" w:sz="4" w:space="0" w:color="auto"/>
            </w:tcBorders>
            <w:shd w:val="clear" w:color="auto" w:fill="FFFFFF"/>
            <w:vAlign w:val="center"/>
          </w:tcPr>
          <w:p w:rsidR="004D5B16" w:rsidRPr="00415F9E" w:rsidRDefault="004D5B16" w:rsidP="004D5B16">
            <w:pPr>
              <w:tabs>
                <w:tab w:val="left" w:pos="244"/>
              </w:tabs>
              <w:spacing w:before="60" w:after="60" w:line="480" w:lineRule="auto"/>
              <w:rPr>
                <w:rFonts w:cs="Arial"/>
              </w:rPr>
            </w:pPr>
            <w:r w:rsidRPr="00415F9E">
              <w:rPr>
                <w:rFonts w:cs="Arial"/>
              </w:rPr>
              <w:t>Pontos-chave</w:t>
            </w:r>
          </w:p>
          <w:p w:rsidR="004D5B16" w:rsidRPr="00415F9E" w:rsidRDefault="004D5B16" w:rsidP="004D5B16">
            <w:pPr>
              <w:tabs>
                <w:tab w:val="left" w:pos="244"/>
              </w:tabs>
              <w:spacing w:before="60" w:after="60" w:line="480" w:lineRule="auto"/>
              <w:rPr>
                <w:rFonts w:cs="Arial"/>
              </w:rPr>
            </w:pPr>
          </w:p>
        </w:tc>
        <w:tc>
          <w:tcPr>
            <w:tcW w:w="3780" w:type="dxa"/>
            <w:tcBorders>
              <w:top w:val="single" w:sz="4" w:space="0" w:color="auto"/>
              <w:left w:val="single" w:sz="4" w:space="0" w:color="auto"/>
              <w:bottom w:val="single" w:sz="18" w:space="0" w:color="auto"/>
              <w:right w:val="single" w:sz="4" w:space="0" w:color="auto"/>
            </w:tcBorders>
            <w:shd w:val="clear" w:color="auto" w:fill="FFFFFF"/>
          </w:tcPr>
          <w:p w:rsidR="004D5B16" w:rsidRPr="00415F9E" w:rsidRDefault="004D5B16" w:rsidP="004D5B16">
            <w:pPr>
              <w:spacing w:before="60" w:after="60" w:line="360" w:lineRule="auto"/>
              <w:ind w:left="-18" w:firstLine="18"/>
              <w:rPr>
                <w:rFonts w:cs="Arial"/>
              </w:rPr>
            </w:pPr>
          </w:p>
        </w:tc>
        <w:tc>
          <w:tcPr>
            <w:tcW w:w="2430" w:type="dxa"/>
            <w:tcBorders>
              <w:top w:val="single" w:sz="4" w:space="0" w:color="auto"/>
              <w:left w:val="single" w:sz="4" w:space="0" w:color="auto"/>
              <w:bottom w:val="single" w:sz="18" w:space="0" w:color="auto"/>
            </w:tcBorders>
            <w:shd w:val="clear" w:color="auto" w:fill="FFFFFF"/>
          </w:tcPr>
          <w:p w:rsidR="004D5B16" w:rsidRPr="00415F9E" w:rsidRDefault="004D5B16" w:rsidP="004D5B16">
            <w:pPr>
              <w:spacing w:before="60" w:after="60" w:line="360" w:lineRule="auto"/>
              <w:ind w:left="-18" w:firstLine="18"/>
              <w:jc w:val="right"/>
              <w:rPr>
                <w:rFonts w:cs="Arial"/>
              </w:rPr>
            </w:pPr>
          </w:p>
        </w:tc>
      </w:tr>
    </w:tbl>
    <w:p w:rsidR="00506DE0" w:rsidRDefault="00506DE0" w:rsidP="004D5B16">
      <w:pPr>
        <w:tabs>
          <w:tab w:val="left" w:pos="424"/>
        </w:tabs>
        <w:jc w:val="both"/>
        <w:rPr>
          <w:rFonts w:cs="Arial"/>
          <w:b/>
          <w:lang w:val="pt-BR"/>
        </w:rPr>
      </w:pPr>
    </w:p>
    <w:p w:rsidR="00506DE0" w:rsidRDefault="00506DE0">
      <w:pPr>
        <w:rPr>
          <w:rFonts w:cs="Arial"/>
          <w:b/>
          <w:lang w:val="pt-BR"/>
        </w:rPr>
      </w:pPr>
      <w:r>
        <w:rPr>
          <w:rFonts w:cs="Arial"/>
          <w:b/>
          <w:lang w:val="pt-BR"/>
        </w:rPr>
        <w:br w:type="page"/>
      </w:r>
    </w:p>
    <w:p w:rsidR="004D5B16" w:rsidRPr="00415F9E" w:rsidRDefault="004D5B16" w:rsidP="004D5B16">
      <w:pPr>
        <w:tabs>
          <w:tab w:val="left" w:pos="424"/>
        </w:tabs>
        <w:jc w:val="both"/>
        <w:rPr>
          <w:rFonts w:cs="Arial"/>
          <w:b/>
          <w:lang w:val="pt-BR"/>
        </w:rPr>
      </w:pPr>
      <w:r w:rsidRPr="00415F9E">
        <w:rPr>
          <w:rFonts w:cs="Arial"/>
          <w:b/>
          <w:lang w:val="pt-BR"/>
        </w:rPr>
        <w:lastRenderedPageBreak/>
        <w:t>Equipamentos e meios audiovisuais necessários:</w:t>
      </w:r>
    </w:p>
    <w:p w:rsidR="004D5B16" w:rsidRPr="00415F9E" w:rsidRDefault="004D5B16" w:rsidP="004D5B16">
      <w:pPr>
        <w:tabs>
          <w:tab w:val="left" w:pos="424"/>
        </w:tabs>
        <w:jc w:val="both"/>
        <w:rPr>
          <w:rFonts w:cs="Arial"/>
          <w:lang w:val="pt-BR"/>
        </w:rPr>
      </w:pPr>
    </w:p>
    <w:p w:rsidR="004D5B16" w:rsidRDefault="004D5B16" w:rsidP="004D5B16">
      <w:pPr>
        <w:tabs>
          <w:tab w:val="left" w:pos="424"/>
        </w:tabs>
        <w:jc w:val="both"/>
        <w:rPr>
          <w:rFonts w:cs="Arial"/>
          <w:lang w:val="pt-BR"/>
        </w:rPr>
      </w:pPr>
    </w:p>
    <w:p w:rsidR="00506DE0" w:rsidRDefault="00506DE0" w:rsidP="004D5B16">
      <w:pPr>
        <w:tabs>
          <w:tab w:val="left" w:pos="424"/>
        </w:tabs>
        <w:jc w:val="both"/>
        <w:rPr>
          <w:rFonts w:cs="Arial"/>
          <w:lang w:val="pt-BR"/>
        </w:rPr>
      </w:pPr>
    </w:p>
    <w:p w:rsidR="00506DE0" w:rsidRDefault="00506DE0" w:rsidP="004D5B16">
      <w:pPr>
        <w:tabs>
          <w:tab w:val="left" w:pos="424"/>
        </w:tabs>
        <w:jc w:val="both"/>
        <w:rPr>
          <w:rFonts w:cs="Arial"/>
          <w:lang w:val="pt-BR"/>
        </w:rPr>
      </w:pPr>
    </w:p>
    <w:p w:rsidR="00506DE0" w:rsidRPr="00415F9E" w:rsidRDefault="00506DE0" w:rsidP="004D5B16">
      <w:pPr>
        <w:tabs>
          <w:tab w:val="left" w:pos="424"/>
        </w:tabs>
        <w:jc w:val="both"/>
        <w:rPr>
          <w:rFonts w:cs="Arial"/>
          <w:lang w:val="pt-BR"/>
        </w:rPr>
      </w:pPr>
    </w:p>
    <w:p w:rsidR="004D5B16" w:rsidRPr="00415F9E" w:rsidRDefault="004D5B16" w:rsidP="004D5B16">
      <w:pPr>
        <w:tabs>
          <w:tab w:val="left" w:pos="424"/>
        </w:tabs>
        <w:jc w:val="both"/>
        <w:rPr>
          <w:rFonts w:cs="Arial"/>
          <w:lang w:val="pt-BR"/>
        </w:rPr>
      </w:pPr>
    </w:p>
    <w:p w:rsidR="004D5B16" w:rsidRPr="00415F9E" w:rsidRDefault="004D5B16" w:rsidP="004D5B16">
      <w:pPr>
        <w:tabs>
          <w:tab w:val="left" w:pos="424"/>
        </w:tabs>
        <w:jc w:val="both"/>
        <w:rPr>
          <w:rFonts w:cs="Arial"/>
          <w:lang w:val="pt-BR"/>
        </w:rPr>
      </w:pPr>
    </w:p>
    <w:p w:rsidR="004D5B16" w:rsidRPr="00415F9E" w:rsidRDefault="004D5B16" w:rsidP="004D5B16">
      <w:pPr>
        <w:tabs>
          <w:tab w:val="left" w:pos="424"/>
        </w:tabs>
        <w:jc w:val="both"/>
        <w:rPr>
          <w:rFonts w:cs="Arial"/>
          <w:lang w:val="pt-BR"/>
        </w:rPr>
      </w:pPr>
      <w:r w:rsidRPr="00415F9E">
        <w:rPr>
          <w:rFonts w:cs="Arial"/>
          <w:b/>
          <w:lang w:val="pt-BR"/>
        </w:rPr>
        <w:t>Trabalhos para casa (TPC), Exercícios e textos para leitura – incluir data a ser entregue:</w:t>
      </w:r>
      <w:r w:rsidRPr="00415F9E">
        <w:rPr>
          <w:rFonts w:cs="Arial"/>
          <w:lang w:val="pt-BR"/>
        </w:rPr>
        <w:t xml:space="preserve"> </w:t>
      </w:r>
    </w:p>
    <w:p w:rsidR="004D5B16" w:rsidRPr="00415F9E" w:rsidRDefault="004D5B16" w:rsidP="004D5B16">
      <w:pPr>
        <w:tabs>
          <w:tab w:val="left" w:pos="424"/>
        </w:tabs>
        <w:jc w:val="both"/>
        <w:rPr>
          <w:rFonts w:cs="Arial"/>
          <w:lang w:val="pt-BR"/>
        </w:rPr>
      </w:pPr>
    </w:p>
    <w:p w:rsidR="004D5B16" w:rsidRPr="00415F9E" w:rsidRDefault="004D5B16" w:rsidP="004D5B16">
      <w:pPr>
        <w:tabs>
          <w:tab w:val="left" w:pos="424"/>
        </w:tabs>
        <w:jc w:val="both"/>
        <w:rPr>
          <w:rFonts w:cs="Arial"/>
          <w:lang w:val="pt-BR"/>
        </w:rPr>
      </w:pPr>
    </w:p>
    <w:p w:rsidR="004D5B16" w:rsidRPr="00415F9E" w:rsidRDefault="004D5B16" w:rsidP="004D5B16">
      <w:pPr>
        <w:tabs>
          <w:tab w:val="left" w:pos="424"/>
        </w:tabs>
        <w:jc w:val="both"/>
        <w:rPr>
          <w:rFonts w:cs="Arial"/>
          <w:lang w:val="pt-BR"/>
        </w:rPr>
      </w:pPr>
    </w:p>
    <w:p w:rsidR="004D5B16" w:rsidRPr="00415F9E" w:rsidRDefault="004D5B16" w:rsidP="004D5B16">
      <w:pPr>
        <w:tabs>
          <w:tab w:val="left" w:pos="424"/>
        </w:tabs>
        <w:jc w:val="both"/>
        <w:rPr>
          <w:rFonts w:cs="Arial"/>
          <w:lang w:val="pt-BR"/>
        </w:rPr>
      </w:pPr>
    </w:p>
    <w:p w:rsidR="004D5B16" w:rsidRDefault="004D5B16" w:rsidP="004D5B16">
      <w:pPr>
        <w:tabs>
          <w:tab w:val="left" w:pos="424"/>
        </w:tabs>
        <w:jc w:val="both"/>
        <w:rPr>
          <w:rFonts w:cs="Arial"/>
          <w:lang w:val="pt-BR"/>
        </w:rPr>
      </w:pPr>
    </w:p>
    <w:p w:rsidR="00D51901" w:rsidRDefault="00D51901" w:rsidP="004D5B16">
      <w:pPr>
        <w:tabs>
          <w:tab w:val="left" w:pos="424"/>
        </w:tabs>
        <w:jc w:val="both"/>
        <w:rPr>
          <w:rFonts w:cs="Arial"/>
          <w:lang w:val="pt-BR"/>
        </w:rPr>
      </w:pPr>
    </w:p>
    <w:p w:rsidR="00506DE0" w:rsidRDefault="00506DE0" w:rsidP="004D5B16">
      <w:pPr>
        <w:tabs>
          <w:tab w:val="left" w:pos="424"/>
        </w:tabs>
        <w:jc w:val="both"/>
        <w:rPr>
          <w:rFonts w:cs="Arial"/>
          <w:lang w:val="pt-BR"/>
        </w:rPr>
      </w:pPr>
    </w:p>
    <w:p w:rsidR="00506DE0" w:rsidRDefault="00506DE0" w:rsidP="004D5B16">
      <w:pPr>
        <w:tabs>
          <w:tab w:val="left" w:pos="424"/>
        </w:tabs>
        <w:jc w:val="both"/>
        <w:rPr>
          <w:rFonts w:cs="Arial"/>
          <w:lang w:val="pt-BR"/>
        </w:rPr>
      </w:pPr>
    </w:p>
    <w:p w:rsidR="00506DE0" w:rsidRDefault="00506DE0" w:rsidP="004D5B16">
      <w:pPr>
        <w:tabs>
          <w:tab w:val="left" w:pos="424"/>
        </w:tabs>
        <w:jc w:val="both"/>
        <w:rPr>
          <w:rFonts w:cs="Arial"/>
          <w:lang w:val="pt-BR"/>
        </w:rPr>
      </w:pPr>
    </w:p>
    <w:p w:rsidR="00506DE0" w:rsidRDefault="00506DE0" w:rsidP="004D5B16">
      <w:pPr>
        <w:tabs>
          <w:tab w:val="left" w:pos="424"/>
        </w:tabs>
        <w:jc w:val="both"/>
        <w:rPr>
          <w:rFonts w:cs="Arial"/>
          <w:lang w:val="pt-BR"/>
        </w:rPr>
      </w:pPr>
    </w:p>
    <w:p w:rsidR="00D51901" w:rsidRDefault="00D51901" w:rsidP="004D5B16">
      <w:pPr>
        <w:tabs>
          <w:tab w:val="left" w:pos="424"/>
        </w:tabs>
        <w:jc w:val="both"/>
        <w:rPr>
          <w:rFonts w:cs="Arial"/>
          <w:lang w:val="pt-BR"/>
        </w:rPr>
      </w:pPr>
    </w:p>
    <w:p w:rsidR="00D51901" w:rsidRDefault="00D51901" w:rsidP="004D5B16">
      <w:pPr>
        <w:tabs>
          <w:tab w:val="left" w:pos="424"/>
        </w:tabs>
        <w:jc w:val="both"/>
        <w:rPr>
          <w:rFonts w:cs="Arial"/>
          <w:lang w:val="pt-BR"/>
        </w:rPr>
      </w:pPr>
    </w:p>
    <w:p w:rsidR="00D51901" w:rsidRDefault="00D51901" w:rsidP="004D5B16">
      <w:pPr>
        <w:tabs>
          <w:tab w:val="left" w:pos="424"/>
        </w:tabs>
        <w:jc w:val="both"/>
        <w:rPr>
          <w:rFonts w:cs="Arial"/>
          <w:lang w:val="pt-BR"/>
        </w:rPr>
      </w:pPr>
    </w:p>
    <w:p w:rsidR="00D51901" w:rsidRDefault="00D51901" w:rsidP="004D5B16">
      <w:pPr>
        <w:tabs>
          <w:tab w:val="left" w:pos="424"/>
        </w:tabs>
        <w:jc w:val="both"/>
        <w:rPr>
          <w:rFonts w:cs="Arial"/>
          <w:lang w:val="pt-BR"/>
        </w:rPr>
      </w:pPr>
    </w:p>
    <w:p w:rsidR="00D51901" w:rsidRDefault="00D51901" w:rsidP="004D5B16">
      <w:pPr>
        <w:tabs>
          <w:tab w:val="left" w:pos="424"/>
        </w:tabs>
        <w:jc w:val="both"/>
        <w:rPr>
          <w:rFonts w:cs="Arial"/>
          <w:lang w:val="pt-BR"/>
        </w:rPr>
      </w:pPr>
    </w:p>
    <w:p w:rsidR="00D51901" w:rsidRPr="00415F9E" w:rsidRDefault="00D51901" w:rsidP="004D5B16">
      <w:pPr>
        <w:tabs>
          <w:tab w:val="left" w:pos="424"/>
        </w:tabs>
        <w:jc w:val="both"/>
        <w:rPr>
          <w:rFonts w:cs="Arial"/>
          <w:lang w:val="pt-BR"/>
        </w:rPr>
      </w:pPr>
    </w:p>
    <w:p w:rsidR="004D5B16" w:rsidRPr="00415F9E" w:rsidRDefault="004D5B16" w:rsidP="004D5B16">
      <w:pPr>
        <w:tabs>
          <w:tab w:val="left" w:pos="424"/>
        </w:tabs>
        <w:jc w:val="both"/>
        <w:rPr>
          <w:rFonts w:cs="Arial"/>
          <w:b/>
          <w:lang w:val="pt-BR"/>
        </w:rPr>
      </w:pPr>
      <w:r w:rsidRPr="00415F9E">
        <w:rPr>
          <w:rFonts w:cs="Arial"/>
          <w:b/>
          <w:lang w:val="pt-BR"/>
        </w:rPr>
        <w:t>Bibliografia (referências usadas para o desenvolvimento do conteúdo):</w:t>
      </w:r>
    </w:p>
    <w:p w:rsidR="004D5B16" w:rsidRPr="00F47FAF" w:rsidRDefault="004D5B16" w:rsidP="00A05CAA">
      <w:pPr>
        <w:rPr>
          <w:lang w:val="pt-BR"/>
        </w:rPr>
      </w:pPr>
      <w:r w:rsidRPr="00415F9E">
        <w:rPr>
          <w:lang w:val="pt-BR"/>
        </w:rPr>
        <w:t xml:space="preserve">Abbas, A.K., Lichtman, A.H. , Pllai, S. Imunologia Celular e Molecular. </w:t>
      </w:r>
      <w:r w:rsidRPr="00F47FAF">
        <w:rPr>
          <w:lang w:val="pt-BR"/>
        </w:rPr>
        <w:t>6ª. Ed. Elsevier. 2008</w:t>
      </w:r>
    </w:p>
    <w:p w:rsidR="004D5B16" w:rsidRPr="00415F9E" w:rsidRDefault="004D5B16" w:rsidP="00A05CAA">
      <w:pPr>
        <w:rPr>
          <w:lang w:val="pt-BR"/>
        </w:rPr>
      </w:pPr>
      <w:r w:rsidRPr="00415F9E">
        <w:rPr>
          <w:lang w:val="pt-BR"/>
        </w:rPr>
        <w:t>Roitt, II., Delves, P. J. Roitt Fundamentos de Imunologia. Guanabara, 2004</w:t>
      </w:r>
    </w:p>
    <w:p w:rsidR="004D5B16" w:rsidRPr="00415F9E" w:rsidRDefault="004D5B16" w:rsidP="00A05CAA">
      <w:pPr>
        <w:rPr>
          <w:lang w:val="pt-BR"/>
        </w:rPr>
      </w:pPr>
      <w:r w:rsidRPr="00415F9E">
        <w:rPr>
          <w:bCs/>
          <w:lang w:val="pt-BR"/>
        </w:rPr>
        <w:t xml:space="preserve">Engelkirk, P.G. Gwendolyn, B. Microbiologia para as Ciências da Saúde. 7ª. Ed. Guanabara Koogan. </w:t>
      </w:r>
    </w:p>
    <w:p w:rsidR="00D51901" w:rsidRDefault="00D51901">
      <w:pPr>
        <w:rPr>
          <w:rFonts w:cs="Arial"/>
          <w:b/>
          <w:lang w:val="pt-BR"/>
        </w:rPr>
      </w:pPr>
      <w:r>
        <w:rPr>
          <w:rFonts w:cs="Arial"/>
          <w:b/>
          <w:lang w:val="pt-BR"/>
        </w:rPr>
        <w:br w:type="page"/>
      </w:r>
    </w:p>
    <w:p w:rsidR="004D5B16" w:rsidRPr="00415F9E" w:rsidRDefault="004D5B16" w:rsidP="004D5B16">
      <w:pPr>
        <w:shd w:val="clear" w:color="auto" w:fill="B8CCE4"/>
        <w:tabs>
          <w:tab w:val="left" w:pos="1276"/>
          <w:tab w:val="right" w:pos="8550"/>
        </w:tabs>
        <w:spacing w:before="120" w:after="120"/>
        <w:ind w:right="-43"/>
        <w:jc w:val="both"/>
        <w:rPr>
          <w:rFonts w:cs="Arial"/>
          <w:b/>
        </w:rPr>
      </w:pPr>
      <w:r w:rsidRPr="00415F9E">
        <w:rPr>
          <w:rFonts w:cs="Arial"/>
          <w:b/>
        </w:rPr>
        <w:lastRenderedPageBreak/>
        <w:t>BLOCO 1: INTRODUÇÃO À AULA</w:t>
      </w:r>
      <w:r w:rsidRPr="00415F9E">
        <w:rPr>
          <w:rFonts w:cs="Arial"/>
          <w:b/>
        </w:rPr>
        <w:tab/>
      </w:r>
    </w:p>
    <w:p w:rsidR="00A05CAA" w:rsidRDefault="004D5B16" w:rsidP="00C52E09">
      <w:pPr>
        <w:pStyle w:val="ListParagraph"/>
        <w:numPr>
          <w:ilvl w:val="1"/>
          <w:numId w:val="55"/>
        </w:numPr>
        <w:spacing w:before="120" w:after="0"/>
        <w:ind w:right="-43"/>
        <w:jc w:val="both"/>
        <w:rPr>
          <w:rFonts w:cs="Arial"/>
          <w:lang w:val="pt-BR"/>
        </w:rPr>
      </w:pPr>
      <w:r w:rsidRPr="00A05CAA">
        <w:rPr>
          <w:rFonts w:cs="Arial"/>
          <w:lang w:val="pt-BR"/>
        </w:rPr>
        <w:t>Apresentação do tópico, conteúdos e objectivos de aprendizagem.</w:t>
      </w:r>
    </w:p>
    <w:p w:rsidR="00A05CAA" w:rsidRDefault="004D5B16" w:rsidP="00C52E09">
      <w:pPr>
        <w:pStyle w:val="ListParagraph"/>
        <w:numPr>
          <w:ilvl w:val="1"/>
          <w:numId w:val="55"/>
        </w:numPr>
        <w:spacing w:before="120" w:after="0"/>
        <w:ind w:right="-43"/>
        <w:jc w:val="both"/>
        <w:rPr>
          <w:rFonts w:cs="Arial"/>
          <w:lang w:val="pt-BR"/>
        </w:rPr>
      </w:pPr>
      <w:r w:rsidRPr="00A05CAA">
        <w:rPr>
          <w:rFonts w:cs="Arial"/>
          <w:lang w:val="pt-BR"/>
        </w:rPr>
        <w:t>Apresentação da estrutura da aula.</w:t>
      </w:r>
    </w:p>
    <w:p w:rsidR="004D5B16" w:rsidRPr="00A05CAA" w:rsidRDefault="004D5B16" w:rsidP="00C52E09">
      <w:pPr>
        <w:pStyle w:val="ListParagraph"/>
        <w:numPr>
          <w:ilvl w:val="1"/>
          <w:numId w:val="55"/>
        </w:numPr>
        <w:spacing w:before="120" w:after="0"/>
        <w:ind w:right="-43"/>
        <w:jc w:val="both"/>
        <w:rPr>
          <w:rFonts w:cs="Arial"/>
          <w:lang w:val="pt-BR"/>
        </w:rPr>
      </w:pPr>
      <w:r w:rsidRPr="00A05CAA">
        <w:rPr>
          <w:rFonts w:cs="Arial"/>
          <w:lang w:val="pt-BR"/>
        </w:rPr>
        <w:t>Apresentação da bibliografia que o aluno deverá manejar para ampliar os conhecimentos.</w:t>
      </w:r>
    </w:p>
    <w:p w:rsidR="004D5B16" w:rsidRPr="00415F9E" w:rsidRDefault="004D5B16" w:rsidP="0070097E">
      <w:pPr>
        <w:pStyle w:val="TM-0"/>
        <w:spacing w:after="0"/>
        <w:rPr>
          <w:lang w:val="pt-BR"/>
        </w:rPr>
      </w:pPr>
    </w:p>
    <w:p w:rsidR="004D5B16" w:rsidRPr="00415F9E" w:rsidRDefault="004D5B16" w:rsidP="004D5B16">
      <w:pPr>
        <w:shd w:val="clear" w:color="auto" w:fill="B8CCE4"/>
        <w:tabs>
          <w:tab w:val="left" w:pos="1276"/>
          <w:tab w:val="right" w:pos="8550"/>
        </w:tabs>
        <w:spacing w:before="120" w:after="120"/>
        <w:ind w:right="-43"/>
        <w:jc w:val="both"/>
        <w:rPr>
          <w:rFonts w:cs="Arial"/>
          <w:b/>
        </w:rPr>
      </w:pPr>
      <w:proofErr w:type="gramStart"/>
      <w:r w:rsidRPr="00415F9E">
        <w:rPr>
          <w:rFonts w:cs="Arial"/>
          <w:b/>
        </w:rPr>
        <w:t>BLOCO 2.</w:t>
      </w:r>
      <w:proofErr w:type="gramEnd"/>
      <w:r w:rsidRPr="00415F9E">
        <w:rPr>
          <w:rFonts w:cs="Arial"/>
          <w:b/>
        </w:rPr>
        <w:t xml:space="preserve"> IMUNIDADE INATA</w:t>
      </w:r>
    </w:p>
    <w:p w:rsidR="004D5B16" w:rsidRPr="00415F9E" w:rsidRDefault="004D5B16" w:rsidP="00C52E09">
      <w:pPr>
        <w:pStyle w:val="TM-2n"/>
        <w:numPr>
          <w:ilvl w:val="1"/>
          <w:numId w:val="48"/>
        </w:numPr>
        <w:spacing w:before="120" w:after="0" w:line="276" w:lineRule="auto"/>
      </w:pPr>
      <w:r w:rsidRPr="00415F9E">
        <w:t>A imunidade inata inclui um conjunto de mecanismos que defendem o corpo humano das infecções por microrganismos, de uma maneira não específica. Este constitui os primeiros dois níveis (ou linhas) de defesa do organismo.</w:t>
      </w:r>
    </w:p>
    <w:p w:rsidR="004D5B16" w:rsidRPr="00415F9E" w:rsidRDefault="004D5B16" w:rsidP="00C52E09">
      <w:pPr>
        <w:pStyle w:val="TM-2n"/>
        <w:numPr>
          <w:ilvl w:val="1"/>
          <w:numId w:val="48"/>
        </w:numPr>
        <w:spacing w:before="120" w:after="0" w:line="276" w:lineRule="auto"/>
      </w:pPr>
      <w:r w:rsidRPr="00415F9E">
        <w:t>As células responsáveis pela imunidade inata reconhecem e respondem de forma genérica e imediata à presença de patógenos, mas não conferem imunidade a longo prazo.</w:t>
      </w:r>
    </w:p>
    <w:p w:rsidR="004D5B16" w:rsidRPr="00415F9E" w:rsidRDefault="004D5B16" w:rsidP="004D5B16">
      <w:pPr>
        <w:pStyle w:val="TM-2n"/>
        <w:numPr>
          <w:ilvl w:val="0"/>
          <w:numId w:val="0"/>
        </w:numPr>
        <w:spacing w:before="120" w:after="0"/>
        <w:ind w:left="720"/>
        <w:jc w:val="center"/>
      </w:pPr>
      <w:r>
        <w:rPr>
          <w:noProof/>
          <w:lang w:val="en-ZW" w:eastAsia="en-ZW"/>
        </w:rPr>
        <w:drawing>
          <wp:inline distT="0" distB="0" distL="0" distR="0" wp14:anchorId="1CCC82B1" wp14:editId="6CBE78A5">
            <wp:extent cx="4729077" cy="2447925"/>
            <wp:effectExtent l="4848" t="0" r="0" b="0"/>
            <wp:docPr id="64" name="Object 1"/>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624736" cy="3963055"/>
                      <a:chOff x="1187624" y="1916832"/>
                      <a:chExt cx="6624736" cy="3963055"/>
                    </a:xfrm>
                  </a:grpSpPr>
                  <a:grpSp>
                    <a:nvGrpSpPr>
                      <a:cNvPr id="30" name="Group 29"/>
                      <a:cNvGrpSpPr/>
                    </a:nvGrpSpPr>
                    <a:grpSpPr>
                      <a:xfrm>
                        <a:off x="1187624" y="1916832"/>
                        <a:ext cx="6624736" cy="3963055"/>
                        <a:chOff x="395536" y="1916832"/>
                        <a:chExt cx="6624736" cy="3963055"/>
                      </a:xfrm>
                    </a:grpSpPr>
                    <a:cxnSp>
                      <a:nvCxnSpPr>
                        <a:cNvPr id="17" name="Straight Connector 16"/>
                        <a:cNvCxnSpPr/>
                      </a:nvCxnSpPr>
                      <a:spPr>
                        <a:xfrm rot="5400000">
                          <a:off x="2698921" y="4726015"/>
                          <a:ext cx="433789" cy="0"/>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a:grpSp>
                      <a:nvGrpSpPr>
                        <a:cNvPr id="4" name="Group 28"/>
                        <a:cNvGrpSpPr/>
                      </a:nvGrpSpPr>
                      <a:grpSpPr>
                        <a:xfrm>
                          <a:off x="395536" y="1916832"/>
                          <a:ext cx="6624736" cy="3963055"/>
                          <a:chOff x="395536" y="1916832"/>
                          <a:chExt cx="6624736" cy="3963055"/>
                        </a:xfrm>
                      </a:grpSpPr>
                      <a:sp>
                        <a:nvSpPr>
                          <a:cNvPr id="2" name="TextBox 3"/>
                          <a:cNvSpPr txBox="1"/>
                        </a:nvSpPr>
                        <a:spPr>
                          <a:xfrm>
                            <a:off x="2051720" y="1916832"/>
                            <a:ext cx="4320480" cy="646331"/>
                          </a:xfrm>
                          <a:prstGeom prst="rect">
                            <a:avLst/>
                          </a:prstGeom>
                          <a:noFill/>
                          <a:ln w="12700">
                            <a:solidFill>
                              <a:schemeClr val="tx1"/>
                            </a:solidFill>
                          </a:ln>
                        </a:spPr>
                        <a:txSp>
                          <a:txBody>
                            <a:bodyPr wrap="square" rtlCol="0">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r>
                                <a:rPr lang="en-GB" dirty="0" err="1" smtClean="0"/>
                                <a:t>Mecanismos</a:t>
                              </a:r>
                              <a:r>
                                <a:rPr lang="en-GB" dirty="0" smtClean="0"/>
                                <a:t> de </a:t>
                              </a:r>
                              <a:r>
                                <a:rPr lang="en-GB" dirty="0" err="1" smtClean="0"/>
                                <a:t>Defesa</a:t>
                              </a:r>
                              <a:r>
                                <a:rPr lang="en-GB" dirty="0" smtClean="0"/>
                                <a:t> do </a:t>
                              </a:r>
                              <a:r>
                                <a:rPr lang="en-GB" dirty="0" err="1" smtClean="0"/>
                                <a:t>organismo</a:t>
                              </a:r>
                              <a:endParaRPr lang="en-GB" dirty="0" smtClean="0"/>
                            </a:p>
                            <a:p>
                              <a:pPr algn="ctr"/>
                              <a:r>
                                <a:rPr lang="en-GB" dirty="0" smtClean="0"/>
                                <a:t>(</a:t>
                              </a:r>
                              <a:r>
                                <a:rPr lang="en-GB" dirty="0" err="1" smtClean="0"/>
                                <a:t>Imunidade</a:t>
                              </a:r>
                              <a:r>
                                <a:rPr lang="en-GB" dirty="0" smtClean="0"/>
                                <a:t>)</a:t>
                              </a:r>
                              <a:endParaRPr lang="en-GB" dirty="0"/>
                            </a:p>
                          </a:txBody>
                          <a:useSpRect/>
                        </a:txSp>
                      </a:sp>
                      <a:cxnSp>
                        <a:nvCxnSpPr>
                          <a:cNvPr id="6" name="Straight Connector 5"/>
                          <a:cNvCxnSpPr>
                            <a:stCxn id="4" idx="2"/>
                          </a:cNvCxnSpPr>
                        </a:nvCxnSpPr>
                        <a:spPr>
                          <a:xfrm rot="5400000">
                            <a:off x="3995066" y="2780057"/>
                            <a:ext cx="433789" cy="0"/>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a:cxnSp>
                        <a:nvCxnSpPr>
                          <a:cNvPr id="8" name="Straight Connector 7"/>
                          <a:cNvCxnSpPr/>
                        </a:nvCxnSpPr>
                        <a:spPr>
                          <a:xfrm>
                            <a:off x="2123728" y="2996952"/>
                            <a:ext cx="4104456" cy="0"/>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a:cxnSp>
                        <a:nvCxnSpPr>
                          <a:cNvPr id="10" name="Straight Connector 9"/>
                          <a:cNvCxnSpPr/>
                        </a:nvCxnSpPr>
                        <a:spPr>
                          <a:xfrm rot="5400000">
                            <a:off x="1907704" y="3212976"/>
                            <a:ext cx="432048" cy="0"/>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a:cxnSp>
                        <a:nvCxnSpPr>
                          <a:cNvPr id="11" name="Straight Connector 10"/>
                          <a:cNvCxnSpPr/>
                        </a:nvCxnSpPr>
                        <a:spPr>
                          <a:xfrm rot="5400000">
                            <a:off x="6012160" y="3212976"/>
                            <a:ext cx="432048" cy="0"/>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a:sp>
                        <a:nvSpPr>
                          <a:cNvPr id="12" name="TextBox 11"/>
                          <a:cNvSpPr txBox="1"/>
                        </a:nvSpPr>
                        <a:spPr>
                          <a:xfrm>
                            <a:off x="1115616" y="3429000"/>
                            <a:ext cx="1872208" cy="646331"/>
                          </a:xfrm>
                          <a:prstGeom prst="rect">
                            <a:avLst/>
                          </a:prstGeom>
                          <a:noFill/>
                          <a:ln w="12700">
                            <a:solidFill>
                              <a:schemeClr val="tx1"/>
                            </a:solidFill>
                          </a:ln>
                        </a:spPr>
                        <a:txSp>
                          <a:txBody>
                            <a:bodyPr wrap="square" rtlCol="0">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r>
                                <a:rPr lang="en-GB" dirty="0" err="1" smtClean="0"/>
                                <a:t>Mecanismos</a:t>
                              </a:r>
                              <a:r>
                                <a:rPr lang="en-GB" dirty="0" smtClean="0"/>
                                <a:t> </a:t>
                              </a:r>
                              <a:r>
                                <a:rPr lang="en-GB" dirty="0" err="1" smtClean="0"/>
                                <a:t>Inespecíficos</a:t>
                              </a:r>
                              <a:endParaRPr lang="en-GB" dirty="0"/>
                            </a:p>
                          </a:txBody>
                          <a:useSpRect/>
                        </a:txSp>
                      </a:sp>
                      <a:sp>
                        <a:nvSpPr>
                          <a:cNvPr id="13" name="TextBox 12"/>
                          <a:cNvSpPr txBox="1"/>
                        </a:nvSpPr>
                        <a:spPr>
                          <a:xfrm>
                            <a:off x="5148064" y="3429000"/>
                            <a:ext cx="1872208" cy="646331"/>
                          </a:xfrm>
                          <a:prstGeom prst="rect">
                            <a:avLst/>
                          </a:prstGeom>
                          <a:noFill/>
                          <a:ln w="12700">
                            <a:solidFill>
                              <a:schemeClr val="tx1"/>
                            </a:solidFill>
                          </a:ln>
                        </a:spPr>
                        <a:txSp>
                          <a:txBody>
                            <a:bodyPr wrap="square" rtlCol="0">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r>
                                <a:rPr lang="en-GB" dirty="0" err="1" smtClean="0"/>
                                <a:t>Mecanismos</a:t>
                              </a:r>
                              <a:r>
                                <a:rPr lang="en-GB" dirty="0" smtClean="0"/>
                                <a:t> </a:t>
                              </a:r>
                              <a:r>
                                <a:rPr lang="en-GB" dirty="0" err="1" smtClean="0"/>
                                <a:t>Específicos</a:t>
                              </a:r>
                              <a:endParaRPr lang="en-GB" dirty="0"/>
                            </a:p>
                          </a:txBody>
                          <a:useSpRect/>
                        </a:txSp>
                      </a:sp>
                      <a:cxnSp>
                        <a:nvCxnSpPr>
                          <a:cNvPr id="14" name="Straight Connector 13"/>
                          <a:cNvCxnSpPr/>
                        </a:nvCxnSpPr>
                        <a:spPr>
                          <a:xfrm rot="5400000">
                            <a:off x="1834825" y="4293967"/>
                            <a:ext cx="433789" cy="0"/>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a:cxnSp>
                        <a:nvCxnSpPr>
                          <a:cNvPr id="16" name="Straight Connector 15"/>
                          <a:cNvCxnSpPr/>
                        </a:nvCxnSpPr>
                        <a:spPr>
                          <a:xfrm rot="5400000">
                            <a:off x="898721" y="4726015"/>
                            <a:ext cx="433789" cy="0"/>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a:cxnSp>
                        <a:nvCxnSpPr>
                          <a:cNvPr id="19" name="Straight Connector 18"/>
                          <a:cNvCxnSpPr/>
                        </a:nvCxnSpPr>
                        <a:spPr>
                          <a:xfrm>
                            <a:off x="1115616" y="4509120"/>
                            <a:ext cx="1800200" cy="0"/>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a:sp>
                        <a:nvSpPr>
                          <a:cNvPr id="24" name="TextBox 23"/>
                          <a:cNvSpPr txBox="1"/>
                        </a:nvSpPr>
                        <a:spPr>
                          <a:xfrm>
                            <a:off x="395536" y="4941168"/>
                            <a:ext cx="1512168" cy="938719"/>
                          </a:xfrm>
                          <a:prstGeom prst="rect">
                            <a:avLst/>
                          </a:prstGeom>
                          <a:noFill/>
                          <a:ln w="12700">
                            <a:solidFill>
                              <a:schemeClr val="tx1"/>
                            </a:solidFill>
                          </a:ln>
                        </a:spPr>
                        <a:txSp>
                          <a:txBody>
                            <a:bodyPr wrap="square" rtlCol="0">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r>
                                <a:rPr lang="en-GB" sz="1100" dirty="0"/>
                                <a:t>1</a:t>
                              </a:r>
                              <a:r>
                                <a:rPr lang="en-GB" sz="1100" dirty="0" smtClean="0"/>
                                <a:t>a </a:t>
                              </a:r>
                              <a:r>
                                <a:rPr lang="en-GB" sz="1100" dirty="0" err="1" smtClean="0"/>
                                <a:t>linha</a:t>
                              </a:r>
                              <a:r>
                                <a:rPr lang="en-GB" sz="1100" dirty="0" smtClean="0"/>
                                <a:t> de </a:t>
                              </a:r>
                              <a:r>
                                <a:rPr lang="en-GB" sz="1100" dirty="0" err="1" smtClean="0"/>
                                <a:t>de</a:t>
                              </a:r>
                              <a:r>
                                <a:rPr lang="en-GB" sz="1100" dirty="0" smtClean="0"/>
                                <a:t> </a:t>
                              </a:r>
                              <a:r>
                                <a:rPr lang="en-GB" sz="1100" dirty="0" err="1" smtClean="0"/>
                                <a:t>defesa</a:t>
                              </a:r>
                              <a:r>
                                <a:rPr lang="en-GB" sz="1100" dirty="0" smtClean="0"/>
                                <a:t> </a:t>
                              </a:r>
                            </a:p>
                            <a:p>
                              <a:pPr algn="ctr"/>
                              <a:r>
                                <a:rPr lang="en-GB" sz="1100" dirty="0" smtClean="0"/>
                                <a:t>(Pele, </a:t>
                              </a:r>
                              <a:r>
                                <a:rPr lang="en-GB" sz="1100" dirty="0" err="1" smtClean="0"/>
                                <a:t>suor</a:t>
                              </a:r>
                              <a:r>
                                <a:rPr lang="en-GB" sz="1100" dirty="0" smtClean="0"/>
                                <a:t>, saliva, </a:t>
                              </a:r>
                              <a:r>
                                <a:rPr lang="en-GB" sz="1100" dirty="0" err="1" smtClean="0"/>
                                <a:t>cílios</a:t>
                              </a:r>
                              <a:r>
                                <a:rPr lang="en-GB" sz="1100" dirty="0" smtClean="0"/>
                                <a:t>, </a:t>
                              </a:r>
                              <a:r>
                                <a:rPr lang="en-GB" sz="1100" dirty="0" err="1" smtClean="0"/>
                                <a:t>acidez</a:t>
                              </a:r>
                              <a:r>
                                <a:rPr lang="en-GB" sz="1100" dirty="0" smtClean="0"/>
                                <a:t> </a:t>
                              </a:r>
                              <a:r>
                                <a:rPr lang="en-GB" sz="1100" dirty="0" err="1" smtClean="0"/>
                                <a:t>gástrica</a:t>
                              </a:r>
                              <a:r>
                                <a:rPr lang="en-GB" sz="1100" dirty="0" smtClean="0"/>
                                <a:t>)</a:t>
                              </a:r>
                              <a:endParaRPr lang="en-GB" sz="1100" dirty="0"/>
                            </a:p>
                          </a:txBody>
                          <a:useSpRect/>
                        </a:txSp>
                      </a:sp>
                      <a:sp>
                        <a:nvSpPr>
                          <a:cNvPr id="25" name="TextBox 24"/>
                          <a:cNvSpPr txBox="1"/>
                        </a:nvSpPr>
                        <a:spPr>
                          <a:xfrm>
                            <a:off x="2195736" y="4941168"/>
                            <a:ext cx="1584176" cy="769441"/>
                          </a:xfrm>
                          <a:prstGeom prst="rect">
                            <a:avLst/>
                          </a:prstGeom>
                          <a:noFill/>
                          <a:ln w="12700">
                            <a:solidFill>
                              <a:schemeClr val="tx1"/>
                            </a:solidFill>
                          </a:ln>
                        </a:spPr>
                        <a:txSp>
                          <a:txBody>
                            <a:bodyPr wrap="square" rtlCol="0">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r>
                                <a:rPr lang="en-GB" sz="1100" dirty="0" smtClean="0"/>
                                <a:t>2a </a:t>
                              </a:r>
                              <a:r>
                                <a:rPr lang="en-GB" sz="1100" dirty="0" err="1" smtClean="0"/>
                                <a:t>linha</a:t>
                              </a:r>
                              <a:r>
                                <a:rPr lang="en-GB" sz="1100" dirty="0" smtClean="0"/>
                                <a:t> de </a:t>
                              </a:r>
                              <a:r>
                                <a:rPr lang="en-GB" sz="1100" dirty="0" err="1" smtClean="0"/>
                                <a:t>de</a:t>
                              </a:r>
                              <a:r>
                                <a:rPr lang="en-GB" sz="1100" dirty="0" smtClean="0"/>
                                <a:t> </a:t>
                              </a:r>
                              <a:r>
                                <a:rPr lang="en-GB" sz="1100" dirty="0" err="1" smtClean="0"/>
                                <a:t>defesa</a:t>
                              </a:r>
                              <a:r>
                                <a:rPr lang="en-GB" sz="1100" dirty="0" smtClean="0"/>
                                <a:t> </a:t>
                              </a:r>
                            </a:p>
                            <a:p>
                              <a:pPr algn="ctr"/>
                              <a:r>
                                <a:rPr lang="en-GB" sz="1100" dirty="0" smtClean="0"/>
                                <a:t>(</a:t>
                              </a:r>
                              <a:r>
                                <a:rPr lang="en-GB" sz="1100" dirty="0" err="1" smtClean="0"/>
                                <a:t>granulócitos</a:t>
                              </a:r>
                              <a:r>
                                <a:rPr lang="en-GB" sz="1100" dirty="0" smtClean="0"/>
                                <a:t>, </a:t>
                              </a:r>
                              <a:r>
                                <a:rPr lang="en-GB" sz="1100" dirty="0" err="1" smtClean="0"/>
                                <a:t>macrófagos</a:t>
                              </a:r>
                              <a:r>
                                <a:rPr lang="en-GB" sz="1100" dirty="0" smtClean="0"/>
                                <a:t>...)</a:t>
                              </a:r>
                            </a:p>
                            <a:p>
                              <a:pPr algn="ctr"/>
                              <a:r>
                                <a:rPr lang="en-GB" sz="1100" dirty="0" err="1" smtClean="0"/>
                                <a:t>Resposta</a:t>
                              </a:r>
                              <a:r>
                                <a:rPr lang="en-GB" sz="1100" dirty="0" smtClean="0"/>
                                <a:t> </a:t>
                              </a:r>
                              <a:r>
                                <a:rPr lang="en-GB" sz="1100" dirty="0" err="1" smtClean="0"/>
                                <a:t>Inflamatória</a:t>
                              </a:r>
                              <a:endParaRPr lang="en-GB" sz="1100" dirty="0"/>
                            </a:p>
                          </a:txBody>
                          <a:useSpRect/>
                        </a:txSp>
                      </a:sp>
                      <a:sp>
                        <a:nvSpPr>
                          <a:cNvPr id="26" name="TextBox 25"/>
                          <a:cNvSpPr txBox="1"/>
                        </a:nvSpPr>
                        <a:spPr>
                          <a:xfrm>
                            <a:off x="5292080" y="4869160"/>
                            <a:ext cx="1512168" cy="600164"/>
                          </a:xfrm>
                          <a:prstGeom prst="rect">
                            <a:avLst/>
                          </a:prstGeom>
                          <a:noFill/>
                          <a:ln w="12700">
                            <a:solidFill>
                              <a:schemeClr val="tx1"/>
                            </a:solidFill>
                          </a:ln>
                        </a:spPr>
                        <a:txSp>
                          <a:txBody>
                            <a:bodyPr wrap="square" rtlCol="0">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r>
                                <a:rPr lang="en-GB" sz="1100" dirty="0"/>
                                <a:t>3</a:t>
                              </a:r>
                              <a:r>
                                <a:rPr lang="en-GB" sz="1100" dirty="0" smtClean="0"/>
                                <a:t>a </a:t>
                              </a:r>
                              <a:r>
                                <a:rPr lang="en-GB" sz="1100" dirty="0" err="1" smtClean="0"/>
                                <a:t>linha</a:t>
                              </a:r>
                              <a:r>
                                <a:rPr lang="en-GB" sz="1100" dirty="0" smtClean="0"/>
                                <a:t> de </a:t>
                              </a:r>
                              <a:r>
                                <a:rPr lang="en-GB" sz="1100" dirty="0" err="1" smtClean="0"/>
                                <a:t>de</a:t>
                              </a:r>
                              <a:r>
                                <a:rPr lang="en-GB" sz="1100" dirty="0" smtClean="0"/>
                                <a:t> </a:t>
                              </a:r>
                              <a:r>
                                <a:rPr lang="en-GB" sz="1100" dirty="0" err="1" smtClean="0"/>
                                <a:t>defesa</a:t>
                              </a:r>
                              <a:r>
                                <a:rPr lang="en-GB" sz="1100" dirty="0" smtClean="0"/>
                                <a:t> </a:t>
                              </a:r>
                            </a:p>
                            <a:p>
                              <a:pPr algn="ctr"/>
                              <a:r>
                                <a:rPr lang="en-GB" sz="1100" dirty="0" smtClean="0"/>
                                <a:t>(</a:t>
                              </a:r>
                              <a:r>
                                <a:rPr lang="en-GB" sz="1100" dirty="0" err="1" smtClean="0"/>
                                <a:t>Linfócitos</a:t>
                              </a:r>
                              <a:r>
                                <a:rPr lang="en-GB" sz="1100" dirty="0" smtClean="0"/>
                                <a:t> T e B)</a:t>
                              </a:r>
                              <a:endParaRPr lang="en-GB" sz="1100" dirty="0"/>
                            </a:p>
                          </a:txBody>
                          <a:useSpRect/>
                        </a:txSp>
                      </a:sp>
                      <a:cxnSp>
                        <a:nvCxnSpPr>
                          <a:cNvPr id="28" name="Straight Connector 27"/>
                          <a:cNvCxnSpPr/>
                        </a:nvCxnSpPr>
                        <a:spPr>
                          <a:xfrm rot="5400000">
                            <a:off x="5759261" y="4473987"/>
                            <a:ext cx="793829" cy="0"/>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a:grpSp>
                  </a:grpSp>
                </lc:lockedCanvas>
              </a:graphicData>
            </a:graphic>
          </wp:inline>
        </w:drawing>
      </w:r>
    </w:p>
    <w:p w:rsidR="004D5B16" w:rsidRPr="00415F9E" w:rsidRDefault="004D5B16" w:rsidP="004D5B16">
      <w:pPr>
        <w:pStyle w:val="TM-2n"/>
        <w:numPr>
          <w:ilvl w:val="0"/>
          <w:numId w:val="0"/>
        </w:numPr>
        <w:spacing w:before="120" w:after="0"/>
        <w:jc w:val="center"/>
      </w:pPr>
      <w:r w:rsidRPr="00506DE0">
        <w:rPr>
          <w:b/>
        </w:rPr>
        <w:t>Figura 1:</w:t>
      </w:r>
      <w:r w:rsidRPr="00415F9E">
        <w:t xml:space="preserve"> Mecanismos de Defesa do Organismo</w:t>
      </w:r>
    </w:p>
    <w:p w:rsidR="004D5B16" w:rsidRPr="00415F9E" w:rsidRDefault="004D5B16" w:rsidP="00C52E09">
      <w:pPr>
        <w:pStyle w:val="TM-2n"/>
        <w:numPr>
          <w:ilvl w:val="1"/>
          <w:numId w:val="48"/>
        </w:numPr>
        <w:spacing w:before="120" w:after="0" w:line="276" w:lineRule="auto"/>
      </w:pPr>
      <w:r w:rsidRPr="00415F9E">
        <w:t>O primeiro nível de defesa inclui os seguintes elementos:</w:t>
      </w:r>
    </w:p>
    <w:p w:rsidR="004D5B16" w:rsidRPr="00415F9E" w:rsidRDefault="004D5B16" w:rsidP="00C52E09">
      <w:pPr>
        <w:pStyle w:val="TM-3n"/>
        <w:numPr>
          <w:ilvl w:val="2"/>
          <w:numId w:val="48"/>
        </w:numPr>
        <w:spacing w:before="120" w:after="0" w:line="276" w:lineRule="auto"/>
        <w:ind w:left="1260" w:hanging="540"/>
      </w:pPr>
      <w:r w:rsidRPr="00415F9E">
        <w:t>Barreiras físicas, como pele e mucosas.</w:t>
      </w:r>
    </w:p>
    <w:p w:rsidR="004D5B16" w:rsidRPr="00415F9E" w:rsidRDefault="004D5B16" w:rsidP="00C52E09">
      <w:pPr>
        <w:pStyle w:val="TM-4n"/>
        <w:numPr>
          <w:ilvl w:val="0"/>
          <w:numId w:val="49"/>
        </w:numPr>
        <w:tabs>
          <w:tab w:val="clear" w:pos="720"/>
          <w:tab w:val="clear" w:pos="1134"/>
        </w:tabs>
        <w:spacing w:before="120" w:after="0" w:line="276" w:lineRule="auto"/>
        <w:ind w:left="1620"/>
      </w:pPr>
      <w:r w:rsidRPr="00415F9E">
        <w:t xml:space="preserve">Embora algumas espécies de parasitas (helmintos) possam penetrar no corpo através da pele, a maior parte dos microrganismos são incapazes de atravessar a pele ou as mucosas intactas. </w:t>
      </w:r>
    </w:p>
    <w:p w:rsidR="004D5B16" w:rsidRPr="00415F9E" w:rsidRDefault="004D5B16" w:rsidP="00C52E09">
      <w:pPr>
        <w:pStyle w:val="TM-4n"/>
        <w:numPr>
          <w:ilvl w:val="0"/>
          <w:numId w:val="49"/>
        </w:numPr>
        <w:tabs>
          <w:tab w:val="clear" w:pos="720"/>
          <w:tab w:val="clear" w:pos="1134"/>
        </w:tabs>
        <w:spacing w:before="120" w:after="0" w:line="276" w:lineRule="auto"/>
        <w:ind w:left="1620"/>
      </w:pPr>
      <w:r w:rsidRPr="00415F9E">
        <w:t>Na maior parte dos casos, os patógenos só conseguem penetrar no organismo através da pele ou das mucosas quando elas apresentam cortes ou outras interrupções na sua continuidade, ou quando eles são introduzidos (inoculados) como por exemplo, por picadas de mosquitos.</w:t>
      </w:r>
    </w:p>
    <w:p w:rsidR="004D5B16" w:rsidRPr="00415F9E" w:rsidRDefault="004D5B16" w:rsidP="00C52E09">
      <w:pPr>
        <w:pStyle w:val="TM-3n"/>
        <w:numPr>
          <w:ilvl w:val="2"/>
          <w:numId w:val="48"/>
        </w:numPr>
        <w:spacing w:before="120" w:after="0" w:line="276" w:lineRule="auto"/>
        <w:ind w:left="1260" w:hanging="540"/>
      </w:pPr>
      <w:r w:rsidRPr="00415F9E">
        <w:t>Barreiras fisiológicas e químicas, que são características de pele e mucosas.</w:t>
      </w:r>
    </w:p>
    <w:p w:rsidR="004D5B16" w:rsidRPr="00415F9E" w:rsidRDefault="004D5B16" w:rsidP="00C52E09">
      <w:pPr>
        <w:pStyle w:val="TM-4n"/>
        <w:numPr>
          <w:ilvl w:val="0"/>
          <w:numId w:val="49"/>
        </w:numPr>
        <w:tabs>
          <w:tab w:val="clear" w:pos="720"/>
          <w:tab w:val="clear" w:pos="1134"/>
        </w:tabs>
        <w:spacing w:before="120" w:after="0" w:line="276" w:lineRule="auto"/>
        <w:ind w:left="1620"/>
      </w:pPr>
      <w:r w:rsidRPr="00415F9E">
        <w:t>O pH ácido e a temperatura da pele inibem o crescimento bacteriano.</w:t>
      </w:r>
    </w:p>
    <w:p w:rsidR="004D5B16" w:rsidRPr="00415F9E" w:rsidRDefault="004D5B16" w:rsidP="00C52E09">
      <w:pPr>
        <w:pStyle w:val="TM-4n"/>
        <w:numPr>
          <w:ilvl w:val="0"/>
          <w:numId w:val="49"/>
        </w:numPr>
        <w:tabs>
          <w:tab w:val="clear" w:pos="720"/>
          <w:tab w:val="clear" w:pos="1134"/>
        </w:tabs>
        <w:spacing w:before="120" w:after="0" w:line="276" w:lineRule="auto"/>
        <w:ind w:left="1620"/>
      </w:pPr>
      <w:r w:rsidRPr="00415F9E">
        <w:t>A transpiração produz suor que remove os microrganismos dos poros e da superfície da pele. O suor também contém algumas enzimas que destroem as bactérias.</w:t>
      </w:r>
    </w:p>
    <w:p w:rsidR="004D5B16" w:rsidRPr="00415F9E" w:rsidRDefault="004D5B16" w:rsidP="00C52E09">
      <w:pPr>
        <w:pStyle w:val="TM-4n"/>
        <w:numPr>
          <w:ilvl w:val="0"/>
          <w:numId w:val="49"/>
        </w:numPr>
        <w:tabs>
          <w:tab w:val="clear" w:pos="720"/>
          <w:tab w:val="clear" w:pos="1134"/>
        </w:tabs>
        <w:spacing w:before="120" w:after="0" w:line="276" w:lineRule="auto"/>
        <w:ind w:left="1620"/>
      </w:pPr>
      <w:r w:rsidRPr="00415F9E">
        <w:t>O muco substância pegajosa e produzido pelas células das mucosas, esta substância captura os microrganismos invasores. O muco também contém muitas substâncias que podem matar as bactérias ou inibir o seu crescimento.</w:t>
      </w:r>
    </w:p>
    <w:p w:rsidR="004D5B16" w:rsidRPr="00415F9E" w:rsidRDefault="004D5B16" w:rsidP="00C52E09">
      <w:pPr>
        <w:pStyle w:val="TM-4n"/>
        <w:numPr>
          <w:ilvl w:val="0"/>
          <w:numId w:val="49"/>
        </w:numPr>
        <w:tabs>
          <w:tab w:val="clear" w:pos="720"/>
          <w:tab w:val="clear" w:pos="1134"/>
        </w:tabs>
        <w:spacing w:before="120" w:after="0" w:line="276" w:lineRule="auto"/>
        <w:ind w:left="1620"/>
      </w:pPr>
      <w:r w:rsidRPr="00415F9E">
        <w:t>Os cílios das células epiteliais do sistema respiratório empurram os microrganismos e outras partículas para a faringe, onde são deglutidos ou expelidos pelo espirro.</w:t>
      </w:r>
    </w:p>
    <w:p w:rsidR="004D5B16" w:rsidRPr="00415F9E" w:rsidRDefault="004D5B16" w:rsidP="00C52E09">
      <w:pPr>
        <w:pStyle w:val="TM-4n"/>
        <w:numPr>
          <w:ilvl w:val="0"/>
          <w:numId w:val="49"/>
        </w:numPr>
        <w:tabs>
          <w:tab w:val="clear" w:pos="720"/>
          <w:tab w:val="clear" w:pos="1134"/>
        </w:tabs>
        <w:spacing w:before="120" w:after="0" w:line="276" w:lineRule="auto"/>
        <w:ind w:left="1620"/>
      </w:pPr>
      <w:r w:rsidRPr="00415F9E">
        <w:lastRenderedPageBreak/>
        <w:t>A acidez do estômago, as enzimas digestivas, e a bile hepática protegem o sistema digestivo da colonização bacteriana. Por outra parte, muitas bactérias são eliminadas com as fezes.</w:t>
      </w:r>
    </w:p>
    <w:p w:rsidR="004D5B16" w:rsidRPr="00415F9E" w:rsidRDefault="004D5B16" w:rsidP="00C52E09">
      <w:pPr>
        <w:pStyle w:val="TM-4n"/>
        <w:numPr>
          <w:ilvl w:val="0"/>
          <w:numId w:val="49"/>
        </w:numPr>
        <w:tabs>
          <w:tab w:val="clear" w:pos="720"/>
          <w:tab w:val="clear" w:pos="1134"/>
        </w:tabs>
        <w:spacing w:before="120" w:after="0" w:line="276" w:lineRule="auto"/>
        <w:ind w:left="1620"/>
      </w:pPr>
      <w:r w:rsidRPr="00415F9E">
        <w:t>O tracto urinário é normalmente estéril, e os microrganismos que penetram na uretra são retirados juntamente com a urina.</w:t>
      </w:r>
    </w:p>
    <w:p w:rsidR="004D5B16" w:rsidRPr="00415F9E" w:rsidRDefault="004D5B16" w:rsidP="00C52E09">
      <w:pPr>
        <w:pStyle w:val="TM-3n"/>
        <w:numPr>
          <w:ilvl w:val="2"/>
          <w:numId w:val="48"/>
        </w:numPr>
        <w:spacing w:before="120" w:after="0" w:line="276" w:lineRule="auto"/>
        <w:ind w:left="1260" w:hanging="540"/>
      </w:pPr>
      <w:r w:rsidRPr="00415F9E">
        <w:t>Por último, a flora microbiana simbiótica presente no organismo humano impede o crescimento de patógenos através de processos de antagonismo bacteriano, como a competição por nutrientes e locais de colonização.</w:t>
      </w:r>
    </w:p>
    <w:p w:rsidR="004D5B16" w:rsidRPr="00415F9E" w:rsidRDefault="004D5B16" w:rsidP="00C52E09">
      <w:pPr>
        <w:pStyle w:val="TM-2n"/>
        <w:numPr>
          <w:ilvl w:val="1"/>
          <w:numId w:val="48"/>
        </w:numPr>
        <w:spacing w:before="120" w:after="0" w:line="276" w:lineRule="auto"/>
      </w:pPr>
      <w:r w:rsidRPr="00415F9E">
        <w:t>O segundo nível de defesa inclui respostas celulares e químicas inespecíficas, desencadeadas pela presença de partículas estranhas no organismo. Produz-se uma série complexa de eventos, entre os quais pode-se destacar os seguintes:</w:t>
      </w:r>
    </w:p>
    <w:p w:rsidR="004D5B16" w:rsidRPr="00415F9E" w:rsidRDefault="004D5B16" w:rsidP="00C52E09">
      <w:pPr>
        <w:pStyle w:val="TM-3n"/>
        <w:numPr>
          <w:ilvl w:val="2"/>
          <w:numId w:val="48"/>
        </w:numPr>
        <w:spacing w:before="120" w:after="0" w:line="276" w:lineRule="auto"/>
        <w:ind w:left="1260" w:hanging="540"/>
      </w:pPr>
      <w:r w:rsidRPr="00415F9E">
        <w:t>Produção de moléculas de defesa, como interferon.</w:t>
      </w:r>
    </w:p>
    <w:p w:rsidR="004D5B16" w:rsidRPr="00415F9E" w:rsidRDefault="004D5B16" w:rsidP="00C52E09">
      <w:pPr>
        <w:pStyle w:val="TM-3n"/>
        <w:numPr>
          <w:ilvl w:val="2"/>
          <w:numId w:val="48"/>
        </w:numPr>
        <w:spacing w:before="120" w:after="0" w:line="276" w:lineRule="auto"/>
        <w:ind w:left="1260" w:hanging="540"/>
      </w:pPr>
      <w:r w:rsidRPr="00415F9E">
        <w:t>Activação do sistema complemento. Este sistema é formado por um grupo de mais de 30 proteínas presentes no plasma sanguíneo. Estas proteínas interagem umas com as outras em cadeia, num processo que é conhecido como cascata do complemento. As principais consequências da activação do complemento são:</w:t>
      </w:r>
    </w:p>
    <w:p w:rsidR="004D5B16" w:rsidRPr="00415F9E" w:rsidRDefault="004D5B16" w:rsidP="00C52E09">
      <w:pPr>
        <w:pStyle w:val="TM-4n"/>
        <w:numPr>
          <w:ilvl w:val="0"/>
          <w:numId w:val="49"/>
        </w:numPr>
        <w:tabs>
          <w:tab w:val="clear" w:pos="720"/>
          <w:tab w:val="clear" w:pos="1134"/>
        </w:tabs>
        <w:spacing w:before="120" w:after="0" w:line="276" w:lineRule="auto"/>
        <w:ind w:left="1620"/>
      </w:pPr>
      <w:r w:rsidRPr="00415F9E">
        <w:t>Início e amplificação da inflamação (será discutido no próximo bloco)</w:t>
      </w:r>
    </w:p>
    <w:p w:rsidR="004D5B16" w:rsidRPr="00415F9E" w:rsidRDefault="004D5B16" w:rsidP="00C52E09">
      <w:pPr>
        <w:pStyle w:val="TM-4n"/>
        <w:numPr>
          <w:ilvl w:val="0"/>
          <w:numId w:val="49"/>
        </w:numPr>
        <w:tabs>
          <w:tab w:val="clear" w:pos="720"/>
          <w:tab w:val="clear" w:pos="1134"/>
        </w:tabs>
        <w:spacing w:before="120" w:after="0" w:line="276" w:lineRule="auto"/>
        <w:ind w:left="1620"/>
      </w:pPr>
      <w:r w:rsidRPr="00415F9E">
        <w:t>Quimiotaxia, ou activação de fagócitos para o local onde eles são necessários (sinais que atraem os leucócitos)</w:t>
      </w:r>
    </w:p>
    <w:p w:rsidR="004D5B16" w:rsidRPr="00415F9E" w:rsidRDefault="004D5B16" w:rsidP="00C52E09">
      <w:pPr>
        <w:pStyle w:val="TM-4n"/>
        <w:numPr>
          <w:ilvl w:val="0"/>
          <w:numId w:val="49"/>
        </w:numPr>
        <w:tabs>
          <w:tab w:val="clear" w:pos="720"/>
          <w:tab w:val="clear" w:pos="1134"/>
        </w:tabs>
        <w:spacing w:before="120" w:after="0" w:line="276" w:lineRule="auto"/>
        <w:ind w:left="1620"/>
      </w:pPr>
      <w:r w:rsidRPr="00415F9E">
        <w:t>Activação dos leucócitos</w:t>
      </w:r>
    </w:p>
    <w:p w:rsidR="004D5B16" w:rsidRPr="00415F9E" w:rsidRDefault="004D5B16" w:rsidP="00C52E09">
      <w:pPr>
        <w:pStyle w:val="TM-4n"/>
        <w:numPr>
          <w:ilvl w:val="0"/>
          <w:numId w:val="49"/>
        </w:numPr>
        <w:tabs>
          <w:tab w:val="clear" w:pos="720"/>
          <w:tab w:val="clear" w:pos="1134"/>
        </w:tabs>
        <w:spacing w:before="120" w:after="0" w:line="276" w:lineRule="auto"/>
        <w:ind w:left="1620"/>
      </w:pPr>
      <w:r w:rsidRPr="00415F9E">
        <w:t>Lise (ruptura) de bactérias e outras células estranhas</w:t>
      </w:r>
    </w:p>
    <w:p w:rsidR="004D5B16" w:rsidRPr="00415F9E" w:rsidRDefault="004D5B16" w:rsidP="00C52E09">
      <w:pPr>
        <w:pStyle w:val="TM-4n"/>
        <w:numPr>
          <w:ilvl w:val="0"/>
          <w:numId w:val="49"/>
        </w:numPr>
        <w:tabs>
          <w:tab w:val="clear" w:pos="720"/>
          <w:tab w:val="clear" w:pos="1134"/>
        </w:tabs>
        <w:spacing w:before="120" w:after="0" w:line="276" w:lineRule="auto"/>
        <w:ind w:left="1620"/>
      </w:pPr>
      <w:r w:rsidRPr="00415F9E">
        <w:t>Aumento da fagocitose por células fagocíticas</w:t>
      </w:r>
    </w:p>
    <w:p w:rsidR="004D5B16" w:rsidRPr="00415F9E" w:rsidRDefault="004D5B16" w:rsidP="00C52E09">
      <w:pPr>
        <w:pStyle w:val="TM-3n"/>
        <w:numPr>
          <w:ilvl w:val="2"/>
          <w:numId w:val="48"/>
        </w:numPr>
        <w:spacing w:before="120" w:after="0" w:line="276" w:lineRule="auto"/>
        <w:ind w:left="1260" w:hanging="540"/>
      </w:pPr>
      <w:r w:rsidRPr="00415F9E">
        <w:rPr>
          <w:b/>
        </w:rPr>
        <w:t>A febre</w:t>
      </w:r>
      <w:r w:rsidRPr="00415F9E">
        <w:t>: a temperatura normal do corpo varia entre 36 e 37,4 ºC. Quando a temperatura sobe acima de 37,5 ºC, é considerada como febre. As substâncias que estimulam a febre são chamadas pirogênicas, e podem se originar tanto dentro como fora do organismo (por exemplo, patógenos e toxinas por eles produzidas). A febre aumenta as defesas do corpo através dos seguintes mecanismos:</w:t>
      </w:r>
    </w:p>
    <w:p w:rsidR="004D5B16" w:rsidRPr="00415F9E" w:rsidRDefault="004D5B16" w:rsidP="00C52E09">
      <w:pPr>
        <w:pStyle w:val="TM-4n"/>
        <w:numPr>
          <w:ilvl w:val="0"/>
          <w:numId w:val="49"/>
        </w:numPr>
        <w:tabs>
          <w:tab w:val="clear" w:pos="720"/>
          <w:tab w:val="clear" w:pos="1134"/>
        </w:tabs>
        <w:spacing w:before="120" w:after="0" w:line="276" w:lineRule="auto"/>
        <w:ind w:left="1620"/>
      </w:pPr>
      <w:r w:rsidRPr="00415F9E">
        <w:t>Estimulando os leucócitos a se multiplicar e a destruir os invasores</w:t>
      </w:r>
    </w:p>
    <w:p w:rsidR="004D5B16" w:rsidRPr="00415F9E" w:rsidRDefault="004D5B16" w:rsidP="00C52E09">
      <w:pPr>
        <w:pStyle w:val="TM-4n"/>
        <w:numPr>
          <w:ilvl w:val="0"/>
          <w:numId w:val="49"/>
        </w:numPr>
        <w:tabs>
          <w:tab w:val="clear" w:pos="720"/>
          <w:tab w:val="clear" w:pos="1134"/>
        </w:tabs>
        <w:spacing w:before="120" w:after="0" w:line="276" w:lineRule="auto"/>
        <w:ind w:left="1620"/>
      </w:pPr>
      <w:r w:rsidRPr="00415F9E">
        <w:t>Reduzindo a disponibilidade de ferro livre no plasma, o que limita o crescimento de patógenos</w:t>
      </w:r>
    </w:p>
    <w:p w:rsidR="004D5B16" w:rsidRPr="00415F9E" w:rsidRDefault="004D5B16" w:rsidP="00C52E09">
      <w:pPr>
        <w:pStyle w:val="TM-4n"/>
        <w:numPr>
          <w:ilvl w:val="0"/>
          <w:numId w:val="49"/>
        </w:numPr>
        <w:tabs>
          <w:tab w:val="clear" w:pos="720"/>
          <w:tab w:val="clear" w:pos="1134"/>
        </w:tabs>
        <w:spacing w:before="120" w:after="0" w:line="276" w:lineRule="auto"/>
        <w:ind w:left="1620"/>
      </w:pPr>
      <w:r w:rsidRPr="00415F9E">
        <w:t>Induzindo a proliferação, maturação e activação de linfócitos na resposta imunológica</w:t>
      </w:r>
    </w:p>
    <w:p w:rsidR="004D5B16" w:rsidRPr="00415F9E" w:rsidRDefault="004D5B16" w:rsidP="00C52E09">
      <w:pPr>
        <w:pStyle w:val="TM-3n"/>
        <w:numPr>
          <w:ilvl w:val="2"/>
          <w:numId w:val="48"/>
        </w:numPr>
        <w:spacing w:before="120" w:after="0" w:line="276" w:lineRule="auto"/>
        <w:ind w:left="1260" w:hanging="540"/>
      </w:pPr>
      <w:r w:rsidRPr="00415F9E">
        <w:t xml:space="preserve">Inflamação: qualquer lesão local, invasão microbiana ou toxina bacteriana provoca uma resposta inflamatória por parte do organismo. A inflamação caracteriza-se por quatro sinais e sintomas fundamentais: rubor (vermelhidão), calor, inchaço (edema), dor. Existe um quinto sinal que é a  perca de função da parte afectada. </w:t>
      </w:r>
    </w:p>
    <w:p w:rsidR="004D5B16" w:rsidRDefault="004D5B16" w:rsidP="00C52E09">
      <w:pPr>
        <w:pStyle w:val="TM-3n"/>
        <w:numPr>
          <w:ilvl w:val="2"/>
          <w:numId w:val="48"/>
        </w:numPr>
        <w:spacing w:before="120" w:after="0" w:line="276" w:lineRule="auto"/>
        <w:ind w:left="1260" w:hanging="540"/>
      </w:pPr>
      <w:r w:rsidRPr="00415F9E">
        <w:rPr>
          <w:b/>
        </w:rPr>
        <w:t>Fagocitose</w:t>
      </w:r>
      <w:r w:rsidRPr="00415F9E">
        <w:t>: é um processo que consiste no englobamento e digestão de partículas estranhas por parte de alguns tipos de leucócitos (células brancas do sangue), que são atraídos para o local preciso por meio de substâncias químicas. Os fagócitos servem como “brigada de limpeza” para livrar o organismo de substâncias indesejáveis ou prejudiciais, como células mortas, secreções e restos celulares, e microrganismos.</w:t>
      </w:r>
    </w:p>
    <w:p w:rsidR="004D5B16" w:rsidRDefault="004D5B16" w:rsidP="004D5B16">
      <w:pPr>
        <w:pStyle w:val="TM-3n"/>
        <w:numPr>
          <w:ilvl w:val="0"/>
          <w:numId w:val="0"/>
        </w:numPr>
        <w:spacing w:before="120" w:after="0"/>
        <w:ind w:left="1260"/>
      </w:pPr>
    </w:p>
    <w:p w:rsidR="00D51901" w:rsidRPr="00415F9E" w:rsidRDefault="00D51901" w:rsidP="004D5B16">
      <w:pPr>
        <w:pStyle w:val="TM-3n"/>
        <w:numPr>
          <w:ilvl w:val="0"/>
          <w:numId w:val="0"/>
        </w:numPr>
        <w:spacing w:before="120" w:after="0"/>
        <w:ind w:left="1260"/>
      </w:pPr>
    </w:p>
    <w:p w:rsidR="004D5B16" w:rsidRPr="004D5B16" w:rsidRDefault="004D5B16" w:rsidP="004D5B16">
      <w:pPr>
        <w:shd w:val="clear" w:color="auto" w:fill="B8CCE4"/>
        <w:spacing w:before="120" w:after="120"/>
        <w:ind w:right="-43"/>
        <w:jc w:val="both"/>
        <w:rPr>
          <w:rFonts w:cs="Arial"/>
          <w:b/>
          <w:bCs/>
          <w:lang w:val="pt-BR" w:eastAsia="es-ES"/>
        </w:rPr>
      </w:pPr>
      <w:r w:rsidRPr="004D5B16">
        <w:rPr>
          <w:rFonts w:cs="Arial"/>
          <w:b/>
          <w:bCs/>
          <w:lang w:val="pt-BR" w:eastAsia="es-ES"/>
        </w:rPr>
        <w:lastRenderedPageBreak/>
        <w:t>BLOCO 3. INFLAMAÇÃO</w:t>
      </w:r>
    </w:p>
    <w:p w:rsidR="004D5B16" w:rsidRPr="004D5B16" w:rsidRDefault="004D5B16" w:rsidP="004D5B16">
      <w:pPr>
        <w:spacing w:before="100"/>
        <w:jc w:val="both"/>
        <w:rPr>
          <w:rFonts w:cs="Arial"/>
          <w:lang w:val="pt-BR"/>
        </w:rPr>
      </w:pPr>
      <w:r w:rsidRPr="004D5B16">
        <w:rPr>
          <w:rFonts w:cs="Arial"/>
          <w:lang w:val="pt-BR"/>
        </w:rPr>
        <w:t>A resposta inflamatória é uma resposta bastante essencial do organismo, de modo a poder-se reconhecer a presença de uma agressão e posterior combate da lesão.</w:t>
      </w:r>
    </w:p>
    <w:p w:rsidR="004D5B16" w:rsidRPr="00415F9E" w:rsidRDefault="004D5B16" w:rsidP="00C52E09">
      <w:pPr>
        <w:numPr>
          <w:ilvl w:val="1"/>
          <w:numId w:val="51"/>
        </w:numPr>
        <w:spacing w:before="100" w:after="0"/>
        <w:ind w:left="540" w:hanging="540"/>
        <w:jc w:val="both"/>
        <w:rPr>
          <w:rFonts w:cs="Arial"/>
        </w:rPr>
      </w:pPr>
      <w:r w:rsidRPr="00415F9E">
        <w:rPr>
          <w:rFonts w:cs="Arial"/>
          <w:b/>
        </w:rPr>
        <w:t>Inflamação</w:t>
      </w:r>
    </w:p>
    <w:p w:rsidR="0070097E" w:rsidRPr="0070097E" w:rsidRDefault="004D5B16" w:rsidP="00C52E09">
      <w:pPr>
        <w:pStyle w:val="ListParagraph"/>
        <w:numPr>
          <w:ilvl w:val="2"/>
          <w:numId w:val="51"/>
        </w:numPr>
        <w:spacing w:before="100"/>
        <w:ind w:left="1440"/>
        <w:jc w:val="both"/>
        <w:rPr>
          <w:rFonts w:cs="Arial"/>
          <w:lang w:val="pt-BR"/>
        </w:rPr>
      </w:pPr>
      <w:r w:rsidRPr="0070097E">
        <w:rPr>
          <w:rFonts w:cs="Arial"/>
          <w:u w:val="single"/>
          <w:lang w:val="pt-BR"/>
        </w:rPr>
        <w:t>Definição</w:t>
      </w:r>
      <w:r w:rsidR="0070097E">
        <w:rPr>
          <w:rFonts w:cs="Arial"/>
          <w:lang w:val="pt-BR"/>
        </w:rPr>
        <w:t xml:space="preserve"> </w:t>
      </w:r>
    </w:p>
    <w:p w:rsidR="004D5B16" w:rsidRPr="0070097E" w:rsidRDefault="004D5B16" w:rsidP="0070097E">
      <w:pPr>
        <w:spacing w:before="100"/>
        <w:ind w:left="720"/>
        <w:jc w:val="both"/>
        <w:rPr>
          <w:rFonts w:cs="Arial"/>
          <w:lang w:val="pt-BR"/>
        </w:rPr>
      </w:pPr>
      <w:r w:rsidRPr="0070097E">
        <w:rPr>
          <w:rFonts w:cs="Arial"/>
          <w:lang w:val="pt-BR"/>
        </w:rPr>
        <w:t>é uma resposta fisiológica protectora a uma agressão (física, química ou microbiológica), caracterizada por dor, calor, rubor, tumor (edema) e perca de função.</w:t>
      </w:r>
    </w:p>
    <w:p w:rsidR="004D5B16" w:rsidRPr="0031756E" w:rsidRDefault="004D5B16" w:rsidP="0070097E">
      <w:pPr>
        <w:autoSpaceDE w:val="0"/>
        <w:autoSpaceDN w:val="0"/>
        <w:adjustRightInd w:val="0"/>
        <w:spacing w:before="100"/>
        <w:ind w:left="720"/>
        <w:jc w:val="both"/>
        <w:rPr>
          <w:rFonts w:eastAsia="Calibri" w:cs="Arial"/>
          <w:lang w:val="pt-BR"/>
        </w:rPr>
      </w:pPr>
      <w:r w:rsidRPr="0031756E">
        <w:rPr>
          <w:rFonts w:eastAsia="Calibri" w:cs="Arial"/>
          <w:lang w:val="pt-BR"/>
        </w:rPr>
        <w:t>É uma resposta orgânica inespecífica de defesa – ocorre da mesma maneira em qualquer órgão e tecido.</w:t>
      </w:r>
    </w:p>
    <w:p w:rsidR="004D5B16" w:rsidRPr="00415F9E" w:rsidRDefault="004D5B16" w:rsidP="0070097E">
      <w:pPr>
        <w:pStyle w:val="TM-3n"/>
        <w:numPr>
          <w:ilvl w:val="0"/>
          <w:numId w:val="0"/>
        </w:numPr>
        <w:spacing w:before="120" w:after="0"/>
        <w:ind w:left="851" w:hanging="131"/>
      </w:pPr>
      <w:r w:rsidRPr="00415F9E">
        <w:t>Os objectivos principais da inflamação são:</w:t>
      </w:r>
    </w:p>
    <w:p w:rsidR="004D5B16" w:rsidRPr="00415F9E" w:rsidRDefault="004D5B16" w:rsidP="00C52E09">
      <w:pPr>
        <w:pStyle w:val="TM-4n"/>
        <w:numPr>
          <w:ilvl w:val="0"/>
          <w:numId w:val="49"/>
        </w:numPr>
        <w:tabs>
          <w:tab w:val="clear" w:pos="720"/>
          <w:tab w:val="clear" w:pos="1134"/>
        </w:tabs>
        <w:spacing w:before="120" w:after="0" w:line="276" w:lineRule="auto"/>
        <w:ind w:left="1620"/>
      </w:pPr>
      <w:r w:rsidRPr="00415F9E">
        <w:t>Localizar a infecção</w:t>
      </w:r>
    </w:p>
    <w:p w:rsidR="004D5B16" w:rsidRPr="00415F9E" w:rsidRDefault="004D5B16" w:rsidP="00C52E09">
      <w:pPr>
        <w:pStyle w:val="TM-4n"/>
        <w:numPr>
          <w:ilvl w:val="0"/>
          <w:numId w:val="49"/>
        </w:numPr>
        <w:tabs>
          <w:tab w:val="clear" w:pos="720"/>
          <w:tab w:val="clear" w:pos="1134"/>
        </w:tabs>
        <w:spacing w:before="120" w:after="0" w:line="276" w:lineRule="auto"/>
        <w:ind w:left="1620"/>
      </w:pPr>
      <w:r w:rsidRPr="00415F9E">
        <w:t>Impedir a dispersão dos microrganismos invasores</w:t>
      </w:r>
    </w:p>
    <w:p w:rsidR="004D5B16" w:rsidRPr="00415F9E" w:rsidRDefault="004D5B16" w:rsidP="00C52E09">
      <w:pPr>
        <w:pStyle w:val="TM-4n"/>
        <w:numPr>
          <w:ilvl w:val="0"/>
          <w:numId w:val="49"/>
        </w:numPr>
        <w:tabs>
          <w:tab w:val="clear" w:pos="720"/>
          <w:tab w:val="clear" w:pos="1134"/>
        </w:tabs>
        <w:spacing w:before="120" w:after="0" w:line="276" w:lineRule="auto"/>
        <w:ind w:left="1620"/>
      </w:pPr>
      <w:r w:rsidRPr="00415F9E">
        <w:t>Neutralizar toxinas que podam estar sendo produzidas no local</w:t>
      </w:r>
    </w:p>
    <w:p w:rsidR="004D5B16" w:rsidRPr="00415F9E" w:rsidRDefault="004D5B16" w:rsidP="00C52E09">
      <w:pPr>
        <w:pStyle w:val="TM-4n"/>
        <w:numPr>
          <w:ilvl w:val="0"/>
          <w:numId w:val="49"/>
        </w:numPr>
        <w:tabs>
          <w:tab w:val="clear" w:pos="720"/>
          <w:tab w:val="clear" w:pos="1134"/>
        </w:tabs>
        <w:spacing w:before="120" w:after="0" w:line="276" w:lineRule="auto"/>
        <w:ind w:left="1620"/>
      </w:pPr>
      <w:r w:rsidRPr="00415F9E">
        <w:rPr>
          <w:lang w:val="pt-BR"/>
        </w:rPr>
        <w:t>Ajudar na reparação do tecido danificado</w:t>
      </w:r>
    </w:p>
    <w:p w:rsidR="004D5B16" w:rsidRPr="0070097E" w:rsidRDefault="004D5B16" w:rsidP="00C52E09">
      <w:pPr>
        <w:numPr>
          <w:ilvl w:val="2"/>
          <w:numId w:val="52"/>
        </w:numPr>
        <w:spacing w:before="100" w:after="0"/>
        <w:ind w:left="90" w:firstLine="630"/>
        <w:jc w:val="both"/>
        <w:rPr>
          <w:rFonts w:cs="Arial"/>
          <w:u w:val="single"/>
        </w:rPr>
      </w:pPr>
      <w:r w:rsidRPr="0070097E">
        <w:rPr>
          <w:rFonts w:cs="Arial"/>
          <w:u w:val="single"/>
        </w:rPr>
        <w:t xml:space="preserve">Classificação </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68"/>
        <w:gridCol w:w="3484"/>
        <w:gridCol w:w="3806"/>
        <w:gridCol w:w="1736"/>
      </w:tblGrid>
      <w:tr w:rsidR="004D5B16" w:rsidRPr="0070097E" w:rsidTr="00D51901">
        <w:trPr>
          <w:jc w:val="center"/>
        </w:trPr>
        <w:tc>
          <w:tcPr>
            <w:tcW w:w="658" w:type="pct"/>
            <w:shd w:val="clear" w:color="auto" w:fill="F2F2F2"/>
          </w:tcPr>
          <w:p w:rsidR="004D5B16" w:rsidRPr="0070097E" w:rsidRDefault="004D5B16" w:rsidP="004D5B16">
            <w:pPr>
              <w:spacing w:before="40" w:after="40"/>
              <w:jc w:val="center"/>
              <w:rPr>
                <w:rFonts w:cs="Arial"/>
                <w:b/>
                <w:sz w:val="20"/>
                <w:szCs w:val="20"/>
              </w:rPr>
            </w:pPr>
            <w:r w:rsidRPr="0070097E">
              <w:rPr>
                <w:rFonts w:cs="Arial"/>
                <w:b/>
                <w:sz w:val="20"/>
                <w:szCs w:val="20"/>
              </w:rPr>
              <w:t>Tipo de Inflamação</w:t>
            </w:r>
          </w:p>
        </w:tc>
        <w:tc>
          <w:tcPr>
            <w:tcW w:w="1676" w:type="pct"/>
            <w:shd w:val="clear" w:color="auto" w:fill="F2F2F2"/>
          </w:tcPr>
          <w:p w:rsidR="004D5B16" w:rsidRPr="0070097E" w:rsidRDefault="004D5B16" w:rsidP="004D5B16">
            <w:pPr>
              <w:spacing w:before="40" w:after="40"/>
              <w:jc w:val="center"/>
              <w:rPr>
                <w:rFonts w:cs="Arial"/>
                <w:b/>
                <w:sz w:val="20"/>
                <w:szCs w:val="20"/>
              </w:rPr>
            </w:pPr>
            <w:r w:rsidRPr="0070097E">
              <w:rPr>
                <w:rFonts w:cs="Arial"/>
                <w:b/>
                <w:sz w:val="20"/>
                <w:szCs w:val="20"/>
              </w:rPr>
              <w:t>Evolução Temporal</w:t>
            </w:r>
          </w:p>
        </w:tc>
        <w:tc>
          <w:tcPr>
            <w:tcW w:w="1831" w:type="pct"/>
            <w:shd w:val="clear" w:color="auto" w:fill="F2F2F2"/>
          </w:tcPr>
          <w:p w:rsidR="004D5B16" w:rsidRPr="0070097E" w:rsidRDefault="004D5B16" w:rsidP="004D5B16">
            <w:pPr>
              <w:spacing w:before="40" w:after="40"/>
              <w:jc w:val="center"/>
              <w:rPr>
                <w:rFonts w:cs="Arial"/>
                <w:b/>
                <w:sz w:val="20"/>
                <w:szCs w:val="20"/>
              </w:rPr>
            </w:pPr>
            <w:r w:rsidRPr="0070097E">
              <w:rPr>
                <w:rFonts w:cs="Arial"/>
                <w:b/>
                <w:sz w:val="20"/>
                <w:szCs w:val="20"/>
              </w:rPr>
              <w:t>Celularidade</w:t>
            </w:r>
          </w:p>
        </w:tc>
        <w:tc>
          <w:tcPr>
            <w:tcW w:w="835" w:type="pct"/>
            <w:shd w:val="clear" w:color="auto" w:fill="F2F2F2"/>
          </w:tcPr>
          <w:p w:rsidR="004D5B16" w:rsidRPr="0070097E" w:rsidRDefault="004D5B16" w:rsidP="004D5B16">
            <w:pPr>
              <w:spacing w:before="40" w:after="40"/>
              <w:rPr>
                <w:rFonts w:cs="Arial"/>
                <w:b/>
                <w:sz w:val="20"/>
                <w:szCs w:val="20"/>
              </w:rPr>
            </w:pPr>
            <w:r w:rsidRPr="0070097E">
              <w:rPr>
                <w:rFonts w:cs="Arial"/>
                <w:b/>
                <w:sz w:val="20"/>
                <w:szCs w:val="20"/>
              </w:rPr>
              <w:t>Apresentação Clínica</w:t>
            </w:r>
          </w:p>
        </w:tc>
      </w:tr>
      <w:tr w:rsidR="004D5B16" w:rsidRPr="0070097E" w:rsidTr="00D51901">
        <w:trPr>
          <w:jc w:val="center"/>
        </w:trPr>
        <w:tc>
          <w:tcPr>
            <w:tcW w:w="658" w:type="pct"/>
          </w:tcPr>
          <w:p w:rsidR="004D5B16" w:rsidRPr="0070097E" w:rsidRDefault="004D5B16" w:rsidP="004D5B16">
            <w:pPr>
              <w:spacing w:before="40" w:after="40"/>
              <w:rPr>
                <w:rFonts w:cs="Arial"/>
                <w:sz w:val="20"/>
                <w:szCs w:val="20"/>
              </w:rPr>
            </w:pPr>
            <w:r w:rsidRPr="0070097E">
              <w:rPr>
                <w:rFonts w:cs="Arial"/>
                <w:sz w:val="20"/>
                <w:szCs w:val="20"/>
              </w:rPr>
              <w:t>Aguda</w:t>
            </w:r>
          </w:p>
        </w:tc>
        <w:tc>
          <w:tcPr>
            <w:tcW w:w="1676" w:type="pct"/>
          </w:tcPr>
          <w:p w:rsidR="004D5B16" w:rsidRPr="0070097E" w:rsidRDefault="004D5B16" w:rsidP="004D5B16">
            <w:pPr>
              <w:spacing w:before="40" w:after="40"/>
              <w:rPr>
                <w:rFonts w:cs="Arial"/>
                <w:sz w:val="20"/>
                <w:szCs w:val="20"/>
                <w:lang w:val="pt-BR"/>
              </w:rPr>
            </w:pPr>
            <w:r w:rsidRPr="0070097E">
              <w:rPr>
                <w:rFonts w:cs="Arial"/>
                <w:b/>
                <w:sz w:val="20"/>
                <w:szCs w:val="20"/>
                <w:lang w:val="pt-BR"/>
              </w:rPr>
              <w:t>Resposta rápida e precoce</w:t>
            </w:r>
            <w:r w:rsidRPr="0070097E">
              <w:rPr>
                <w:rFonts w:cs="Arial"/>
                <w:sz w:val="20"/>
                <w:szCs w:val="20"/>
                <w:lang w:val="pt-BR"/>
              </w:rPr>
              <w:t>: minutos, horas e pode evoluir em 1 a 2 semanas</w:t>
            </w:r>
          </w:p>
        </w:tc>
        <w:tc>
          <w:tcPr>
            <w:tcW w:w="1831" w:type="pct"/>
          </w:tcPr>
          <w:p w:rsidR="00A05CAA" w:rsidRPr="0070097E" w:rsidRDefault="004D5B16" w:rsidP="004D5B16">
            <w:pPr>
              <w:spacing w:before="40" w:after="40"/>
              <w:rPr>
                <w:rFonts w:cs="Arial"/>
                <w:b/>
                <w:sz w:val="20"/>
                <w:szCs w:val="20"/>
                <w:lang w:val="pt-BR"/>
              </w:rPr>
            </w:pPr>
            <w:r w:rsidRPr="0070097E">
              <w:rPr>
                <w:rFonts w:cs="Arial"/>
                <w:sz w:val="20"/>
                <w:szCs w:val="20"/>
                <w:lang w:val="pt-BR"/>
              </w:rPr>
              <w:t xml:space="preserve">Exsudados e </w:t>
            </w:r>
            <w:r w:rsidRPr="0070097E">
              <w:rPr>
                <w:rFonts w:cs="Arial"/>
                <w:b/>
                <w:sz w:val="20"/>
                <w:szCs w:val="20"/>
                <w:lang w:val="pt-BR"/>
              </w:rPr>
              <w:t>polimorfonucleares</w:t>
            </w:r>
            <w:r w:rsidRPr="0070097E">
              <w:rPr>
                <w:rFonts w:cs="Arial"/>
                <w:sz w:val="20"/>
                <w:szCs w:val="20"/>
                <w:lang w:val="pt-BR"/>
              </w:rPr>
              <w:t xml:space="preserve"> (neutrófilos) – </w:t>
            </w:r>
            <w:r w:rsidRPr="0070097E">
              <w:rPr>
                <w:rFonts w:cs="Arial"/>
                <w:b/>
                <w:sz w:val="20"/>
                <w:szCs w:val="20"/>
                <w:lang w:val="pt-BR"/>
              </w:rPr>
              <w:t>fenómenos vasculares e exsudativos</w:t>
            </w:r>
          </w:p>
        </w:tc>
        <w:tc>
          <w:tcPr>
            <w:tcW w:w="835" w:type="pct"/>
          </w:tcPr>
          <w:p w:rsidR="004D5B16" w:rsidRPr="0070097E" w:rsidRDefault="004D5B16" w:rsidP="004D5B16">
            <w:pPr>
              <w:spacing w:before="40" w:after="40"/>
              <w:rPr>
                <w:rFonts w:cs="Arial"/>
                <w:sz w:val="20"/>
                <w:szCs w:val="20"/>
              </w:rPr>
            </w:pPr>
            <w:r w:rsidRPr="0070097E">
              <w:rPr>
                <w:rFonts w:cs="Arial"/>
                <w:sz w:val="20"/>
                <w:szCs w:val="20"/>
              </w:rPr>
              <w:t xml:space="preserve">Presença de sinais inflamatórios. </w:t>
            </w:r>
          </w:p>
        </w:tc>
      </w:tr>
      <w:tr w:rsidR="004D5B16" w:rsidRPr="0070097E" w:rsidTr="00D51901">
        <w:trPr>
          <w:jc w:val="center"/>
        </w:trPr>
        <w:tc>
          <w:tcPr>
            <w:tcW w:w="658" w:type="pct"/>
          </w:tcPr>
          <w:p w:rsidR="004D5B16" w:rsidRPr="0070097E" w:rsidRDefault="004D5B16" w:rsidP="004D5B16">
            <w:pPr>
              <w:spacing w:before="40" w:after="40"/>
              <w:rPr>
                <w:rFonts w:cs="Arial"/>
                <w:sz w:val="20"/>
                <w:szCs w:val="20"/>
              </w:rPr>
            </w:pPr>
            <w:r w:rsidRPr="0070097E">
              <w:rPr>
                <w:rFonts w:cs="Arial"/>
                <w:sz w:val="20"/>
                <w:szCs w:val="20"/>
              </w:rPr>
              <w:t>Crónica</w:t>
            </w:r>
          </w:p>
        </w:tc>
        <w:tc>
          <w:tcPr>
            <w:tcW w:w="1676" w:type="pct"/>
          </w:tcPr>
          <w:p w:rsidR="004D5B16" w:rsidRPr="0070097E" w:rsidRDefault="004D5B16" w:rsidP="004D5B16">
            <w:pPr>
              <w:spacing w:before="40" w:after="40"/>
              <w:rPr>
                <w:rFonts w:cs="Arial"/>
                <w:sz w:val="20"/>
                <w:szCs w:val="20"/>
                <w:lang w:val="pt-BR"/>
              </w:rPr>
            </w:pPr>
            <w:r w:rsidRPr="0070097E">
              <w:rPr>
                <w:rFonts w:cs="Arial"/>
                <w:sz w:val="20"/>
                <w:szCs w:val="20"/>
                <w:lang w:val="pt-BR"/>
              </w:rPr>
              <w:t xml:space="preserve">Resposta de estabelecimento </w:t>
            </w:r>
            <w:r w:rsidRPr="0070097E">
              <w:rPr>
                <w:rFonts w:cs="Arial"/>
                <w:b/>
                <w:sz w:val="20"/>
                <w:szCs w:val="20"/>
                <w:lang w:val="pt-BR"/>
              </w:rPr>
              <w:t>lento e gradativo</w:t>
            </w:r>
          </w:p>
        </w:tc>
        <w:tc>
          <w:tcPr>
            <w:tcW w:w="1831" w:type="pct"/>
          </w:tcPr>
          <w:p w:rsidR="004D5B16" w:rsidRPr="0070097E" w:rsidRDefault="004D5B16" w:rsidP="004D5B16">
            <w:pPr>
              <w:spacing w:before="40" w:after="40"/>
              <w:rPr>
                <w:rFonts w:cs="Arial"/>
                <w:sz w:val="20"/>
                <w:szCs w:val="20"/>
                <w:lang w:val="pt-BR"/>
              </w:rPr>
            </w:pPr>
            <w:r w:rsidRPr="0070097E">
              <w:rPr>
                <w:rFonts w:cs="Arial"/>
                <w:b/>
                <w:sz w:val="20"/>
                <w:szCs w:val="20"/>
                <w:lang w:val="pt-BR"/>
              </w:rPr>
              <w:t>Mononucleares</w:t>
            </w:r>
            <w:r w:rsidRPr="0070097E">
              <w:rPr>
                <w:rFonts w:cs="Arial"/>
                <w:sz w:val="20"/>
                <w:szCs w:val="20"/>
                <w:lang w:val="pt-BR"/>
              </w:rPr>
              <w:t xml:space="preserve"> (linfócitos, monócitos/ macrófagos, fibroblastos) e pouco ou nenhum exsudado – </w:t>
            </w:r>
            <w:r w:rsidRPr="0070097E">
              <w:rPr>
                <w:rFonts w:cs="Arial"/>
                <w:b/>
                <w:sz w:val="20"/>
                <w:szCs w:val="20"/>
                <w:lang w:val="pt-BR"/>
              </w:rPr>
              <w:t>fenómenos proliferativos</w:t>
            </w:r>
          </w:p>
        </w:tc>
        <w:tc>
          <w:tcPr>
            <w:tcW w:w="835" w:type="pct"/>
          </w:tcPr>
          <w:p w:rsidR="004D5B16" w:rsidRPr="0070097E" w:rsidRDefault="004D5B16" w:rsidP="004D5B16">
            <w:pPr>
              <w:spacing w:before="40" w:after="40"/>
              <w:rPr>
                <w:rFonts w:cs="Arial"/>
                <w:sz w:val="20"/>
                <w:szCs w:val="20"/>
              </w:rPr>
            </w:pPr>
            <w:r w:rsidRPr="0070097E">
              <w:rPr>
                <w:rFonts w:cs="Arial"/>
                <w:sz w:val="20"/>
                <w:szCs w:val="20"/>
              </w:rPr>
              <w:t xml:space="preserve">Ausência de sinais inflamatórios. </w:t>
            </w:r>
          </w:p>
        </w:tc>
      </w:tr>
    </w:tbl>
    <w:p w:rsidR="004D5B16" w:rsidRPr="00415F9E" w:rsidRDefault="004D5B16" w:rsidP="004D5B16">
      <w:pPr>
        <w:spacing w:before="120"/>
        <w:jc w:val="center"/>
        <w:rPr>
          <w:rFonts w:cs="Arial"/>
        </w:rPr>
      </w:pPr>
      <w:r>
        <w:rPr>
          <w:rFonts w:cs="Arial"/>
          <w:noProof/>
          <w:lang w:val="en-ZW" w:eastAsia="en-ZW"/>
        </w:rPr>
        <w:drawing>
          <wp:inline distT="0" distB="0" distL="0" distR="0" wp14:anchorId="6227428F" wp14:editId="17314217">
            <wp:extent cx="3981450" cy="3571875"/>
            <wp:effectExtent l="0" t="0" r="0" b="0"/>
            <wp:docPr id="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srcRect/>
                    <a:stretch>
                      <a:fillRect/>
                    </a:stretch>
                  </pic:blipFill>
                  <pic:spPr bwMode="auto">
                    <a:xfrm>
                      <a:off x="0" y="0"/>
                      <a:ext cx="3981450" cy="3571875"/>
                    </a:xfrm>
                    <a:prstGeom prst="rect">
                      <a:avLst/>
                    </a:prstGeom>
                    <a:noFill/>
                    <a:ln w="9525">
                      <a:noFill/>
                      <a:miter lim="800000"/>
                      <a:headEnd/>
                      <a:tailEnd/>
                    </a:ln>
                  </pic:spPr>
                </pic:pic>
              </a:graphicData>
            </a:graphic>
          </wp:inline>
        </w:drawing>
      </w:r>
    </w:p>
    <w:p w:rsidR="004D5B16" w:rsidRPr="004D5B16" w:rsidRDefault="004D5B16" w:rsidP="004D5B16">
      <w:pPr>
        <w:spacing w:before="100" w:beforeAutospacing="1" w:after="100" w:afterAutospacing="1"/>
        <w:ind w:left="2160"/>
        <w:jc w:val="both"/>
        <w:rPr>
          <w:rFonts w:cs="Arial"/>
          <w:lang w:val="pt-BR"/>
        </w:rPr>
      </w:pPr>
      <w:r w:rsidRPr="004D5B16">
        <w:rPr>
          <w:rFonts w:cs="Arial"/>
          <w:bCs/>
          <w:lang w:val="pt-BR"/>
        </w:rPr>
        <w:lastRenderedPageBreak/>
        <w:t xml:space="preserve">Legenda: Quadro inflamatório agudo com polimorfonucleares (figura acima) e quadro inflamatório crônico, com predominância de linfócitos (L), macrófagos (M), células gigantes (CG) e fibroblastos (F) na figura abaixo. </w:t>
      </w:r>
    </w:p>
    <w:p w:rsidR="004D5B16" w:rsidRPr="004D5B16" w:rsidRDefault="004D5B16" w:rsidP="004D5B16">
      <w:pPr>
        <w:spacing w:before="120"/>
        <w:jc w:val="center"/>
        <w:rPr>
          <w:rFonts w:cs="Arial"/>
          <w:color w:val="FF0000"/>
          <w:lang w:val="pt-BR"/>
        </w:rPr>
      </w:pPr>
      <w:r w:rsidRPr="004D5B16">
        <w:rPr>
          <w:rFonts w:cs="Arial"/>
          <w:b/>
          <w:lang w:val="pt-BR"/>
        </w:rPr>
        <w:t>Figura 2</w:t>
      </w:r>
      <w:r w:rsidR="00506DE0">
        <w:rPr>
          <w:rFonts w:cs="Arial"/>
          <w:b/>
          <w:lang w:val="pt-BR"/>
        </w:rPr>
        <w:t>:</w:t>
      </w:r>
      <w:r w:rsidRPr="004D5B16">
        <w:rPr>
          <w:rFonts w:cs="Arial"/>
          <w:lang w:val="pt-BR"/>
        </w:rPr>
        <w:t xml:space="preserve"> Inflamação aguda e crônica </w:t>
      </w:r>
      <w:r w:rsidRPr="004D5B16">
        <w:rPr>
          <w:rFonts w:cs="Arial"/>
          <w:bCs/>
          <w:lang w:val="pt-BR"/>
        </w:rPr>
        <w:t>(ampliação, 1000X)</w:t>
      </w:r>
      <w:r w:rsidRPr="004D5B16">
        <w:rPr>
          <w:rFonts w:cs="Arial"/>
          <w:lang w:val="pt-BR"/>
        </w:rPr>
        <w:t>.</w:t>
      </w:r>
    </w:p>
    <w:p w:rsidR="004D5B16" w:rsidRPr="0070097E" w:rsidRDefault="004D5B16" w:rsidP="00C52E09">
      <w:pPr>
        <w:numPr>
          <w:ilvl w:val="2"/>
          <w:numId w:val="52"/>
        </w:numPr>
        <w:spacing w:before="100" w:after="0"/>
        <w:jc w:val="both"/>
        <w:rPr>
          <w:rFonts w:cs="Arial"/>
          <w:u w:val="single"/>
        </w:rPr>
      </w:pPr>
      <w:r w:rsidRPr="0070097E">
        <w:rPr>
          <w:rFonts w:cs="Arial"/>
          <w:u w:val="single"/>
        </w:rPr>
        <w:t>Fisiopatologia</w:t>
      </w:r>
    </w:p>
    <w:p w:rsidR="004D5B16" w:rsidRPr="004D5B16" w:rsidRDefault="004D5B16" w:rsidP="004D5B16">
      <w:pPr>
        <w:spacing w:before="100"/>
        <w:ind w:left="1080"/>
        <w:jc w:val="both"/>
        <w:rPr>
          <w:rFonts w:cs="Arial"/>
          <w:lang w:val="pt-BR"/>
        </w:rPr>
      </w:pPr>
      <w:r w:rsidRPr="004D5B16">
        <w:rPr>
          <w:rFonts w:cs="Arial"/>
          <w:lang w:val="pt-BR"/>
        </w:rPr>
        <w:t>Geralmente, após uma agressão ocorrem os seguintes fenómenos:</w:t>
      </w:r>
    </w:p>
    <w:p w:rsidR="004D5B16" w:rsidRPr="004D5B16" w:rsidRDefault="004D5B16" w:rsidP="00C52E09">
      <w:pPr>
        <w:numPr>
          <w:ilvl w:val="0"/>
          <w:numId w:val="50"/>
        </w:numPr>
        <w:spacing w:before="100" w:after="0"/>
        <w:jc w:val="both"/>
        <w:rPr>
          <w:rFonts w:cs="Arial"/>
          <w:lang w:val="pt-BR"/>
        </w:rPr>
      </w:pPr>
      <w:r w:rsidRPr="004D5B16">
        <w:rPr>
          <w:rFonts w:cs="Arial"/>
          <w:lang w:val="pt-BR"/>
        </w:rPr>
        <w:t>Vasodilatação (aumento do calibre dos vasos sanguíneos, hiperémia, calor e rubor)</w:t>
      </w:r>
    </w:p>
    <w:p w:rsidR="004D5B16" w:rsidRPr="004D5B16" w:rsidRDefault="004D5B16" w:rsidP="00C52E09">
      <w:pPr>
        <w:numPr>
          <w:ilvl w:val="0"/>
          <w:numId w:val="50"/>
        </w:numPr>
        <w:spacing w:before="100" w:after="0"/>
        <w:jc w:val="both"/>
        <w:rPr>
          <w:rFonts w:cs="Arial"/>
          <w:lang w:val="pt-BR"/>
        </w:rPr>
      </w:pPr>
      <w:r w:rsidRPr="004D5B16">
        <w:rPr>
          <w:rFonts w:cs="Arial"/>
          <w:lang w:val="pt-BR"/>
        </w:rPr>
        <w:t>Aumento da permeabilidade vascular (saída de líquido, proteínas e leucócitos: exsudado e edema)</w:t>
      </w:r>
    </w:p>
    <w:p w:rsidR="004D5B16" w:rsidRPr="004D5B16" w:rsidRDefault="004D5B16" w:rsidP="00C52E09">
      <w:pPr>
        <w:numPr>
          <w:ilvl w:val="0"/>
          <w:numId w:val="50"/>
        </w:numPr>
        <w:spacing w:before="100" w:after="0"/>
        <w:jc w:val="both"/>
        <w:rPr>
          <w:rFonts w:cs="Arial"/>
          <w:lang w:val="pt-BR"/>
        </w:rPr>
      </w:pPr>
      <w:r w:rsidRPr="004D5B16">
        <w:rPr>
          <w:rFonts w:cs="Arial"/>
          <w:lang w:val="pt-BR"/>
        </w:rPr>
        <w:t>Migração leucocitária através do epitélio capilar para o espaço intersticial (chegada de mais leucócitos ao local – neutrófilos)</w:t>
      </w:r>
    </w:p>
    <w:p w:rsidR="004D5B16" w:rsidRPr="004D5B16" w:rsidRDefault="004D5B16" w:rsidP="00C52E09">
      <w:pPr>
        <w:numPr>
          <w:ilvl w:val="0"/>
          <w:numId w:val="50"/>
        </w:numPr>
        <w:spacing w:before="100" w:after="0"/>
        <w:jc w:val="both"/>
        <w:rPr>
          <w:rFonts w:cs="Arial"/>
          <w:lang w:val="pt-BR"/>
        </w:rPr>
      </w:pPr>
      <w:r w:rsidRPr="004D5B16">
        <w:rPr>
          <w:rFonts w:cs="Arial"/>
          <w:lang w:val="pt-BR"/>
        </w:rPr>
        <w:t>Fagocitose (destruição do agente agressor ou retirar restos necróticos e substâncias estranhas)</w:t>
      </w:r>
    </w:p>
    <w:p w:rsidR="004D5B16" w:rsidRPr="004D5B16" w:rsidRDefault="004D5B16" w:rsidP="004D5B16">
      <w:pPr>
        <w:spacing w:before="100"/>
        <w:ind w:left="1080"/>
        <w:jc w:val="both"/>
        <w:rPr>
          <w:rFonts w:cs="Arial"/>
          <w:b/>
          <w:lang w:val="pt-BR"/>
        </w:rPr>
      </w:pPr>
      <w:r w:rsidRPr="004D5B16">
        <w:rPr>
          <w:rFonts w:cs="Arial"/>
          <w:b/>
          <w:lang w:val="pt-BR"/>
        </w:rPr>
        <w:t>Portanto, a inflamação aguda pode evoluir para: a resolução, cura por fibrose ou progressão para inflamação crónica (com predomínio de mononucleares).</w:t>
      </w:r>
    </w:p>
    <w:p w:rsidR="004D5B16" w:rsidRPr="00415F9E" w:rsidRDefault="004D5B16" w:rsidP="004D5B16">
      <w:pPr>
        <w:spacing w:before="120"/>
        <w:jc w:val="center"/>
        <w:rPr>
          <w:rFonts w:cs="Arial"/>
        </w:rPr>
      </w:pPr>
      <w:r>
        <w:rPr>
          <w:rFonts w:cs="Arial"/>
          <w:noProof/>
          <w:lang w:val="en-ZW" w:eastAsia="en-ZW"/>
        </w:rPr>
        <w:drawing>
          <wp:inline distT="0" distB="0" distL="0" distR="0" wp14:anchorId="57C13389" wp14:editId="29E2FE0A">
            <wp:extent cx="3667125" cy="5133975"/>
            <wp:effectExtent l="0" t="0" r="9525" b="0"/>
            <wp:docPr id="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srcRect/>
                    <a:stretch>
                      <a:fillRect/>
                    </a:stretch>
                  </pic:blipFill>
                  <pic:spPr bwMode="auto">
                    <a:xfrm>
                      <a:off x="0" y="0"/>
                      <a:ext cx="3667125" cy="5133975"/>
                    </a:xfrm>
                    <a:prstGeom prst="rect">
                      <a:avLst/>
                    </a:prstGeom>
                    <a:noFill/>
                    <a:ln w="9525">
                      <a:noFill/>
                      <a:miter lim="800000"/>
                      <a:headEnd/>
                      <a:tailEnd/>
                    </a:ln>
                  </pic:spPr>
                </pic:pic>
              </a:graphicData>
            </a:graphic>
          </wp:inline>
        </w:drawing>
      </w:r>
    </w:p>
    <w:p w:rsidR="004D5B16" w:rsidRPr="00415F9E" w:rsidRDefault="004D5B16" w:rsidP="004D5B16">
      <w:pPr>
        <w:spacing w:before="120"/>
        <w:jc w:val="center"/>
        <w:rPr>
          <w:rFonts w:cs="Arial"/>
        </w:rPr>
      </w:pPr>
      <w:r w:rsidRPr="00415F9E">
        <w:rPr>
          <w:rFonts w:cs="Arial"/>
          <w:b/>
        </w:rPr>
        <w:t>Figura 3</w:t>
      </w:r>
      <w:r w:rsidR="00506DE0">
        <w:rPr>
          <w:rFonts w:cs="Arial"/>
          <w:b/>
        </w:rPr>
        <w:t>:</w:t>
      </w:r>
      <w:r w:rsidRPr="00415F9E">
        <w:rPr>
          <w:rFonts w:cs="Arial"/>
        </w:rPr>
        <w:t xml:space="preserve"> Processo inflamatório.</w:t>
      </w:r>
    </w:p>
    <w:p w:rsidR="004D5B16" w:rsidRPr="00415F9E" w:rsidRDefault="004D5B16" w:rsidP="00C52E09">
      <w:pPr>
        <w:numPr>
          <w:ilvl w:val="1"/>
          <w:numId w:val="52"/>
        </w:numPr>
        <w:spacing w:before="100" w:after="0"/>
        <w:jc w:val="both"/>
        <w:rPr>
          <w:rFonts w:cs="Arial"/>
          <w:b/>
        </w:rPr>
      </w:pPr>
      <w:r w:rsidRPr="00415F9E">
        <w:rPr>
          <w:rFonts w:cs="Arial"/>
          <w:b/>
        </w:rPr>
        <w:lastRenderedPageBreak/>
        <w:t>Reparação Tecidual</w:t>
      </w:r>
    </w:p>
    <w:p w:rsidR="004D5B16" w:rsidRPr="004D5B16" w:rsidRDefault="004D5B16" w:rsidP="004D5B16">
      <w:pPr>
        <w:spacing w:before="100"/>
        <w:ind w:left="450"/>
        <w:jc w:val="both"/>
        <w:rPr>
          <w:rFonts w:cs="Arial"/>
          <w:lang w:val="pt-BR"/>
        </w:rPr>
      </w:pPr>
      <w:r w:rsidRPr="0031756E">
        <w:rPr>
          <w:rFonts w:cs="Arial"/>
          <w:lang w:val="pt-BR"/>
        </w:rPr>
        <w:t xml:space="preserve">Quando inicia a inflamação, simultaneamente ocorre a reparação tecidual, que pode ser por </w:t>
      </w:r>
      <w:r w:rsidRPr="0031756E">
        <w:rPr>
          <w:rFonts w:cs="Arial"/>
          <w:b/>
          <w:lang w:val="pt-BR"/>
        </w:rPr>
        <w:t>regeneração ou cicatrização</w:t>
      </w:r>
      <w:r w:rsidRPr="0031756E">
        <w:rPr>
          <w:rFonts w:cs="Arial"/>
          <w:lang w:val="pt-BR"/>
        </w:rPr>
        <w:t xml:space="preserve">. </w:t>
      </w:r>
      <w:r w:rsidRPr="004D5B16">
        <w:rPr>
          <w:rFonts w:cs="Arial"/>
          <w:lang w:val="pt-BR"/>
        </w:rPr>
        <w:t>Estes mecanismos não se excluem mutuamente, podendo haver no mesmo tecidos os dois fenómenos.</w:t>
      </w:r>
    </w:p>
    <w:p w:rsidR="004D5B16" w:rsidRPr="0031756E" w:rsidRDefault="004D5B16" w:rsidP="004D5B16">
      <w:pPr>
        <w:spacing w:before="100"/>
        <w:ind w:left="450"/>
        <w:jc w:val="both"/>
        <w:rPr>
          <w:rFonts w:cs="Arial"/>
          <w:lang w:val="pt-BR"/>
        </w:rPr>
      </w:pPr>
      <w:r w:rsidRPr="0031756E">
        <w:rPr>
          <w:rFonts w:cs="Arial"/>
          <w:lang w:val="pt-BR"/>
        </w:rPr>
        <w:t>A regeneração é a substituição das células mortas por células do parênquima do mesmo órgão. Geralmente, a matriz extracelular está normal. Ocorre em tecidos com células lábeis (em contínuo processo de proliferação – pele, mucosas, medula óssea) ou células estáveis (baixo potencial proliferativo, mas proliferam quando estimulados – ossos, cartilagem, fígado…)</w:t>
      </w:r>
    </w:p>
    <w:p w:rsidR="004D5B16" w:rsidRPr="004D5B16" w:rsidRDefault="004D5B16" w:rsidP="004D5B16">
      <w:pPr>
        <w:spacing w:before="100"/>
        <w:ind w:left="450"/>
        <w:jc w:val="both"/>
        <w:rPr>
          <w:rFonts w:cs="Arial"/>
          <w:lang w:val="pt-BR"/>
        </w:rPr>
      </w:pPr>
      <w:r w:rsidRPr="0031756E">
        <w:rPr>
          <w:rFonts w:cs="Arial"/>
          <w:lang w:val="pt-BR"/>
        </w:rPr>
        <w:t xml:space="preserve">A cicatrização é a substituição das células mortas por tecido fibroso. </w:t>
      </w:r>
      <w:r w:rsidRPr="004D5B16">
        <w:rPr>
          <w:rFonts w:cs="Arial"/>
          <w:lang w:val="pt-BR"/>
        </w:rPr>
        <w:t>Geralmente, ocorre morte celular e destruição da matriz extracelular. Ocorre em tecidos com células permanentes (dividem-se no período embrionário – neurónio e músculo cardíaco)</w:t>
      </w:r>
    </w:p>
    <w:p w:rsidR="004D5B16" w:rsidRPr="00A05CAA" w:rsidRDefault="004D5B16" w:rsidP="004D5B16">
      <w:pPr>
        <w:shd w:val="clear" w:color="auto" w:fill="B8CCE4"/>
        <w:spacing w:before="120" w:after="120"/>
        <w:ind w:right="-43"/>
        <w:jc w:val="both"/>
        <w:rPr>
          <w:rFonts w:cs="Arial"/>
          <w:b/>
          <w:bCs/>
          <w:lang w:val="pt-BR" w:eastAsia="es-ES"/>
        </w:rPr>
      </w:pPr>
      <w:r w:rsidRPr="00A05CAA">
        <w:rPr>
          <w:rFonts w:cs="Arial"/>
          <w:b/>
          <w:bCs/>
          <w:lang w:val="pt-BR" w:eastAsia="es-ES"/>
        </w:rPr>
        <w:t>BLOCO 4. IMUNIDADE ADAPTATIVA OU ADQUIRIDA</w:t>
      </w:r>
    </w:p>
    <w:p w:rsidR="004D5B16" w:rsidRPr="00415F9E" w:rsidRDefault="004D5B16" w:rsidP="00C52E09">
      <w:pPr>
        <w:pStyle w:val="TM-2n"/>
        <w:numPr>
          <w:ilvl w:val="1"/>
          <w:numId w:val="53"/>
        </w:numPr>
        <w:spacing w:before="120" w:after="0" w:line="276" w:lineRule="auto"/>
        <w:ind w:hanging="645"/>
      </w:pPr>
      <w:r w:rsidRPr="00415F9E">
        <w:t>A imunidade adaptativa ou adquirida é o resultado de uma série de processos e interacções entre células altamente especializadas, presentes em praticamente todos os órgãos e sistemas do corpo humano.</w:t>
      </w:r>
    </w:p>
    <w:p w:rsidR="004D5B16" w:rsidRPr="00415F9E" w:rsidRDefault="004D5B16" w:rsidP="00C52E09">
      <w:pPr>
        <w:pStyle w:val="TM-2n"/>
        <w:numPr>
          <w:ilvl w:val="1"/>
          <w:numId w:val="53"/>
        </w:numPr>
        <w:spacing w:before="120" w:after="0" w:line="276" w:lineRule="auto"/>
        <w:ind w:hanging="645"/>
      </w:pPr>
      <w:r w:rsidRPr="00415F9E">
        <w:t>O sistema de imunidade adquirida  tem 3 funções principais, que são as seguintes:</w:t>
      </w:r>
    </w:p>
    <w:p w:rsidR="004D5B16" w:rsidRPr="00415F9E" w:rsidRDefault="004D5B16" w:rsidP="00C52E09">
      <w:pPr>
        <w:pStyle w:val="TM-3n"/>
        <w:numPr>
          <w:ilvl w:val="2"/>
          <w:numId w:val="53"/>
        </w:numPr>
        <w:spacing w:before="120" w:after="0" w:line="276" w:lineRule="auto"/>
      </w:pPr>
      <w:r w:rsidRPr="00415F9E">
        <w:t>Detectar antígenos estranhos.</w:t>
      </w:r>
    </w:p>
    <w:p w:rsidR="004D5B16" w:rsidRPr="00415F9E" w:rsidRDefault="004D5B16" w:rsidP="00C52E09">
      <w:pPr>
        <w:pStyle w:val="TM-3n"/>
        <w:numPr>
          <w:ilvl w:val="2"/>
          <w:numId w:val="53"/>
        </w:numPr>
        <w:spacing w:before="120" w:after="0" w:line="276" w:lineRule="auto"/>
      </w:pPr>
      <w:r w:rsidRPr="00415F9E">
        <w:t>Gerar respostas imunológicas adequadas para conseguir eliminar os patógenos ou e células infectadas por patógenos.</w:t>
      </w:r>
    </w:p>
    <w:p w:rsidR="004D5B16" w:rsidRPr="00415F9E" w:rsidRDefault="004D5B16" w:rsidP="00C52E09">
      <w:pPr>
        <w:pStyle w:val="TM-3n"/>
        <w:numPr>
          <w:ilvl w:val="2"/>
          <w:numId w:val="53"/>
        </w:numPr>
        <w:spacing w:before="120" w:after="0" w:line="276" w:lineRule="auto"/>
      </w:pPr>
      <w:r w:rsidRPr="00415F9E">
        <w:t>Guardar memória específica (ou memória imunológica) dos diferentes patógenos que tentam invadir o corpo, gerando imunidade e respondendo com rapidez e eficiência quando o patógeno é encontrado novamente.</w:t>
      </w:r>
    </w:p>
    <w:p w:rsidR="004D5B16" w:rsidRPr="00415F9E" w:rsidRDefault="004D5B16" w:rsidP="00C52E09">
      <w:pPr>
        <w:pStyle w:val="TM-2n"/>
        <w:numPr>
          <w:ilvl w:val="1"/>
          <w:numId w:val="53"/>
        </w:numPr>
        <w:spacing w:before="120" w:after="0" w:line="276" w:lineRule="auto"/>
        <w:ind w:left="720" w:hanging="702"/>
      </w:pPr>
      <w:r w:rsidRPr="00415F9E">
        <w:t>A diferença do que acontece com os dois primeiros níveis de defesa, ou imunidade inata, a imunidade adaptativa é adquirida e ajustada durante a vida pelo contacto com diversos patógenos.</w:t>
      </w:r>
    </w:p>
    <w:p w:rsidR="004D5B16" w:rsidRPr="00415F9E" w:rsidRDefault="004D5B16" w:rsidP="00C52E09">
      <w:pPr>
        <w:pStyle w:val="TM-2n"/>
        <w:numPr>
          <w:ilvl w:val="1"/>
          <w:numId w:val="53"/>
        </w:numPr>
        <w:spacing w:before="120" w:after="0" w:line="276" w:lineRule="auto"/>
        <w:ind w:left="720" w:hanging="702"/>
      </w:pPr>
      <w:r w:rsidRPr="00415F9E">
        <w:t>A imunidade adquirida apresenta três características principais:</w:t>
      </w:r>
    </w:p>
    <w:p w:rsidR="004D5B16" w:rsidRPr="00415F9E" w:rsidRDefault="004D5B16" w:rsidP="00C52E09">
      <w:pPr>
        <w:pStyle w:val="TM-2n"/>
        <w:numPr>
          <w:ilvl w:val="2"/>
          <w:numId w:val="53"/>
        </w:numPr>
        <w:spacing w:before="120" w:after="0" w:line="276" w:lineRule="auto"/>
      </w:pPr>
      <w:r w:rsidRPr="00415F9E">
        <w:t>Memória imunológica</w:t>
      </w:r>
    </w:p>
    <w:p w:rsidR="004D5B16" w:rsidRPr="00415F9E" w:rsidRDefault="004D5B16" w:rsidP="00C52E09">
      <w:pPr>
        <w:pStyle w:val="TM-2n"/>
        <w:numPr>
          <w:ilvl w:val="2"/>
          <w:numId w:val="53"/>
        </w:numPr>
        <w:spacing w:before="120" w:after="0" w:line="276" w:lineRule="auto"/>
      </w:pPr>
      <w:r w:rsidRPr="00415F9E">
        <w:t>Tolerância imunológica</w:t>
      </w:r>
    </w:p>
    <w:p w:rsidR="004D5B16" w:rsidRPr="00415F9E" w:rsidRDefault="004D5B16" w:rsidP="00C52E09">
      <w:pPr>
        <w:pStyle w:val="TM-2n"/>
        <w:numPr>
          <w:ilvl w:val="2"/>
          <w:numId w:val="53"/>
        </w:numPr>
        <w:spacing w:before="120" w:after="0" w:line="276" w:lineRule="auto"/>
      </w:pPr>
      <w:r w:rsidRPr="00415F9E">
        <w:t>Auto-regulação</w:t>
      </w:r>
    </w:p>
    <w:p w:rsidR="004D5B16" w:rsidRPr="00415F9E" w:rsidRDefault="004D5B16" w:rsidP="00C52E09">
      <w:pPr>
        <w:pStyle w:val="TM-2n"/>
        <w:numPr>
          <w:ilvl w:val="1"/>
          <w:numId w:val="53"/>
        </w:numPr>
        <w:spacing w:before="120" w:after="0" w:line="276" w:lineRule="auto"/>
        <w:ind w:left="720" w:hanging="702"/>
      </w:pPr>
      <w:r w:rsidRPr="00415F9E">
        <w:t xml:space="preserve"> A Memória Imunológica - </w:t>
      </w:r>
      <w:r w:rsidRPr="00415F9E">
        <w:rPr>
          <w:lang w:val="pt-BR"/>
        </w:rPr>
        <w:t xml:space="preserve">Depois de repelida a agressão, algumas células persistem activadas contra esse antígeno particular, de modo que numa futura agressão pelo mesmo antígeno, essas células irão desencadear uma resposta imune mais imediata (rápida) e amplificada (maior). </w:t>
      </w:r>
      <w:r w:rsidRPr="00415F9E">
        <w:t>Deste modo, diz-se:</w:t>
      </w:r>
    </w:p>
    <w:p w:rsidR="004D5B16" w:rsidRPr="00415F9E" w:rsidRDefault="004D5B16" w:rsidP="00C52E09">
      <w:pPr>
        <w:pStyle w:val="TM-2n"/>
        <w:numPr>
          <w:ilvl w:val="2"/>
          <w:numId w:val="53"/>
        </w:numPr>
        <w:spacing w:before="120" w:after="0" w:line="276" w:lineRule="auto"/>
      </w:pPr>
      <w:r w:rsidRPr="00415F9E">
        <w:t xml:space="preserve"> Resposta imunitária primária, quando é a primeira exposição ao antígeno e portanto, os linfócitos precisam identificá-lo e especializar-se na produção do anticorpo específico</w:t>
      </w:r>
    </w:p>
    <w:p w:rsidR="004D5B16" w:rsidRPr="00415F9E" w:rsidRDefault="004D5B16" w:rsidP="00C52E09">
      <w:pPr>
        <w:pStyle w:val="TM-2n"/>
        <w:numPr>
          <w:ilvl w:val="2"/>
          <w:numId w:val="53"/>
        </w:numPr>
        <w:spacing w:before="120" w:after="0" w:line="276" w:lineRule="auto"/>
      </w:pPr>
      <w:r w:rsidRPr="00415F9E">
        <w:t xml:space="preserve"> Resposta imunitária secundária, quando por uma exposição prévia, já existem linfócitos especializados nesse antígeno, capazes de produzir imediatamente anticorpos específicos, minimizando a agressão. </w:t>
      </w:r>
    </w:p>
    <w:p w:rsidR="004D5B16" w:rsidRPr="00415F9E" w:rsidRDefault="004D5B16" w:rsidP="00C52E09">
      <w:pPr>
        <w:pStyle w:val="TM-2n"/>
        <w:numPr>
          <w:ilvl w:val="1"/>
          <w:numId w:val="53"/>
        </w:numPr>
        <w:spacing w:before="120" w:after="0" w:line="276" w:lineRule="auto"/>
        <w:ind w:left="720" w:hanging="702"/>
      </w:pPr>
      <w:r w:rsidRPr="00415F9E">
        <w:t>A memória imunológica pode-se adquirir por quatro mecanismos diferentes:</w:t>
      </w:r>
    </w:p>
    <w:p w:rsidR="004D5B16" w:rsidRPr="00415F9E" w:rsidRDefault="004D5B16" w:rsidP="00C52E09">
      <w:pPr>
        <w:pStyle w:val="TM-2n"/>
        <w:numPr>
          <w:ilvl w:val="2"/>
          <w:numId w:val="53"/>
        </w:numPr>
        <w:spacing w:before="120" w:after="0" w:line="276" w:lineRule="auto"/>
      </w:pPr>
      <w:r w:rsidRPr="00415F9E">
        <w:t>Imunidade activa natural, resulta da exposição natural a um antígeno (de forma habitual, como descrito antes);</w:t>
      </w:r>
    </w:p>
    <w:p w:rsidR="004D5B16" w:rsidRPr="00415F9E" w:rsidRDefault="004D5B16" w:rsidP="00C52E09">
      <w:pPr>
        <w:pStyle w:val="TM-2n"/>
        <w:numPr>
          <w:ilvl w:val="2"/>
          <w:numId w:val="53"/>
        </w:numPr>
        <w:spacing w:before="120" w:after="0" w:line="276" w:lineRule="auto"/>
      </w:pPr>
      <w:r w:rsidRPr="00415F9E">
        <w:lastRenderedPageBreak/>
        <w:t>Imunidade activa artificial, resulta de uma exposição ao antígeno provocada e controlada para conferir artificialmente imunidade ao organismo (é o princípio das “vacinas”);</w:t>
      </w:r>
    </w:p>
    <w:p w:rsidR="004D5B16" w:rsidRPr="00415F9E" w:rsidRDefault="004D5B16" w:rsidP="00C52E09">
      <w:pPr>
        <w:pStyle w:val="TM-2n"/>
        <w:numPr>
          <w:ilvl w:val="2"/>
          <w:numId w:val="53"/>
        </w:numPr>
        <w:spacing w:before="120" w:after="0" w:line="276" w:lineRule="auto"/>
      </w:pPr>
      <w:r w:rsidRPr="00415F9E">
        <w:t xml:space="preserve">Imunidade passiva natural, resulta da transferência de anticorpos ou células imunizadas desde um organismo (mãe) a outro (seu feto </w:t>
      </w:r>
      <w:r w:rsidRPr="00415F9E">
        <w:rPr>
          <w:i/>
        </w:rPr>
        <w:t>in útero</w:t>
      </w:r>
      <w:r w:rsidRPr="00415F9E">
        <w:t xml:space="preserve"> ou lactante – durante o aleitamento materno);</w:t>
      </w:r>
    </w:p>
    <w:p w:rsidR="004D5B16" w:rsidRPr="00415F9E" w:rsidRDefault="004D5B16" w:rsidP="00C52E09">
      <w:pPr>
        <w:pStyle w:val="TM-2n"/>
        <w:numPr>
          <w:ilvl w:val="2"/>
          <w:numId w:val="53"/>
        </w:numPr>
        <w:spacing w:before="120" w:after="0" w:line="276" w:lineRule="auto"/>
      </w:pPr>
      <w:r w:rsidRPr="00415F9E">
        <w:t>Imunidade passiva artificial, resulta da transferência de anticorpos ou células imunizadas artificialmente de um organismos (humano ou animal) a outro (é o princípio dos “soros anti-antígeno específicos” – exemplo: soro anti-tetánico).</w:t>
      </w:r>
    </w:p>
    <w:p w:rsidR="004D5B16" w:rsidRPr="00415F9E" w:rsidRDefault="004D5B16" w:rsidP="00C52E09">
      <w:pPr>
        <w:pStyle w:val="TM-2n"/>
        <w:numPr>
          <w:ilvl w:val="1"/>
          <w:numId w:val="53"/>
        </w:numPr>
        <w:spacing w:before="120" w:after="0" w:line="276" w:lineRule="auto"/>
        <w:ind w:left="720" w:hanging="702"/>
      </w:pPr>
      <w:r w:rsidRPr="00415F9E">
        <w:t>Normalmente, o primeiro sinal para a activação do sistema de imunidade adaptativa chega desde o sistema de imunidade inata.</w:t>
      </w:r>
    </w:p>
    <w:p w:rsidR="004D5B16" w:rsidRPr="00415F9E" w:rsidRDefault="004D5B16" w:rsidP="00C52E09">
      <w:pPr>
        <w:pStyle w:val="TM-2n"/>
        <w:numPr>
          <w:ilvl w:val="1"/>
          <w:numId w:val="53"/>
        </w:numPr>
        <w:spacing w:before="120" w:after="0" w:line="276" w:lineRule="auto"/>
        <w:ind w:left="720" w:hanging="702"/>
      </w:pPr>
      <w:r w:rsidRPr="00415F9E">
        <w:t>A activação do sistema de imunidade adaptativa desencadeia dois tipos de reacções: a imunidade humoral e a imunidade celular. O tipo de resposta dependerá das características do antígeno reconhecido.</w:t>
      </w:r>
    </w:p>
    <w:p w:rsidR="004D5B16" w:rsidRPr="00415F9E" w:rsidRDefault="004D5B16" w:rsidP="00C52E09">
      <w:pPr>
        <w:pStyle w:val="TM-2n"/>
        <w:numPr>
          <w:ilvl w:val="1"/>
          <w:numId w:val="53"/>
        </w:numPr>
        <w:spacing w:before="120" w:after="0" w:line="276" w:lineRule="auto"/>
        <w:ind w:left="720" w:hanging="702"/>
      </w:pPr>
      <w:r w:rsidRPr="00415F9E">
        <w:t>Relação entre imunidade inata e adaptativa</w:t>
      </w:r>
    </w:p>
    <w:p w:rsidR="004D5B16" w:rsidRPr="00415F9E" w:rsidRDefault="004D5B16" w:rsidP="00C52E09">
      <w:pPr>
        <w:pStyle w:val="TM-2n"/>
        <w:numPr>
          <w:ilvl w:val="2"/>
          <w:numId w:val="53"/>
        </w:numPr>
        <w:spacing w:before="120" w:after="0" w:line="276" w:lineRule="auto"/>
      </w:pPr>
      <w:r w:rsidRPr="00415F9E">
        <w:t xml:space="preserve">O antígeno  é ingerido e digerido pelos macrófagos – </w:t>
      </w:r>
      <w:r w:rsidRPr="00415F9E">
        <w:rPr>
          <w:b/>
        </w:rPr>
        <w:t>papel da imunidade inata</w:t>
      </w:r>
      <w:r w:rsidRPr="00415F9E">
        <w:t>.</w:t>
      </w:r>
    </w:p>
    <w:p w:rsidR="004D5B16" w:rsidRPr="00415F9E" w:rsidRDefault="004D5B16" w:rsidP="00C52E09">
      <w:pPr>
        <w:pStyle w:val="TM-2n"/>
        <w:numPr>
          <w:ilvl w:val="2"/>
          <w:numId w:val="53"/>
        </w:numPr>
        <w:spacing w:before="120" w:after="0" w:line="276" w:lineRule="auto"/>
      </w:pPr>
      <w:r w:rsidRPr="00415F9E">
        <w:t>Após a digestão, o macrófago expõe os antígenos na sua superfície celular. Os linfócitos T, se ligam ao antígeno exposto e começam a sintetizar sinais químicos (</w:t>
      </w:r>
      <w:r w:rsidRPr="00415F9E">
        <w:rPr>
          <w:b/>
        </w:rPr>
        <w:t>papel da imunidade adquirida celular</w:t>
      </w:r>
      <w:r w:rsidRPr="00415F9E">
        <w:t xml:space="preserve">). </w:t>
      </w:r>
    </w:p>
    <w:p w:rsidR="004D5B16" w:rsidRPr="00415F9E" w:rsidRDefault="004D5B16" w:rsidP="00C52E09">
      <w:pPr>
        <w:pStyle w:val="TM-2n"/>
        <w:numPr>
          <w:ilvl w:val="2"/>
          <w:numId w:val="53"/>
        </w:numPr>
        <w:spacing w:before="120" w:after="0" w:line="276" w:lineRule="auto"/>
      </w:pPr>
      <w:r w:rsidRPr="00415F9E">
        <w:t>Estes sinais químicos são recebidos pelos linfocitos B (</w:t>
      </w:r>
      <w:r w:rsidRPr="00415F9E">
        <w:rPr>
          <w:b/>
        </w:rPr>
        <w:t>papel da imunidade adquirida humoral</w:t>
      </w:r>
      <w:r w:rsidRPr="00415F9E">
        <w:t>) que começam a se dividir, produzindo clones de células B. Uma parte dos clones se diferencia em células plasmáticas que vão produzir anticorpos específicos para o antígeno em causa (complexo antígeno-anticorpo), e originar a destruição do antígeno. Outros clones permanecerão no organismo como células de memória, capazes de se activar rapidamente no caso em que o mesmo tipo de antígeno volta a penetrar no corpo.</w:t>
      </w:r>
    </w:p>
    <w:p w:rsidR="004D5B16" w:rsidRPr="00415F9E" w:rsidRDefault="004D5B16" w:rsidP="00C52E09">
      <w:pPr>
        <w:pStyle w:val="TM-2n"/>
        <w:numPr>
          <w:ilvl w:val="1"/>
          <w:numId w:val="53"/>
        </w:numPr>
        <w:ind w:left="0" w:firstLine="0"/>
      </w:pPr>
      <w:r w:rsidRPr="00415F9E">
        <w:rPr>
          <w:i/>
        </w:rPr>
        <w:t>“Tolerância imunológica”</w:t>
      </w:r>
      <w:r w:rsidRPr="00415F9E">
        <w:t>: Capacidade de distinguir entre antígenos próprios (os presentes em todas as células do próprio organismo, que não desencadeiam a resposta imune) e estranhos (que provocam resposta imune por não serem reconhecidos como próprios). Está propriedade faz com que os próprios tecidos do corpo não sejam atacados pelo próprio sistema imune.</w:t>
      </w:r>
    </w:p>
    <w:p w:rsidR="004D5B16" w:rsidRPr="00415F9E" w:rsidRDefault="004D5B16" w:rsidP="00C52E09">
      <w:pPr>
        <w:pStyle w:val="TM-2n"/>
        <w:numPr>
          <w:ilvl w:val="2"/>
          <w:numId w:val="53"/>
        </w:numPr>
        <w:rPr>
          <w:i/>
        </w:rPr>
      </w:pPr>
      <w:r w:rsidRPr="00415F9E">
        <w:rPr>
          <w:i/>
        </w:rPr>
        <w:t>Em algumas ocasiões, os mecanismos da tolerância falham, de maneira que antígenos próprios desencadeiam resposta imune e tecidos do corpo são atacados pelo próprio sistema imune (são as chamadas “doenças auto-imunes”)</w:t>
      </w:r>
    </w:p>
    <w:p w:rsidR="004D5B16" w:rsidRDefault="004D5B16" w:rsidP="00C52E09">
      <w:pPr>
        <w:pStyle w:val="TM-2n"/>
        <w:numPr>
          <w:ilvl w:val="1"/>
          <w:numId w:val="53"/>
        </w:numPr>
        <w:ind w:left="0" w:firstLine="0"/>
      </w:pPr>
      <w:r w:rsidRPr="00415F9E">
        <w:rPr>
          <w:i/>
        </w:rPr>
        <w:t>“Auto-regulação”</w:t>
      </w:r>
      <w:r w:rsidRPr="00415F9E">
        <w:t>: Trata-se de um mecanismo homeostático complicado que mantêm um balanço entre a resposta imune e a tolerância imunológica, para evitar actividade imune exagerada ou insuficiente em cada momento.</w:t>
      </w:r>
    </w:p>
    <w:p w:rsidR="006D397B" w:rsidRPr="00415F9E" w:rsidRDefault="006D397B" w:rsidP="0070097E">
      <w:pPr>
        <w:pStyle w:val="TM-2n"/>
        <w:numPr>
          <w:ilvl w:val="0"/>
          <w:numId w:val="0"/>
        </w:numPr>
        <w:spacing w:after="0"/>
      </w:pPr>
    </w:p>
    <w:p w:rsidR="004D5B16" w:rsidRPr="00415F9E" w:rsidRDefault="004D5B16" w:rsidP="004D5B16">
      <w:pPr>
        <w:shd w:val="clear" w:color="auto" w:fill="B8CCE4"/>
        <w:spacing w:before="120" w:after="120"/>
        <w:ind w:right="-43"/>
        <w:jc w:val="both"/>
        <w:rPr>
          <w:rFonts w:cs="Arial"/>
          <w:b/>
          <w:bCs/>
          <w:lang w:eastAsia="es-ES"/>
        </w:rPr>
      </w:pPr>
      <w:proofErr w:type="gramStart"/>
      <w:r w:rsidRPr="00415F9E">
        <w:rPr>
          <w:rFonts w:cs="Arial"/>
          <w:b/>
          <w:bCs/>
          <w:lang w:eastAsia="es-ES"/>
        </w:rPr>
        <w:t>BLOCO 5.</w:t>
      </w:r>
      <w:proofErr w:type="gramEnd"/>
      <w:r w:rsidRPr="00415F9E">
        <w:rPr>
          <w:rFonts w:cs="Arial"/>
          <w:b/>
          <w:bCs/>
          <w:lang w:eastAsia="es-ES"/>
        </w:rPr>
        <w:t xml:space="preserve"> PONTOS-CHAVE </w:t>
      </w:r>
    </w:p>
    <w:p w:rsidR="004D5B16" w:rsidRPr="00415F9E" w:rsidRDefault="004D5B16" w:rsidP="00C52E09">
      <w:pPr>
        <w:pStyle w:val="TM-4n"/>
        <w:numPr>
          <w:ilvl w:val="1"/>
          <w:numId w:val="54"/>
        </w:numPr>
        <w:tabs>
          <w:tab w:val="clear" w:pos="1134"/>
        </w:tabs>
        <w:spacing w:before="120" w:after="0" w:line="276" w:lineRule="auto"/>
        <w:ind w:left="360"/>
      </w:pPr>
      <w:r w:rsidRPr="00415F9E">
        <w:t>A imunidade inata é um mecanismos de defesa do corpo humano perante microrganismos patogénicos de uma forma não específica</w:t>
      </w:r>
    </w:p>
    <w:p w:rsidR="004D5B16" w:rsidRPr="00415F9E" w:rsidRDefault="004D5B16" w:rsidP="00C52E09">
      <w:pPr>
        <w:pStyle w:val="TM-4n"/>
        <w:numPr>
          <w:ilvl w:val="1"/>
          <w:numId w:val="54"/>
        </w:numPr>
        <w:tabs>
          <w:tab w:val="clear" w:pos="1134"/>
        </w:tabs>
        <w:spacing w:before="120" w:after="0" w:line="276" w:lineRule="auto"/>
        <w:ind w:left="360"/>
      </w:pPr>
      <w:r w:rsidRPr="00415F9E">
        <w:t>O primeiro nível de defesa inclui barreiras físicas,  químicas e fisiológicas.</w:t>
      </w:r>
    </w:p>
    <w:p w:rsidR="004D5B16" w:rsidRPr="00415F9E" w:rsidRDefault="004D5B16" w:rsidP="00C52E09">
      <w:pPr>
        <w:pStyle w:val="TM-4n"/>
        <w:numPr>
          <w:ilvl w:val="1"/>
          <w:numId w:val="54"/>
        </w:numPr>
        <w:tabs>
          <w:tab w:val="clear" w:pos="1134"/>
        </w:tabs>
        <w:spacing w:before="120" w:after="0" w:line="276" w:lineRule="auto"/>
        <w:ind w:left="360"/>
      </w:pPr>
      <w:r w:rsidRPr="00415F9E">
        <w:t>O segundo nível de defesa inclui respostas celulares e químicas inespecíficas.</w:t>
      </w:r>
    </w:p>
    <w:p w:rsidR="004D5B16" w:rsidRPr="00415F9E" w:rsidRDefault="004D5B16" w:rsidP="00C52E09">
      <w:pPr>
        <w:pStyle w:val="TM-4n"/>
        <w:numPr>
          <w:ilvl w:val="1"/>
          <w:numId w:val="54"/>
        </w:numPr>
        <w:tabs>
          <w:tab w:val="clear" w:pos="1134"/>
        </w:tabs>
        <w:spacing w:before="120" w:after="0" w:line="276" w:lineRule="auto"/>
        <w:ind w:left="360"/>
      </w:pPr>
      <w:r w:rsidRPr="00415F9E">
        <w:t>Entre os eventos pertencentes ao segundo nível de defesa inclue a produção de moléculas de defesa, activação da cascata do complemento, febre, inflamação e fagocitose.</w:t>
      </w:r>
    </w:p>
    <w:p w:rsidR="004D5B16" w:rsidRPr="00415F9E" w:rsidRDefault="004D5B16" w:rsidP="00C52E09">
      <w:pPr>
        <w:pStyle w:val="TM-4n"/>
        <w:numPr>
          <w:ilvl w:val="1"/>
          <w:numId w:val="54"/>
        </w:numPr>
        <w:tabs>
          <w:tab w:val="clear" w:pos="1134"/>
        </w:tabs>
        <w:spacing w:before="120" w:after="0" w:line="276" w:lineRule="auto"/>
        <w:ind w:left="360"/>
      </w:pPr>
      <w:r w:rsidRPr="00415F9E">
        <w:t xml:space="preserve">A inflamação é uma resposta orgânica inespecífica de defesa, caracterizada por dor, calor, rubor, tumor e perca de função e pode ser aguda (resposta rápida e com predomínio de </w:t>
      </w:r>
      <w:r w:rsidRPr="00415F9E">
        <w:lastRenderedPageBreak/>
        <w:t>polimorfonucleares) ou crónica (resposta de início lento e gradativo, com predomínio de mononucleares).</w:t>
      </w:r>
    </w:p>
    <w:p w:rsidR="004D5B16" w:rsidRPr="00415F9E" w:rsidRDefault="004D5B16" w:rsidP="00C52E09">
      <w:pPr>
        <w:pStyle w:val="TM-4n"/>
        <w:numPr>
          <w:ilvl w:val="1"/>
          <w:numId w:val="54"/>
        </w:numPr>
        <w:tabs>
          <w:tab w:val="clear" w:pos="1134"/>
        </w:tabs>
        <w:spacing w:before="120" w:after="0" w:line="276" w:lineRule="auto"/>
        <w:ind w:left="360"/>
      </w:pPr>
      <w:r w:rsidRPr="00415F9E">
        <w:t>A inflamação aguda pode evoluir para: resolução, cura por fibrose ou progressão para inflamação crónica.</w:t>
      </w:r>
    </w:p>
    <w:p w:rsidR="004D5B16" w:rsidRPr="00415F9E" w:rsidRDefault="004D5B16" w:rsidP="00C52E09">
      <w:pPr>
        <w:pStyle w:val="TM-4n"/>
        <w:numPr>
          <w:ilvl w:val="1"/>
          <w:numId w:val="54"/>
        </w:numPr>
        <w:tabs>
          <w:tab w:val="clear" w:pos="1134"/>
        </w:tabs>
        <w:spacing w:before="120" w:after="0" w:line="276" w:lineRule="auto"/>
        <w:ind w:left="360"/>
      </w:pPr>
      <w:r w:rsidRPr="00415F9E">
        <w:t>A imunidade adquirida apresenta 3 características principais: memória imunológica,  tolerância imunológica e auto-regulação</w:t>
      </w:r>
    </w:p>
    <w:p w:rsidR="004D5B16" w:rsidRPr="00415F9E" w:rsidRDefault="004D5B16" w:rsidP="00C52E09">
      <w:pPr>
        <w:pStyle w:val="TM-4n"/>
        <w:numPr>
          <w:ilvl w:val="1"/>
          <w:numId w:val="54"/>
        </w:numPr>
        <w:tabs>
          <w:tab w:val="clear" w:pos="1134"/>
        </w:tabs>
        <w:spacing w:before="120" w:after="0" w:line="276" w:lineRule="auto"/>
        <w:ind w:left="360"/>
      </w:pPr>
      <w:r w:rsidRPr="00415F9E">
        <w:t>A memória imunológica pode-se adquirir por 4 mecanismos diferentes: imunidade activa natural, imunidade activa artificial, imunidade passiva natural e imunidade passiva artificial</w:t>
      </w:r>
    </w:p>
    <w:p w:rsidR="004D5B16" w:rsidRPr="00415F9E" w:rsidRDefault="004D5B16" w:rsidP="00C52E09">
      <w:pPr>
        <w:pStyle w:val="TM-4n"/>
        <w:numPr>
          <w:ilvl w:val="1"/>
          <w:numId w:val="54"/>
        </w:numPr>
        <w:tabs>
          <w:tab w:val="clear" w:pos="1134"/>
        </w:tabs>
        <w:spacing w:before="120" w:after="0" w:line="276" w:lineRule="auto"/>
        <w:ind w:left="360"/>
      </w:pPr>
      <w:r w:rsidRPr="00415F9E">
        <w:t>A tolerância imunológica é a capacidade de distinguir os antígenos próprios dos estranhos, de modo que os próprios tecidos do corpo não sejam atacados pelo próprio sistema imune</w:t>
      </w:r>
    </w:p>
    <w:p w:rsidR="004D5B16" w:rsidRPr="00415F9E" w:rsidRDefault="004D5B16" w:rsidP="00C52E09">
      <w:pPr>
        <w:pStyle w:val="TM-4n"/>
        <w:numPr>
          <w:ilvl w:val="1"/>
          <w:numId w:val="54"/>
        </w:numPr>
        <w:tabs>
          <w:tab w:val="clear" w:pos="1134"/>
        </w:tabs>
        <w:spacing w:before="120" w:after="0" w:line="276" w:lineRule="auto"/>
        <w:ind w:left="360"/>
      </w:pPr>
      <w:r w:rsidRPr="00415F9E">
        <w:t>A auto-regulação é um mecanismo complexo, que visa evitar actividade imune exagerada ou insuficiente em cada momento</w:t>
      </w:r>
    </w:p>
    <w:p w:rsidR="00A05CAA" w:rsidRDefault="00A05CAA">
      <w:pPr>
        <w:rPr>
          <w:rFonts w:eastAsia="Times New Roman" w:cs="Arial"/>
          <w:szCs w:val="20"/>
          <w:lang w:val="pt-PT" w:eastAsia="es-ES"/>
        </w:rPr>
      </w:pPr>
      <w:r w:rsidRPr="00F47FAF">
        <w:rPr>
          <w:lang w:val="pt-BR"/>
        </w:rPr>
        <w:br w:type="page"/>
      </w:r>
    </w:p>
    <w:tbl>
      <w:tblPr>
        <w:tblW w:w="10170" w:type="dxa"/>
        <w:tblInd w:w="-290" w:type="dxa"/>
        <w:tblLayout w:type="fixed"/>
        <w:tblCellMar>
          <w:left w:w="70" w:type="dxa"/>
          <w:right w:w="70" w:type="dxa"/>
        </w:tblCellMar>
        <w:tblLook w:val="0020" w:firstRow="1" w:lastRow="0" w:firstColumn="0" w:lastColumn="0" w:noHBand="0" w:noVBand="0"/>
      </w:tblPr>
      <w:tblGrid>
        <w:gridCol w:w="1708"/>
        <w:gridCol w:w="4502"/>
        <w:gridCol w:w="1710"/>
        <w:gridCol w:w="2250"/>
      </w:tblGrid>
      <w:tr w:rsidR="00A05CAA" w:rsidRPr="00610608" w:rsidTr="00FC6E81">
        <w:trPr>
          <w:cantSplit/>
          <w:trHeight w:val="413"/>
        </w:trPr>
        <w:tc>
          <w:tcPr>
            <w:tcW w:w="1708" w:type="dxa"/>
            <w:tcBorders>
              <w:top w:val="single" w:sz="6" w:space="0" w:color="000000"/>
              <w:left w:val="single" w:sz="6" w:space="0" w:color="000000"/>
              <w:bottom w:val="single" w:sz="6" w:space="0" w:color="000000"/>
              <w:right w:val="single" w:sz="6" w:space="0" w:color="000000"/>
            </w:tcBorders>
            <w:vAlign w:val="center"/>
          </w:tcPr>
          <w:p w:rsidR="00A05CAA" w:rsidRPr="00610608" w:rsidRDefault="00A05CAA" w:rsidP="00E8674E">
            <w:pPr>
              <w:spacing w:line="240" w:lineRule="auto"/>
              <w:rPr>
                <w:rFonts w:cs="Arial"/>
                <w:b/>
              </w:rPr>
            </w:pPr>
            <w:r w:rsidRPr="00610608">
              <w:rPr>
                <w:rFonts w:cs="Arial"/>
                <w:b/>
              </w:rPr>
              <w:lastRenderedPageBreak/>
              <w:t>Disciplina</w:t>
            </w:r>
          </w:p>
        </w:tc>
        <w:tc>
          <w:tcPr>
            <w:tcW w:w="4502" w:type="dxa"/>
            <w:tcBorders>
              <w:top w:val="single" w:sz="6" w:space="0" w:color="000000"/>
              <w:left w:val="single" w:sz="6" w:space="0" w:color="000000"/>
              <w:bottom w:val="single" w:sz="6" w:space="0" w:color="000000"/>
              <w:right w:val="single" w:sz="6" w:space="0" w:color="000000"/>
            </w:tcBorders>
            <w:vAlign w:val="center"/>
          </w:tcPr>
          <w:p w:rsidR="00A05CAA" w:rsidRPr="00610608" w:rsidRDefault="00A05CAA" w:rsidP="00E8674E">
            <w:pPr>
              <w:spacing w:line="240" w:lineRule="auto"/>
              <w:rPr>
                <w:rFonts w:cs="Arial"/>
              </w:rPr>
            </w:pPr>
            <w:r w:rsidRPr="00610608">
              <w:rPr>
                <w:rFonts w:cs="Arial"/>
              </w:rPr>
              <w:t>Introdução às Ciências Médicas</w:t>
            </w:r>
          </w:p>
        </w:tc>
        <w:tc>
          <w:tcPr>
            <w:tcW w:w="1710" w:type="dxa"/>
            <w:tcBorders>
              <w:top w:val="single" w:sz="6" w:space="0" w:color="000000"/>
              <w:left w:val="single" w:sz="6" w:space="0" w:color="000000"/>
              <w:bottom w:val="single" w:sz="6" w:space="0" w:color="000000"/>
              <w:right w:val="single" w:sz="6" w:space="0" w:color="000000"/>
            </w:tcBorders>
            <w:vAlign w:val="center"/>
          </w:tcPr>
          <w:p w:rsidR="00A05CAA" w:rsidRPr="00610608" w:rsidRDefault="00A05CAA" w:rsidP="00E8674E">
            <w:pPr>
              <w:spacing w:line="240" w:lineRule="auto"/>
              <w:rPr>
                <w:rFonts w:cs="Arial"/>
                <w:b/>
              </w:rPr>
            </w:pPr>
            <w:r w:rsidRPr="00610608">
              <w:rPr>
                <w:rFonts w:cs="Arial"/>
                <w:b/>
              </w:rPr>
              <w:t xml:space="preserve">N° da Aula </w:t>
            </w:r>
          </w:p>
        </w:tc>
        <w:tc>
          <w:tcPr>
            <w:tcW w:w="2250" w:type="dxa"/>
            <w:tcBorders>
              <w:top w:val="single" w:sz="6" w:space="0" w:color="000000"/>
              <w:left w:val="single" w:sz="6" w:space="0" w:color="000000"/>
              <w:bottom w:val="single" w:sz="6" w:space="0" w:color="000000"/>
              <w:right w:val="single" w:sz="6" w:space="0" w:color="000000"/>
            </w:tcBorders>
            <w:vAlign w:val="center"/>
          </w:tcPr>
          <w:p w:rsidR="00A05CAA" w:rsidRPr="0070097E" w:rsidRDefault="00A05CAA" w:rsidP="00E8674E">
            <w:pPr>
              <w:spacing w:line="240" w:lineRule="auto"/>
              <w:jc w:val="center"/>
              <w:rPr>
                <w:rFonts w:cs="Arial"/>
              </w:rPr>
            </w:pPr>
            <w:r w:rsidRPr="0070097E">
              <w:rPr>
                <w:rFonts w:cs="Arial"/>
              </w:rPr>
              <w:t>6</w:t>
            </w:r>
          </w:p>
        </w:tc>
      </w:tr>
      <w:tr w:rsidR="00A05CAA" w:rsidRPr="00610608" w:rsidTr="00FC6E81">
        <w:trPr>
          <w:cantSplit/>
          <w:trHeight w:val="413"/>
        </w:trPr>
        <w:tc>
          <w:tcPr>
            <w:tcW w:w="1708" w:type="dxa"/>
            <w:tcBorders>
              <w:top w:val="single" w:sz="6" w:space="0" w:color="000000"/>
              <w:left w:val="single" w:sz="6" w:space="0" w:color="000000"/>
              <w:bottom w:val="single" w:sz="6" w:space="0" w:color="000000"/>
              <w:right w:val="single" w:sz="6" w:space="0" w:color="000000"/>
            </w:tcBorders>
            <w:vAlign w:val="center"/>
          </w:tcPr>
          <w:p w:rsidR="00A05CAA" w:rsidRPr="00610608" w:rsidRDefault="00A05CAA" w:rsidP="00E8674E">
            <w:pPr>
              <w:spacing w:line="240" w:lineRule="auto"/>
              <w:rPr>
                <w:rFonts w:cs="Arial"/>
                <w:b/>
              </w:rPr>
            </w:pPr>
            <w:r w:rsidRPr="00610608">
              <w:rPr>
                <w:rFonts w:cs="Arial"/>
                <w:b/>
              </w:rPr>
              <w:t>Tópico</w:t>
            </w:r>
          </w:p>
        </w:tc>
        <w:tc>
          <w:tcPr>
            <w:tcW w:w="4502" w:type="dxa"/>
            <w:tcBorders>
              <w:top w:val="single" w:sz="6" w:space="0" w:color="000000"/>
              <w:left w:val="single" w:sz="6" w:space="0" w:color="000000"/>
              <w:bottom w:val="single" w:sz="6" w:space="0" w:color="000000"/>
              <w:right w:val="single" w:sz="6" w:space="0" w:color="000000"/>
            </w:tcBorders>
            <w:vAlign w:val="center"/>
          </w:tcPr>
          <w:p w:rsidR="00A05CAA" w:rsidRPr="00610608" w:rsidRDefault="00A05CAA" w:rsidP="00E8674E">
            <w:pPr>
              <w:spacing w:line="240" w:lineRule="auto"/>
              <w:rPr>
                <w:rFonts w:cs="Arial"/>
              </w:rPr>
            </w:pPr>
            <w:r w:rsidRPr="00610608">
              <w:rPr>
                <w:rFonts w:cs="Arial"/>
              </w:rPr>
              <w:t>Imunologia (3)</w:t>
            </w:r>
          </w:p>
        </w:tc>
        <w:tc>
          <w:tcPr>
            <w:tcW w:w="1710" w:type="dxa"/>
            <w:tcBorders>
              <w:top w:val="single" w:sz="6" w:space="0" w:color="000000"/>
              <w:left w:val="single" w:sz="6" w:space="0" w:color="000000"/>
              <w:bottom w:val="single" w:sz="6" w:space="0" w:color="000000"/>
              <w:right w:val="single" w:sz="6" w:space="0" w:color="000000"/>
            </w:tcBorders>
            <w:vAlign w:val="center"/>
          </w:tcPr>
          <w:p w:rsidR="00A05CAA" w:rsidRPr="00610608" w:rsidRDefault="00A05CAA" w:rsidP="00E8674E">
            <w:pPr>
              <w:spacing w:line="240" w:lineRule="auto"/>
              <w:rPr>
                <w:rFonts w:cs="Arial"/>
                <w:b/>
              </w:rPr>
            </w:pPr>
            <w:r w:rsidRPr="00610608">
              <w:rPr>
                <w:rFonts w:cs="Arial"/>
                <w:b/>
              </w:rPr>
              <w:t xml:space="preserve">Tipo </w:t>
            </w:r>
          </w:p>
        </w:tc>
        <w:tc>
          <w:tcPr>
            <w:tcW w:w="2250" w:type="dxa"/>
            <w:tcBorders>
              <w:top w:val="single" w:sz="6" w:space="0" w:color="000000"/>
              <w:left w:val="single" w:sz="6" w:space="0" w:color="000000"/>
              <w:bottom w:val="single" w:sz="6" w:space="0" w:color="000000"/>
              <w:right w:val="single" w:sz="6" w:space="0" w:color="000000"/>
            </w:tcBorders>
            <w:vAlign w:val="center"/>
          </w:tcPr>
          <w:p w:rsidR="00A05CAA" w:rsidRPr="0070097E" w:rsidRDefault="00A05CAA" w:rsidP="00E8674E">
            <w:pPr>
              <w:spacing w:line="240" w:lineRule="auto"/>
              <w:jc w:val="center"/>
              <w:rPr>
                <w:rFonts w:cs="Arial"/>
              </w:rPr>
            </w:pPr>
            <w:r w:rsidRPr="0070097E">
              <w:rPr>
                <w:rFonts w:cs="Arial"/>
              </w:rPr>
              <w:t>Teórica</w:t>
            </w:r>
          </w:p>
        </w:tc>
      </w:tr>
      <w:tr w:rsidR="00A05CAA" w:rsidRPr="00610608" w:rsidTr="00FC6E81">
        <w:trPr>
          <w:cantSplit/>
          <w:trHeight w:val="414"/>
        </w:trPr>
        <w:tc>
          <w:tcPr>
            <w:tcW w:w="1708" w:type="dxa"/>
            <w:tcBorders>
              <w:top w:val="single" w:sz="6" w:space="0" w:color="000000"/>
              <w:left w:val="single" w:sz="6" w:space="0" w:color="000000"/>
              <w:bottom w:val="single" w:sz="6" w:space="0" w:color="000000"/>
              <w:right w:val="single" w:sz="6" w:space="0" w:color="000000"/>
            </w:tcBorders>
            <w:vAlign w:val="center"/>
          </w:tcPr>
          <w:p w:rsidR="00A05CAA" w:rsidRPr="00610608" w:rsidRDefault="00A05CAA" w:rsidP="00E8674E">
            <w:pPr>
              <w:spacing w:line="240" w:lineRule="auto"/>
              <w:rPr>
                <w:rFonts w:cs="Arial"/>
                <w:b/>
              </w:rPr>
            </w:pPr>
            <w:r w:rsidRPr="00610608">
              <w:rPr>
                <w:rFonts w:cs="Arial"/>
                <w:b/>
              </w:rPr>
              <w:t>Conteúdos</w:t>
            </w:r>
          </w:p>
        </w:tc>
        <w:tc>
          <w:tcPr>
            <w:tcW w:w="4502" w:type="dxa"/>
            <w:tcBorders>
              <w:top w:val="single" w:sz="6" w:space="0" w:color="000000"/>
              <w:left w:val="single" w:sz="6" w:space="0" w:color="000000"/>
              <w:bottom w:val="single" w:sz="6" w:space="0" w:color="000000"/>
              <w:right w:val="single" w:sz="6" w:space="0" w:color="000000"/>
            </w:tcBorders>
            <w:vAlign w:val="center"/>
          </w:tcPr>
          <w:p w:rsidR="00A05CAA" w:rsidRPr="00D51901" w:rsidRDefault="00A05CAA" w:rsidP="00A05CAA">
            <w:pPr>
              <w:pStyle w:val="Heading1"/>
              <w:rPr>
                <w:b w:val="0"/>
                <w:sz w:val="22"/>
                <w:szCs w:val="22"/>
                <w:lang w:val="pt-BR"/>
              </w:rPr>
            </w:pPr>
            <w:bookmarkStart w:id="11" w:name="_Toc329099754"/>
            <w:r w:rsidRPr="00D51901">
              <w:rPr>
                <w:b w:val="0"/>
                <w:sz w:val="22"/>
                <w:szCs w:val="22"/>
                <w:lang w:val="pt-BR"/>
              </w:rPr>
              <w:t>Imunologia Clínica</w:t>
            </w:r>
            <w:bookmarkEnd w:id="11"/>
          </w:p>
        </w:tc>
        <w:tc>
          <w:tcPr>
            <w:tcW w:w="1710" w:type="dxa"/>
            <w:tcBorders>
              <w:top w:val="single" w:sz="6" w:space="0" w:color="000000"/>
              <w:left w:val="single" w:sz="6" w:space="0" w:color="000000"/>
              <w:bottom w:val="single" w:sz="6" w:space="0" w:color="000000"/>
              <w:right w:val="single" w:sz="6" w:space="0" w:color="000000"/>
            </w:tcBorders>
            <w:vAlign w:val="center"/>
          </w:tcPr>
          <w:p w:rsidR="00A05CAA" w:rsidRPr="00610608" w:rsidRDefault="00A05CAA" w:rsidP="00E8674E">
            <w:pPr>
              <w:spacing w:line="240" w:lineRule="auto"/>
              <w:rPr>
                <w:rFonts w:cs="Arial"/>
                <w:b/>
              </w:rPr>
            </w:pPr>
            <w:r w:rsidRPr="00610608">
              <w:rPr>
                <w:rFonts w:cs="Arial"/>
                <w:b/>
              </w:rPr>
              <w:t>Duração</w:t>
            </w:r>
          </w:p>
        </w:tc>
        <w:tc>
          <w:tcPr>
            <w:tcW w:w="2250" w:type="dxa"/>
            <w:tcBorders>
              <w:top w:val="single" w:sz="6" w:space="0" w:color="000000"/>
              <w:left w:val="single" w:sz="6" w:space="0" w:color="000000"/>
              <w:bottom w:val="single" w:sz="6" w:space="0" w:color="000000"/>
              <w:right w:val="single" w:sz="6" w:space="0" w:color="000000"/>
            </w:tcBorders>
            <w:vAlign w:val="center"/>
          </w:tcPr>
          <w:p w:rsidR="00A05CAA" w:rsidRPr="0070097E" w:rsidRDefault="00A05CAA" w:rsidP="00E8674E">
            <w:pPr>
              <w:spacing w:line="240" w:lineRule="auto"/>
              <w:jc w:val="center"/>
              <w:rPr>
                <w:rFonts w:cs="Arial"/>
              </w:rPr>
            </w:pPr>
            <w:r w:rsidRPr="0070097E">
              <w:rPr>
                <w:rFonts w:cs="Arial"/>
              </w:rPr>
              <w:t>2 h</w:t>
            </w:r>
          </w:p>
        </w:tc>
      </w:tr>
    </w:tbl>
    <w:p w:rsidR="00A05CAA" w:rsidRDefault="00A05CAA" w:rsidP="0070097E">
      <w:pPr>
        <w:spacing w:after="0" w:line="240" w:lineRule="auto"/>
        <w:outlineLvl w:val="0"/>
        <w:rPr>
          <w:rFonts w:cs="Arial"/>
          <w:b/>
          <w:bCs/>
          <w:lang w:val="pt-PT"/>
        </w:rPr>
      </w:pPr>
    </w:p>
    <w:p w:rsidR="00506DE0" w:rsidRPr="00610608" w:rsidRDefault="00506DE0" w:rsidP="00506DE0">
      <w:pPr>
        <w:spacing w:after="0" w:line="240" w:lineRule="auto"/>
        <w:outlineLvl w:val="0"/>
        <w:rPr>
          <w:rFonts w:cs="Arial"/>
          <w:b/>
          <w:bCs/>
          <w:lang w:val="pt-PT"/>
        </w:rPr>
      </w:pPr>
    </w:p>
    <w:p w:rsidR="00A05CAA" w:rsidRPr="0052785B" w:rsidRDefault="00A05CAA" w:rsidP="0070097E">
      <w:pPr>
        <w:ind w:left="-180"/>
        <w:rPr>
          <w:b/>
          <w:lang w:val="pt-PT"/>
        </w:rPr>
      </w:pPr>
      <w:r w:rsidRPr="0052785B">
        <w:rPr>
          <w:b/>
          <w:lang w:val="pt-PT"/>
        </w:rPr>
        <w:t>Objectivos de Aprendizagem:</w:t>
      </w:r>
    </w:p>
    <w:p w:rsidR="00A05CAA" w:rsidRPr="00610608" w:rsidRDefault="00A05CAA" w:rsidP="00A05CAA">
      <w:pPr>
        <w:spacing w:before="60"/>
        <w:jc w:val="both"/>
        <w:rPr>
          <w:rFonts w:cs="Arial"/>
          <w:lang w:val="pt-PT"/>
        </w:rPr>
      </w:pPr>
      <w:r w:rsidRPr="00610608">
        <w:rPr>
          <w:rFonts w:cs="Arial"/>
          <w:lang w:val="pt-PT"/>
        </w:rPr>
        <w:t>Até ao fim da aula os alunos devem ser capazes de:</w:t>
      </w:r>
    </w:p>
    <w:p w:rsidR="00A05CAA" w:rsidRPr="00610608" w:rsidRDefault="00A05CAA" w:rsidP="00C52E09">
      <w:pPr>
        <w:numPr>
          <w:ilvl w:val="0"/>
          <w:numId w:val="57"/>
        </w:numPr>
        <w:spacing w:before="60" w:after="0"/>
        <w:rPr>
          <w:rFonts w:cs="Arial"/>
          <w:lang w:val="pt-PT"/>
        </w:rPr>
      </w:pPr>
      <w:r w:rsidRPr="00610608">
        <w:rPr>
          <w:rFonts w:cs="Arial"/>
          <w:lang w:val="pt-PT"/>
        </w:rPr>
        <w:t>Definir auto</w:t>
      </w:r>
      <w:r>
        <w:rPr>
          <w:rFonts w:cs="Arial"/>
          <w:lang w:val="pt-PT"/>
        </w:rPr>
        <w:t>-</w:t>
      </w:r>
      <w:r w:rsidRPr="00610608">
        <w:rPr>
          <w:rFonts w:cs="Arial"/>
          <w:lang w:val="pt-PT"/>
        </w:rPr>
        <w:t>imunidade</w:t>
      </w:r>
    </w:p>
    <w:p w:rsidR="00A05CAA" w:rsidRPr="00610608" w:rsidRDefault="00A05CAA" w:rsidP="00C52E09">
      <w:pPr>
        <w:numPr>
          <w:ilvl w:val="0"/>
          <w:numId w:val="57"/>
        </w:numPr>
        <w:tabs>
          <w:tab w:val="left" w:pos="244"/>
        </w:tabs>
        <w:spacing w:before="60" w:after="0"/>
        <w:rPr>
          <w:rFonts w:cs="Arial"/>
          <w:lang w:val="pt-PT"/>
        </w:rPr>
      </w:pPr>
      <w:r>
        <w:rPr>
          <w:rFonts w:cs="Arial"/>
          <w:lang w:val="pt-PT"/>
        </w:rPr>
        <w:t xml:space="preserve">Descrever </w:t>
      </w:r>
      <w:r w:rsidRPr="00610608">
        <w:rPr>
          <w:rFonts w:cs="Arial"/>
          <w:lang w:val="pt-PT"/>
        </w:rPr>
        <w:t xml:space="preserve">resumidamente </w:t>
      </w:r>
      <w:r>
        <w:rPr>
          <w:rFonts w:cs="Arial"/>
          <w:lang w:val="pt-PT"/>
        </w:rPr>
        <w:t xml:space="preserve">as reacções de hipersensibilidade e </w:t>
      </w:r>
      <w:r w:rsidRPr="00610608">
        <w:rPr>
          <w:rFonts w:cs="Arial"/>
          <w:lang w:val="pt-PT"/>
        </w:rPr>
        <w:t>em que consiste a alergia</w:t>
      </w:r>
    </w:p>
    <w:p w:rsidR="00A05CAA" w:rsidRPr="00610608" w:rsidRDefault="00A05CAA" w:rsidP="00C52E09">
      <w:pPr>
        <w:pStyle w:val="ListParagraph"/>
        <w:numPr>
          <w:ilvl w:val="0"/>
          <w:numId w:val="57"/>
        </w:numPr>
        <w:spacing w:before="60" w:after="0"/>
        <w:contextualSpacing w:val="0"/>
        <w:jc w:val="both"/>
        <w:rPr>
          <w:rFonts w:cs="Arial"/>
          <w:lang w:val="pt-PT"/>
        </w:rPr>
      </w:pPr>
      <w:r w:rsidRPr="00610608">
        <w:rPr>
          <w:rFonts w:cs="Arial"/>
          <w:lang w:val="pt-PT"/>
        </w:rPr>
        <w:t>Definir vacina</w:t>
      </w:r>
    </w:p>
    <w:p w:rsidR="00A05CAA" w:rsidRPr="00610608" w:rsidRDefault="00A05CAA" w:rsidP="00C52E09">
      <w:pPr>
        <w:pStyle w:val="ListParagraph"/>
        <w:numPr>
          <w:ilvl w:val="0"/>
          <w:numId w:val="57"/>
        </w:numPr>
        <w:spacing w:before="60" w:after="0"/>
        <w:contextualSpacing w:val="0"/>
        <w:jc w:val="both"/>
        <w:rPr>
          <w:rFonts w:cs="Arial"/>
          <w:lang w:val="pt-PT"/>
        </w:rPr>
      </w:pPr>
      <w:r w:rsidRPr="00610608">
        <w:rPr>
          <w:rFonts w:cs="Arial"/>
          <w:lang w:val="pt-PT"/>
        </w:rPr>
        <w:t>Explicar o mecanismo de acção das vacinas</w:t>
      </w:r>
    </w:p>
    <w:p w:rsidR="00A05CAA" w:rsidRPr="00610608" w:rsidRDefault="00A05CAA" w:rsidP="00C52E09">
      <w:pPr>
        <w:pStyle w:val="ListParagraph"/>
        <w:numPr>
          <w:ilvl w:val="0"/>
          <w:numId w:val="57"/>
        </w:numPr>
        <w:spacing w:before="60" w:after="0"/>
        <w:contextualSpacing w:val="0"/>
        <w:jc w:val="both"/>
        <w:rPr>
          <w:rFonts w:cs="Arial"/>
          <w:lang w:val="pt-PT"/>
        </w:rPr>
      </w:pPr>
      <w:r w:rsidRPr="00610608">
        <w:rPr>
          <w:rFonts w:cs="Arial"/>
          <w:lang w:val="pt-PT"/>
        </w:rPr>
        <w:t>Descrever os objectivos de uma vacina</w:t>
      </w:r>
    </w:p>
    <w:p w:rsidR="00A05CAA" w:rsidRPr="00610608" w:rsidRDefault="00A05CAA" w:rsidP="00C52E09">
      <w:pPr>
        <w:pStyle w:val="ListParagraph"/>
        <w:numPr>
          <w:ilvl w:val="0"/>
          <w:numId w:val="57"/>
        </w:numPr>
        <w:spacing w:before="60" w:after="0"/>
        <w:contextualSpacing w:val="0"/>
        <w:jc w:val="both"/>
        <w:rPr>
          <w:rFonts w:cs="Arial"/>
          <w:lang w:val="pt-PT"/>
        </w:rPr>
      </w:pPr>
      <w:r w:rsidRPr="00610608">
        <w:rPr>
          <w:rFonts w:cs="Arial"/>
          <w:lang w:val="pt-PT"/>
        </w:rPr>
        <w:t>Descr</w:t>
      </w:r>
      <w:r>
        <w:rPr>
          <w:rFonts w:cs="Arial"/>
          <w:lang w:val="pt-PT"/>
        </w:rPr>
        <w:t>e</w:t>
      </w:r>
      <w:r w:rsidRPr="00610608">
        <w:rPr>
          <w:rFonts w:cs="Arial"/>
          <w:lang w:val="pt-PT"/>
        </w:rPr>
        <w:t>ver os tipos de vacinas</w:t>
      </w:r>
    </w:p>
    <w:p w:rsidR="00A05CAA" w:rsidRPr="00610608" w:rsidRDefault="00A05CAA" w:rsidP="00C52E09">
      <w:pPr>
        <w:pStyle w:val="ListParagraph"/>
        <w:numPr>
          <w:ilvl w:val="0"/>
          <w:numId w:val="57"/>
        </w:numPr>
        <w:spacing w:before="60" w:after="0"/>
        <w:contextualSpacing w:val="0"/>
        <w:jc w:val="both"/>
        <w:rPr>
          <w:rFonts w:cs="Arial"/>
          <w:lang w:val="pt-PT"/>
        </w:rPr>
      </w:pPr>
      <w:r w:rsidRPr="00610608">
        <w:rPr>
          <w:rFonts w:cs="Arial"/>
          <w:lang w:val="pt-PT"/>
        </w:rPr>
        <w:t>Listar as principais imunodeficiências no ser humano, incluindo a infecção por HIV</w:t>
      </w:r>
    </w:p>
    <w:p w:rsidR="00A05CAA" w:rsidRPr="00610608" w:rsidRDefault="00A05CAA" w:rsidP="0070097E">
      <w:pPr>
        <w:tabs>
          <w:tab w:val="left" w:pos="244"/>
        </w:tabs>
        <w:spacing w:line="240" w:lineRule="auto"/>
        <w:rPr>
          <w:rFonts w:cs="Arial"/>
          <w:lang w:val="pt-PT"/>
        </w:rPr>
      </w:pPr>
    </w:p>
    <w:p w:rsidR="00A05CAA" w:rsidRPr="0052785B" w:rsidRDefault="00A05CAA" w:rsidP="0052785B">
      <w:pPr>
        <w:rPr>
          <w:b/>
        </w:rPr>
      </w:pPr>
      <w:r w:rsidRPr="0052785B">
        <w:rPr>
          <w:b/>
        </w:rPr>
        <w:t>Estrutura da Aula</w:t>
      </w:r>
    </w:p>
    <w:tbl>
      <w:tblPr>
        <w:tblW w:w="10278" w:type="dxa"/>
        <w:tblBorders>
          <w:top w:val="single" w:sz="18" w:space="0" w:color="auto"/>
          <w:bottom w:val="single" w:sz="18" w:space="0" w:color="auto"/>
        </w:tblBorders>
        <w:tblLayout w:type="fixed"/>
        <w:tblLook w:val="0400" w:firstRow="0" w:lastRow="0" w:firstColumn="0" w:lastColumn="0" w:noHBand="0" w:noVBand="1"/>
      </w:tblPr>
      <w:tblGrid>
        <w:gridCol w:w="738"/>
        <w:gridCol w:w="3690"/>
        <w:gridCol w:w="4230"/>
        <w:gridCol w:w="1620"/>
      </w:tblGrid>
      <w:tr w:rsidR="00A05CAA" w:rsidRPr="00E229A9" w:rsidTr="00FC6E81">
        <w:trPr>
          <w:trHeight w:val="490"/>
        </w:trPr>
        <w:tc>
          <w:tcPr>
            <w:tcW w:w="738" w:type="dxa"/>
            <w:tcBorders>
              <w:top w:val="single" w:sz="18" w:space="0" w:color="auto"/>
              <w:bottom w:val="single" w:sz="18" w:space="0" w:color="auto"/>
              <w:right w:val="single" w:sz="4" w:space="0" w:color="auto"/>
            </w:tcBorders>
            <w:shd w:val="clear" w:color="auto" w:fill="B8CCE4"/>
          </w:tcPr>
          <w:p w:rsidR="00A05CAA" w:rsidRPr="00E229A9" w:rsidRDefault="00A05CAA" w:rsidP="00E8674E">
            <w:pPr>
              <w:spacing w:before="60" w:after="60" w:line="360" w:lineRule="auto"/>
              <w:ind w:left="-110" w:right="-108"/>
              <w:jc w:val="center"/>
              <w:rPr>
                <w:rFonts w:cs="Arial"/>
                <w:b/>
                <w:sz w:val="20"/>
                <w:szCs w:val="20"/>
                <w:lang w:val="pt-PT"/>
              </w:rPr>
            </w:pPr>
            <w:r w:rsidRPr="00E229A9">
              <w:rPr>
                <w:rFonts w:cs="Arial"/>
                <w:b/>
                <w:sz w:val="20"/>
                <w:szCs w:val="20"/>
                <w:lang w:val="pt-PT"/>
              </w:rPr>
              <w:t>Bloco</w:t>
            </w:r>
          </w:p>
        </w:tc>
        <w:tc>
          <w:tcPr>
            <w:tcW w:w="3690" w:type="dxa"/>
            <w:tcBorders>
              <w:top w:val="single" w:sz="18" w:space="0" w:color="auto"/>
              <w:left w:val="single" w:sz="4" w:space="0" w:color="auto"/>
              <w:bottom w:val="single" w:sz="18" w:space="0" w:color="auto"/>
              <w:right w:val="single" w:sz="4" w:space="0" w:color="auto"/>
            </w:tcBorders>
            <w:shd w:val="clear" w:color="auto" w:fill="B8CCE4"/>
          </w:tcPr>
          <w:p w:rsidR="00A05CAA" w:rsidRPr="00E229A9" w:rsidRDefault="00A05CAA" w:rsidP="00E8674E">
            <w:pPr>
              <w:spacing w:before="60" w:after="60" w:line="360" w:lineRule="auto"/>
              <w:jc w:val="center"/>
              <w:rPr>
                <w:rFonts w:cs="Arial"/>
                <w:b/>
                <w:sz w:val="20"/>
                <w:szCs w:val="20"/>
                <w:lang w:val="pt-PT"/>
              </w:rPr>
            </w:pPr>
            <w:r w:rsidRPr="00E229A9">
              <w:rPr>
                <w:rFonts w:cs="Arial"/>
                <w:b/>
                <w:sz w:val="20"/>
                <w:szCs w:val="20"/>
                <w:lang w:val="pt-PT"/>
              </w:rPr>
              <w:t>Título do Bloco</w:t>
            </w:r>
          </w:p>
        </w:tc>
        <w:tc>
          <w:tcPr>
            <w:tcW w:w="4230" w:type="dxa"/>
            <w:tcBorders>
              <w:top w:val="single" w:sz="18" w:space="0" w:color="auto"/>
              <w:left w:val="single" w:sz="4" w:space="0" w:color="auto"/>
              <w:bottom w:val="single" w:sz="18" w:space="0" w:color="auto"/>
              <w:right w:val="single" w:sz="4" w:space="0" w:color="auto"/>
            </w:tcBorders>
            <w:shd w:val="clear" w:color="auto" w:fill="B8CCE4"/>
          </w:tcPr>
          <w:p w:rsidR="00A05CAA" w:rsidRPr="00E229A9" w:rsidRDefault="00A05CAA" w:rsidP="00E8674E">
            <w:pPr>
              <w:tabs>
                <w:tab w:val="left" w:pos="244"/>
              </w:tabs>
              <w:spacing w:before="60" w:after="60" w:line="360" w:lineRule="auto"/>
              <w:jc w:val="center"/>
              <w:rPr>
                <w:rFonts w:cs="Arial"/>
                <w:b/>
                <w:sz w:val="20"/>
                <w:szCs w:val="20"/>
                <w:lang w:val="pt-BR"/>
              </w:rPr>
            </w:pPr>
            <w:r w:rsidRPr="00E229A9">
              <w:rPr>
                <w:rFonts w:cs="Arial"/>
                <w:b/>
                <w:sz w:val="20"/>
                <w:szCs w:val="20"/>
                <w:lang w:val="pt-PT"/>
              </w:rPr>
              <w:t>M</w:t>
            </w:r>
            <w:r w:rsidRPr="00E229A9">
              <w:rPr>
                <w:rFonts w:cs="Arial"/>
                <w:b/>
                <w:sz w:val="20"/>
                <w:szCs w:val="20"/>
                <w:lang w:val="pt-BR"/>
              </w:rPr>
              <w:t>étodo de Ensino</w:t>
            </w:r>
          </w:p>
        </w:tc>
        <w:tc>
          <w:tcPr>
            <w:tcW w:w="1620" w:type="dxa"/>
            <w:tcBorders>
              <w:top w:val="single" w:sz="18" w:space="0" w:color="auto"/>
              <w:left w:val="single" w:sz="4" w:space="0" w:color="auto"/>
              <w:bottom w:val="single" w:sz="18" w:space="0" w:color="auto"/>
            </w:tcBorders>
            <w:shd w:val="clear" w:color="auto" w:fill="B8CCE4"/>
          </w:tcPr>
          <w:p w:rsidR="00A05CAA" w:rsidRPr="00E229A9" w:rsidRDefault="00A05CAA" w:rsidP="00E8674E">
            <w:pPr>
              <w:tabs>
                <w:tab w:val="left" w:pos="244"/>
              </w:tabs>
              <w:spacing w:before="60" w:after="60" w:line="360" w:lineRule="auto"/>
              <w:jc w:val="center"/>
              <w:rPr>
                <w:rFonts w:cs="Arial"/>
                <w:b/>
                <w:sz w:val="20"/>
                <w:szCs w:val="20"/>
                <w:lang w:val="pt-BR"/>
              </w:rPr>
            </w:pPr>
            <w:r w:rsidRPr="00E229A9">
              <w:rPr>
                <w:rFonts w:cs="Arial"/>
                <w:b/>
                <w:sz w:val="20"/>
                <w:szCs w:val="20"/>
                <w:lang w:val="pt-PT"/>
              </w:rPr>
              <w:t>Duração</w:t>
            </w:r>
          </w:p>
        </w:tc>
      </w:tr>
      <w:tr w:rsidR="00A05CAA" w:rsidRPr="00E229A9" w:rsidTr="00FC6E81">
        <w:tc>
          <w:tcPr>
            <w:tcW w:w="738" w:type="dxa"/>
            <w:tcBorders>
              <w:top w:val="single" w:sz="18" w:space="0" w:color="auto"/>
              <w:bottom w:val="single" w:sz="4" w:space="0" w:color="auto"/>
              <w:right w:val="single" w:sz="4" w:space="0" w:color="auto"/>
            </w:tcBorders>
            <w:shd w:val="clear" w:color="auto" w:fill="FFFFFF"/>
          </w:tcPr>
          <w:p w:rsidR="00A05CAA" w:rsidRPr="00E229A9" w:rsidRDefault="00A05CAA" w:rsidP="00E8674E">
            <w:pPr>
              <w:spacing w:before="60" w:after="60" w:line="360" w:lineRule="auto"/>
              <w:ind w:left="-110" w:right="-108"/>
              <w:jc w:val="center"/>
              <w:rPr>
                <w:rFonts w:cs="Arial"/>
                <w:sz w:val="20"/>
                <w:szCs w:val="20"/>
                <w:lang w:val="pt-PT"/>
              </w:rPr>
            </w:pPr>
            <w:r w:rsidRPr="00E229A9">
              <w:rPr>
                <w:rFonts w:cs="Arial"/>
                <w:sz w:val="20"/>
                <w:szCs w:val="20"/>
                <w:lang w:val="pt-PT"/>
              </w:rPr>
              <w:t>1</w:t>
            </w:r>
          </w:p>
        </w:tc>
        <w:tc>
          <w:tcPr>
            <w:tcW w:w="3690" w:type="dxa"/>
            <w:tcBorders>
              <w:top w:val="single" w:sz="18" w:space="0" w:color="auto"/>
              <w:left w:val="single" w:sz="4" w:space="0" w:color="auto"/>
              <w:bottom w:val="single" w:sz="4" w:space="0" w:color="auto"/>
              <w:right w:val="single" w:sz="4" w:space="0" w:color="auto"/>
            </w:tcBorders>
            <w:shd w:val="clear" w:color="auto" w:fill="FFFFFF"/>
          </w:tcPr>
          <w:p w:rsidR="00A05CAA" w:rsidRPr="00E229A9" w:rsidRDefault="00A05CAA" w:rsidP="00E8674E">
            <w:pPr>
              <w:tabs>
                <w:tab w:val="left" w:pos="244"/>
              </w:tabs>
              <w:spacing w:before="60" w:after="60" w:line="480" w:lineRule="auto"/>
              <w:rPr>
                <w:rFonts w:cs="Arial"/>
                <w:sz w:val="20"/>
                <w:szCs w:val="20"/>
              </w:rPr>
            </w:pPr>
            <w:r w:rsidRPr="00E229A9">
              <w:rPr>
                <w:rFonts w:cs="Arial"/>
                <w:sz w:val="20"/>
                <w:szCs w:val="20"/>
              </w:rPr>
              <w:t>Introdução à Aula</w:t>
            </w:r>
          </w:p>
          <w:p w:rsidR="00A05CAA" w:rsidRPr="00E229A9" w:rsidRDefault="00A05CAA" w:rsidP="00E8674E">
            <w:pPr>
              <w:spacing w:before="60" w:after="60" w:line="360" w:lineRule="auto"/>
              <w:ind w:left="270" w:hanging="270"/>
              <w:jc w:val="both"/>
              <w:rPr>
                <w:rFonts w:cs="Arial"/>
                <w:sz w:val="20"/>
                <w:szCs w:val="20"/>
                <w:lang w:val="pt-PT"/>
              </w:rPr>
            </w:pPr>
          </w:p>
        </w:tc>
        <w:tc>
          <w:tcPr>
            <w:tcW w:w="4230" w:type="dxa"/>
            <w:tcBorders>
              <w:top w:val="single" w:sz="18" w:space="0" w:color="auto"/>
              <w:left w:val="single" w:sz="4" w:space="0" w:color="auto"/>
              <w:bottom w:val="single" w:sz="4" w:space="0" w:color="auto"/>
              <w:right w:val="single" w:sz="4" w:space="0" w:color="auto"/>
            </w:tcBorders>
            <w:shd w:val="clear" w:color="auto" w:fill="FFFFFF"/>
          </w:tcPr>
          <w:p w:rsidR="00A05CAA" w:rsidRPr="00E229A9" w:rsidRDefault="00A05CAA" w:rsidP="00E8674E">
            <w:pPr>
              <w:tabs>
                <w:tab w:val="left" w:pos="244"/>
              </w:tabs>
              <w:spacing w:before="60" w:after="60" w:line="360" w:lineRule="auto"/>
              <w:jc w:val="both"/>
              <w:rPr>
                <w:rFonts w:cs="Arial"/>
                <w:sz w:val="20"/>
                <w:szCs w:val="20"/>
                <w:lang w:val="pt-PT"/>
              </w:rPr>
            </w:pPr>
          </w:p>
          <w:p w:rsidR="00A05CAA" w:rsidRPr="00E229A9" w:rsidRDefault="00A05CAA" w:rsidP="00E8674E">
            <w:pPr>
              <w:tabs>
                <w:tab w:val="left" w:pos="244"/>
              </w:tabs>
              <w:spacing w:before="60" w:after="60" w:line="360" w:lineRule="auto"/>
              <w:jc w:val="both"/>
              <w:rPr>
                <w:rFonts w:cs="Arial"/>
                <w:sz w:val="20"/>
                <w:szCs w:val="20"/>
                <w:lang w:val="pt-PT"/>
              </w:rPr>
            </w:pPr>
          </w:p>
        </w:tc>
        <w:tc>
          <w:tcPr>
            <w:tcW w:w="1620" w:type="dxa"/>
            <w:tcBorders>
              <w:top w:val="single" w:sz="18" w:space="0" w:color="auto"/>
              <w:left w:val="single" w:sz="4" w:space="0" w:color="auto"/>
              <w:bottom w:val="single" w:sz="4" w:space="0" w:color="auto"/>
            </w:tcBorders>
            <w:shd w:val="clear" w:color="auto" w:fill="FFFFFF"/>
          </w:tcPr>
          <w:p w:rsidR="00A05CAA" w:rsidRPr="00E229A9" w:rsidRDefault="00A05CAA" w:rsidP="00E8674E">
            <w:pPr>
              <w:tabs>
                <w:tab w:val="left" w:pos="244"/>
              </w:tabs>
              <w:spacing w:before="60" w:after="60" w:line="360" w:lineRule="auto"/>
              <w:jc w:val="both"/>
              <w:rPr>
                <w:rFonts w:cs="Arial"/>
                <w:sz w:val="20"/>
                <w:szCs w:val="20"/>
                <w:lang w:val="pt-PT"/>
              </w:rPr>
            </w:pPr>
          </w:p>
        </w:tc>
      </w:tr>
      <w:tr w:rsidR="00A05CAA" w:rsidRPr="00E229A9" w:rsidTr="00FC6E81">
        <w:tc>
          <w:tcPr>
            <w:tcW w:w="738" w:type="dxa"/>
            <w:tcBorders>
              <w:top w:val="single" w:sz="4" w:space="0" w:color="auto"/>
              <w:bottom w:val="single" w:sz="4" w:space="0" w:color="auto"/>
              <w:right w:val="single" w:sz="4" w:space="0" w:color="auto"/>
            </w:tcBorders>
            <w:shd w:val="clear" w:color="auto" w:fill="D9D9D9"/>
          </w:tcPr>
          <w:p w:rsidR="00A05CAA" w:rsidRPr="00E229A9" w:rsidRDefault="00A05CAA" w:rsidP="00E8674E">
            <w:pPr>
              <w:spacing w:before="60" w:after="60" w:line="360" w:lineRule="auto"/>
              <w:ind w:left="-110" w:right="-108"/>
              <w:jc w:val="center"/>
              <w:rPr>
                <w:rFonts w:cs="Arial"/>
                <w:sz w:val="20"/>
                <w:szCs w:val="20"/>
                <w:lang w:val="pt-PT"/>
              </w:rPr>
            </w:pPr>
            <w:r w:rsidRPr="00E229A9">
              <w:rPr>
                <w:rFonts w:cs="Arial"/>
                <w:sz w:val="20"/>
                <w:szCs w:val="20"/>
                <w:lang w:val="pt-PT"/>
              </w:rPr>
              <w:t>2</w:t>
            </w:r>
          </w:p>
        </w:tc>
        <w:tc>
          <w:tcPr>
            <w:tcW w:w="3690" w:type="dxa"/>
            <w:tcBorders>
              <w:top w:val="single" w:sz="4" w:space="0" w:color="auto"/>
              <w:left w:val="single" w:sz="4" w:space="0" w:color="auto"/>
              <w:bottom w:val="single" w:sz="4" w:space="0" w:color="auto"/>
              <w:right w:val="single" w:sz="4" w:space="0" w:color="auto"/>
            </w:tcBorders>
            <w:shd w:val="clear" w:color="auto" w:fill="D9D9D9"/>
          </w:tcPr>
          <w:p w:rsidR="00A05CAA" w:rsidRPr="00E229A9" w:rsidRDefault="00A05CAA" w:rsidP="00E8674E">
            <w:pPr>
              <w:spacing w:before="60" w:after="60" w:line="360" w:lineRule="auto"/>
              <w:ind w:left="270" w:hanging="270"/>
              <w:jc w:val="both"/>
              <w:rPr>
                <w:rFonts w:cs="Arial"/>
                <w:sz w:val="20"/>
                <w:szCs w:val="20"/>
                <w:lang w:val="pt-PT"/>
              </w:rPr>
            </w:pPr>
            <w:r w:rsidRPr="00E229A9">
              <w:rPr>
                <w:rFonts w:cs="Arial"/>
                <w:sz w:val="20"/>
                <w:szCs w:val="20"/>
              </w:rPr>
              <w:t>Autoimunidade e Hipersensibilidade</w:t>
            </w:r>
          </w:p>
        </w:tc>
        <w:tc>
          <w:tcPr>
            <w:tcW w:w="4230" w:type="dxa"/>
            <w:tcBorders>
              <w:top w:val="single" w:sz="4" w:space="0" w:color="auto"/>
              <w:left w:val="single" w:sz="4" w:space="0" w:color="auto"/>
              <w:bottom w:val="single" w:sz="4" w:space="0" w:color="auto"/>
              <w:right w:val="single" w:sz="4" w:space="0" w:color="auto"/>
            </w:tcBorders>
            <w:shd w:val="clear" w:color="auto" w:fill="D9D9D9"/>
          </w:tcPr>
          <w:p w:rsidR="00A05CAA" w:rsidRPr="00E229A9" w:rsidRDefault="00A05CAA" w:rsidP="00E8674E">
            <w:pPr>
              <w:tabs>
                <w:tab w:val="left" w:pos="244"/>
              </w:tabs>
              <w:spacing w:before="60" w:after="60" w:line="360" w:lineRule="auto"/>
              <w:jc w:val="both"/>
              <w:rPr>
                <w:rFonts w:cs="Arial"/>
                <w:sz w:val="20"/>
                <w:szCs w:val="20"/>
                <w:lang w:val="pt-PT"/>
              </w:rPr>
            </w:pPr>
          </w:p>
          <w:p w:rsidR="00A05CAA" w:rsidRPr="00E229A9" w:rsidRDefault="00A05CAA" w:rsidP="00E8674E">
            <w:pPr>
              <w:tabs>
                <w:tab w:val="left" w:pos="244"/>
              </w:tabs>
              <w:spacing w:before="60" w:after="60" w:line="360" w:lineRule="auto"/>
              <w:jc w:val="both"/>
              <w:rPr>
                <w:rFonts w:cs="Arial"/>
                <w:sz w:val="20"/>
                <w:szCs w:val="20"/>
                <w:lang w:val="pt-PT"/>
              </w:rPr>
            </w:pPr>
          </w:p>
        </w:tc>
        <w:tc>
          <w:tcPr>
            <w:tcW w:w="1620" w:type="dxa"/>
            <w:tcBorders>
              <w:top w:val="single" w:sz="4" w:space="0" w:color="auto"/>
              <w:left w:val="single" w:sz="4" w:space="0" w:color="auto"/>
              <w:bottom w:val="single" w:sz="4" w:space="0" w:color="auto"/>
            </w:tcBorders>
            <w:shd w:val="clear" w:color="auto" w:fill="D9D9D9"/>
          </w:tcPr>
          <w:p w:rsidR="00A05CAA" w:rsidRPr="00E229A9" w:rsidRDefault="00A05CAA" w:rsidP="00E8674E">
            <w:pPr>
              <w:tabs>
                <w:tab w:val="left" w:pos="244"/>
              </w:tabs>
              <w:spacing w:before="60" w:after="60" w:line="360" w:lineRule="auto"/>
              <w:jc w:val="both"/>
              <w:rPr>
                <w:rFonts w:cs="Arial"/>
                <w:sz w:val="20"/>
                <w:szCs w:val="20"/>
                <w:lang w:val="pt-PT"/>
              </w:rPr>
            </w:pPr>
          </w:p>
        </w:tc>
      </w:tr>
      <w:tr w:rsidR="00A05CAA" w:rsidRPr="00E229A9" w:rsidTr="00FC6E81">
        <w:tc>
          <w:tcPr>
            <w:tcW w:w="738" w:type="dxa"/>
            <w:tcBorders>
              <w:top w:val="single" w:sz="4" w:space="0" w:color="auto"/>
              <w:bottom w:val="single" w:sz="4" w:space="0" w:color="auto"/>
              <w:right w:val="single" w:sz="4" w:space="0" w:color="auto"/>
            </w:tcBorders>
          </w:tcPr>
          <w:p w:rsidR="00A05CAA" w:rsidRPr="00E229A9" w:rsidRDefault="00A05CAA" w:rsidP="00E8674E">
            <w:pPr>
              <w:spacing w:before="60" w:after="60" w:line="360" w:lineRule="auto"/>
              <w:ind w:left="-110" w:right="-108"/>
              <w:jc w:val="center"/>
              <w:rPr>
                <w:rFonts w:cs="Arial"/>
                <w:sz w:val="20"/>
                <w:szCs w:val="20"/>
                <w:lang w:val="pt-PT"/>
              </w:rPr>
            </w:pPr>
            <w:r w:rsidRPr="00E229A9">
              <w:rPr>
                <w:rFonts w:cs="Arial"/>
                <w:sz w:val="20"/>
                <w:szCs w:val="20"/>
                <w:lang w:val="pt-PT"/>
              </w:rPr>
              <w:t>3</w:t>
            </w:r>
          </w:p>
        </w:tc>
        <w:tc>
          <w:tcPr>
            <w:tcW w:w="3690" w:type="dxa"/>
            <w:tcBorders>
              <w:top w:val="single" w:sz="4" w:space="0" w:color="auto"/>
              <w:left w:val="single" w:sz="4" w:space="0" w:color="auto"/>
              <w:bottom w:val="single" w:sz="4" w:space="0" w:color="auto"/>
              <w:right w:val="single" w:sz="4" w:space="0" w:color="auto"/>
            </w:tcBorders>
          </w:tcPr>
          <w:p w:rsidR="00A05CAA" w:rsidRPr="00E229A9" w:rsidRDefault="00A05CAA" w:rsidP="00E8674E">
            <w:pPr>
              <w:spacing w:before="60" w:after="60" w:line="480" w:lineRule="auto"/>
              <w:rPr>
                <w:rFonts w:cs="Arial"/>
                <w:color w:val="000000"/>
                <w:sz w:val="20"/>
                <w:szCs w:val="20"/>
                <w:lang w:val="pt-PT"/>
              </w:rPr>
            </w:pPr>
            <w:r w:rsidRPr="00E229A9">
              <w:rPr>
                <w:rFonts w:cs="Arial"/>
                <w:color w:val="000000"/>
                <w:sz w:val="20"/>
                <w:szCs w:val="20"/>
                <w:lang w:val="pt-PT"/>
              </w:rPr>
              <w:t>Vacinas</w:t>
            </w:r>
          </w:p>
          <w:p w:rsidR="00A05CAA" w:rsidRPr="00E229A9" w:rsidRDefault="00A05CAA" w:rsidP="00E8674E">
            <w:pPr>
              <w:spacing w:before="60" w:after="60" w:line="360" w:lineRule="auto"/>
              <w:jc w:val="both"/>
              <w:rPr>
                <w:rFonts w:cs="Arial"/>
                <w:sz w:val="20"/>
                <w:szCs w:val="20"/>
                <w:lang w:val="pt-PT"/>
              </w:rPr>
            </w:pPr>
          </w:p>
        </w:tc>
        <w:tc>
          <w:tcPr>
            <w:tcW w:w="4230" w:type="dxa"/>
            <w:tcBorders>
              <w:top w:val="single" w:sz="4" w:space="0" w:color="auto"/>
              <w:left w:val="single" w:sz="4" w:space="0" w:color="auto"/>
              <w:bottom w:val="single" w:sz="4" w:space="0" w:color="auto"/>
              <w:right w:val="single" w:sz="4" w:space="0" w:color="auto"/>
            </w:tcBorders>
          </w:tcPr>
          <w:p w:rsidR="00A05CAA" w:rsidRPr="00E229A9" w:rsidRDefault="00A05CAA" w:rsidP="00E8674E">
            <w:pPr>
              <w:tabs>
                <w:tab w:val="left" w:pos="244"/>
              </w:tabs>
              <w:spacing w:before="60" w:after="60" w:line="360" w:lineRule="auto"/>
              <w:jc w:val="both"/>
              <w:rPr>
                <w:rFonts w:cs="Arial"/>
                <w:sz w:val="20"/>
                <w:szCs w:val="20"/>
                <w:lang w:val="pt-PT"/>
              </w:rPr>
            </w:pPr>
          </w:p>
        </w:tc>
        <w:tc>
          <w:tcPr>
            <w:tcW w:w="1620" w:type="dxa"/>
            <w:tcBorders>
              <w:top w:val="single" w:sz="4" w:space="0" w:color="auto"/>
              <w:left w:val="single" w:sz="4" w:space="0" w:color="auto"/>
              <w:bottom w:val="single" w:sz="4" w:space="0" w:color="auto"/>
            </w:tcBorders>
          </w:tcPr>
          <w:p w:rsidR="00A05CAA" w:rsidRPr="00E229A9" w:rsidRDefault="00A05CAA" w:rsidP="00E8674E">
            <w:pPr>
              <w:tabs>
                <w:tab w:val="left" w:pos="244"/>
              </w:tabs>
              <w:spacing w:before="60" w:after="60" w:line="360" w:lineRule="auto"/>
              <w:jc w:val="both"/>
              <w:rPr>
                <w:rFonts w:cs="Arial"/>
                <w:sz w:val="20"/>
                <w:szCs w:val="20"/>
                <w:lang w:val="pt-PT"/>
              </w:rPr>
            </w:pPr>
          </w:p>
        </w:tc>
      </w:tr>
      <w:tr w:rsidR="00A05CAA" w:rsidRPr="00E229A9" w:rsidTr="00FC6E81">
        <w:tc>
          <w:tcPr>
            <w:tcW w:w="738" w:type="dxa"/>
            <w:tcBorders>
              <w:top w:val="single" w:sz="4" w:space="0" w:color="auto"/>
              <w:bottom w:val="single" w:sz="4" w:space="0" w:color="auto"/>
              <w:right w:val="single" w:sz="4" w:space="0" w:color="auto"/>
            </w:tcBorders>
            <w:shd w:val="clear" w:color="auto" w:fill="D8D8D8"/>
          </w:tcPr>
          <w:p w:rsidR="00A05CAA" w:rsidRPr="00E229A9" w:rsidRDefault="00A05CAA" w:rsidP="00E8674E">
            <w:pPr>
              <w:spacing w:before="60" w:after="60" w:line="360" w:lineRule="auto"/>
              <w:ind w:left="-110" w:right="-108"/>
              <w:jc w:val="center"/>
              <w:rPr>
                <w:rFonts w:cs="Arial"/>
                <w:sz w:val="20"/>
                <w:szCs w:val="20"/>
                <w:lang w:val="pt-PT"/>
              </w:rPr>
            </w:pPr>
            <w:r w:rsidRPr="00E229A9">
              <w:rPr>
                <w:rFonts w:cs="Arial"/>
                <w:sz w:val="20"/>
                <w:szCs w:val="20"/>
                <w:lang w:val="pt-PT"/>
              </w:rPr>
              <w:t>4</w:t>
            </w:r>
          </w:p>
        </w:tc>
        <w:tc>
          <w:tcPr>
            <w:tcW w:w="3690" w:type="dxa"/>
            <w:tcBorders>
              <w:top w:val="single" w:sz="4" w:space="0" w:color="auto"/>
              <w:left w:val="single" w:sz="4" w:space="0" w:color="auto"/>
              <w:bottom w:val="single" w:sz="4" w:space="0" w:color="auto"/>
              <w:right w:val="single" w:sz="4" w:space="0" w:color="auto"/>
            </w:tcBorders>
            <w:shd w:val="clear" w:color="auto" w:fill="D8D8D8"/>
          </w:tcPr>
          <w:p w:rsidR="00A05CAA" w:rsidRPr="00E229A9" w:rsidRDefault="00A05CAA" w:rsidP="00E8674E">
            <w:pPr>
              <w:spacing w:before="60" w:after="60" w:line="480" w:lineRule="auto"/>
              <w:rPr>
                <w:rFonts w:cs="Arial"/>
                <w:iCs/>
                <w:color w:val="000000"/>
                <w:sz w:val="20"/>
                <w:szCs w:val="20"/>
                <w:lang w:val="pt-PT"/>
              </w:rPr>
            </w:pPr>
            <w:r w:rsidRPr="00E229A9">
              <w:rPr>
                <w:rFonts w:cs="Arial"/>
                <w:iCs/>
                <w:color w:val="000000"/>
                <w:sz w:val="20"/>
                <w:szCs w:val="20"/>
                <w:lang w:val="pt-PT"/>
              </w:rPr>
              <w:t>Imunodeficiências</w:t>
            </w:r>
          </w:p>
          <w:p w:rsidR="00A05CAA" w:rsidRPr="00E229A9" w:rsidRDefault="00A05CAA" w:rsidP="00E8674E">
            <w:pPr>
              <w:spacing w:before="60" w:after="60" w:line="360" w:lineRule="auto"/>
              <w:ind w:left="-18" w:firstLine="18"/>
              <w:jc w:val="both"/>
              <w:rPr>
                <w:rFonts w:cs="Arial"/>
                <w:sz w:val="20"/>
                <w:szCs w:val="20"/>
                <w:lang w:val="pt-PT"/>
              </w:rPr>
            </w:pPr>
          </w:p>
        </w:tc>
        <w:tc>
          <w:tcPr>
            <w:tcW w:w="4230" w:type="dxa"/>
            <w:tcBorders>
              <w:top w:val="single" w:sz="4" w:space="0" w:color="auto"/>
              <w:left w:val="single" w:sz="4" w:space="0" w:color="auto"/>
              <w:bottom w:val="single" w:sz="4" w:space="0" w:color="auto"/>
              <w:right w:val="single" w:sz="4" w:space="0" w:color="auto"/>
            </w:tcBorders>
            <w:shd w:val="clear" w:color="auto" w:fill="D8D8D8"/>
          </w:tcPr>
          <w:p w:rsidR="00A05CAA" w:rsidRPr="00E229A9" w:rsidRDefault="00A05CAA" w:rsidP="00E8674E">
            <w:pPr>
              <w:spacing w:before="60" w:after="60" w:line="360" w:lineRule="auto"/>
              <w:ind w:left="-18" w:firstLine="18"/>
              <w:jc w:val="both"/>
              <w:rPr>
                <w:rFonts w:cs="Arial"/>
                <w:sz w:val="20"/>
                <w:szCs w:val="20"/>
                <w:lang w:val="pt-PT"/>
              </w:rPr>
            </w:pPr>
          </w:p>
          <w:p w:rsidR="00A05CAA" w:rsidRPr="00E229A9" w:rsidRDefault="00A05CAA" w:rsidP="00E8674E">
            <w:pPr>
              <w:spacing w:before="60" w:after="60" w:line="360" w:lineRule="auto"/>
              <w:ind w:left="-18" w:firstLine="18"/>
              <w:jc w:val="both"/>
              <w:rPr>
                <w:rFonts w:cs="Arial"/>
                <w:sz w:val="20"/>
                <w:szCs w:val="20"/>
                <w:lang w:val="pt-PT"/>
              </w:rPr>
            </w:pPr>
          </w:p>
        </w:tc>
        <w:tc>
          <w:tcPr>
            <w:tcW w:w="1620" w:type="dxa"/>
            <w:tcBorders>
              <w:top w:val="single" w:sz="4" w:space="0" w:color="auto"/>
              <w:left w:val="single" w:sz="4" w:space="0" w:color="auto"/>
              <w:bottom w:val="single" w:sz="4" w:space="0" w:color="auto"/>
            </w:tcBorders>
            <w:shd w:val="clear" w:color="auto" w:fill="D8D8D8"/>
          </w:tcPr>
          <w:p w:rsidR="00A05CAA" w:rsidRPr="00E229A9" w:rsidRDefault="00A05CAA" w:rsidP="00E8674E">
            <w:pPr>
              <w:spacing w:before="60" w:after="60" w:line="360" w:lineRule="auto"/>
              <w:ind w:left="-18" w:firstLine="18"/>
              <w:jc w:val="both"/>
              <w:rPr>
                <w:rFonts w:cs="Arial"/>
                <w:sz w:val="20"/>
                <w:szCs w:val="20"/>
                <w:lang w:val="pt-PT"/>
              </w:rPr>
            </w:pPr>
          </w:p>
        </w:tc>
      </w:tr>
      <w:tr w:rsidR="00A05CAA" w:rsidRPr="00E229A9" w:rsidTr="00FC6E81">
        <w:tc>
          <w:tcPr>
            <w:tcW w:w="738" w:type="dxa"/>
            <w:tcBorders>
              <w:top w:val="single" w:sz="4" w:space="0" w:color="auto"/>
              <w:bottom w:val="single" w:sz="18" w:space="0" w:color="auto"/>
              <w:right w:val="single" w:sz="4" w:space="0" w:color="auto"/>
            </w:tcBorders>
          </w:tcPr>
          <w:p w:rsidR="00A05CAA" w:rsidRPr="00E229A9" w:rsidRDefault="00A05CAA" w:rsidP="00E8674E">
            <w:pPr>
              <w:spacing w:before="60" w:after="60" w:line="360" w:lineRule="auto"/>
              <w:ind w:left="-110" w:right="-108"/>
              <w:jc w:val="center"/>
              <w:rPr>
                <w:rFonts w:cs="Arial"/>
                <w:sz w:val="20"/>
                <w:szCs w:val="20"/>
                <w:lang w:val="pt-PT"/>
              </w:rPr>
            </w:pPr>
            <w:r w:rsidRPr="00E229A9">
              <w:rPr>
                <w:rFonts w:cs="Arial"/>
                <w:sz w:val="20"/>
                <w:szCs w:val="20"/>
                <w:lang w:val="pt-PT"/>
              </w:rPr>
              <w:t>5</w:t>
            </w:r>
          </w:p>
        </w:tc>
        <w:tc>
          <w:tcPr>
            <w:tcW w:w="3690" w:type="dxa"/>
            <w:tcBorders>
              <w:top w:val="single" w:sz="4" w:space="0" w:color="auto"/>
              <w:left w:val="single" w:sz="4" w:space="0" w:color="auto"/>
              <w:bottom w:val="single" w:sz="18" w:space="0" w:color="auto"/>
              <w:right w:val="single" w:sz="4" w:space="0" w:color="auto"/>
            </w:tcBorders>
          </w:tcPr>
          <w:p w:rsidR="00A05CAA" w:rsidRPr="00E229A9" w:rsidRDefault="00A05CAA" w:rsidP="00E8674E">
            <w:pPr>
              <w:spacing w:before="60" w:after="60" w:line="360" w:lineRule="auto"/>
              <w:ind w:left="-18" w:firstLine="18"/>
              <w:jc w:val="both"/>
              <w:rPr>
                <w:rFonts w:cs="Arial"/>
                <w:sz w:val="20"/>
                <w:szCs w:val="20"/>
                <w:lang w:val="pt-PT"/>
              </w:rPr>
            </w:pPr>
            <w:r w:rsidRPr="00E229A9">
              <w:rPr>
                <w:rFonts w:cs="Arial"/>
                <w:sz w:val="20"/>
                <w:szCs w:val="20"/>
                <w:lang w:val="pt-PT"/>
              </w:rPr>
              <w:t>Pontos-Chave</w:t>
            </w:r>
          </w:p>
        </w:tc>
        <w:tc>
          <w:tcPr>
            <w:tcW w:w="4230" w:type="dxa"/>
            <w:tcBorders>
              <w:top w:val="single" w:sz="4" w:space="0" w:color="auto"/>
              <w:left w:val="single" w:sz="4" w:space="0" w:color="auto"/>
              <w:bottom w:val="single" w:sz="18" w:space="0" w:color="auto"/>
              <w:right w:val="single" w:sz="4" w:space="0" w:color="auto"/>
            </w:tcBorders>
          </w:tcPr>
          <w:p w:rsidR="00A05CAA" w:rsidRPr="00E229A9" w:rsidRDefault="00A05CAA" w:rsidP="00E8674E">
            <w:pPr>
              <w:spacing w:before="60" w:after="60" w:line="360" w:lineRule="auto"/>
              <w:ind w:left="-18" w:firstLine="18"/>
              <w:jc w:val="both"/>
              <w:rPr>
                <w:rFonts w:cs="Arial"/>
                <w:sz w:val="20"/>
                <w:szCs w:val="20"/>
                <w:lang w:val="pt-PT"/>
              </w:rPr>
            </w:pPr>
          </w:p>
          <w:p w:rsidR="00A05CAA" w:rsidRPr="00E229A9" w:rsidRDefault="00A05CAA" w:rsidP="00E8674E">
            <w:pPr>
              <w:spacing w:before="60" w:after="60" w:line="360" w:lineRule="auto"/>
              <w:ind w:left="-18" w:firstLine="18"/>
              <w:jc w:val="both"/>
              <w:rPr>
                <w:rFonts w:cs="Arial"/>
                <w:sz w:val="20"/>
                <w:szCs w:val="20"/>
                <w:lang w:val="pt-PT"/>
              </w:rPr>
            </w:pPr>
          </w:p>
        </w:tc>
        <w:tc>
          <w:tcPr>
            <w:tcW w:w="1620" w:type="dxa"/>
            <w:tcBorders>
              <w:top w:val="single" w:sz="4" w:space="0" w:color="auto"/>
              <w:left w:val="single" w:sz="4" w:space="0" w:color="auto"/>
              <w:bottom w:val="single" w:sz="18" w:space="0" w:color="auto"/>
            </w:tcBorders>
          </w:tcPr>
          <w:p w:rsidR="00A05CAA" w:rsidRPr="00E229A9" w:rsidRDefault="00A05CAA" w:rsidP="00E8674E">
            <w:pPr>
              <w:spacing w:before="60" w:after="60" w:line="360" w:lineRule="auto"/>
              <w:ind w:left="-18" w:firstLine="18"/>
              <w:jc w:val="both"/>
              <w:rPr>
                <w:rFonts w:cs="Arial"/>
                <w:sz w:val="20"/>
                <w:szCs w:val="20"/>
                <w:lang w:val="pt-PT"/>
              </w:rPr>
            </w:pPr>
          </w:p>
        </w:tc>
      </w:tr>
    </w:tbl>
    <w:p w:rsidR="00A05CAA" w:rsidRPr="00610608" w:rsidRDefault="00A05CAA" w:rsidP="00A05CAA">
      <w:pPr>
        <w:tabs>
          <w:tab w:val="left" w:pos="244"/>
        </w:tabs>
        <w:spacing w:before="60"/>
        <w:rPr>
          <w:rFonts w:cs="Arial"/>
          <w:lang w:val="pt-PT"/>
        </w:rPr>
      </w:pPr>
    </w:p>
    <w:p w:rsidR="00506DE0" w:rsidRDefault="00506DE0">
      <w:pPr>
        <w:rPr>
          <w:rFonts w:cs="Arial"/>
          <w:b/>
          <w:lang w:val="pt-BR"/>
        </w:rPr>
      </w:pPr>
      <w:r>
        <w:rPr>
          <w:rFonts w:cs="Arial"/>
          <w:b/>
          <w:lang w:val="pt-BR"/>
        </w:rPr>
        <w:br w:type="page"/>
      </w:r>
    </w:p>
    <w:p w:rsidR="00A05CAA" w:rsidRPr="00610608" w:rsidRDefault="00A05CAA" w:rsidP="00A05CAA">
      <w:pPr>
        <w:tabs>
          <w:tab w:val="left" w:pos="424"/>
        </w:tabs>
        <w:jc w:val="both"/>
        <w:rPr>
          <w:rFonts w:cs="Arial"/>
          <w:b/>
          <w:lang w:val="pt-BR"/>
        </w:rPr>
      </w:pPr>
      <w:r w:rsidRPr="00610608">
        <w:rPr>
          <w:rFonts w:cs="Arial"/>
          <w:b/>
          <w:lang w:val="pt-BR"/>
        </w:rPr>
        <w:lastRenderedPageBreak/>
        <w:t>Equipamentos e meios audiovisuais necessários:</w:t>
      </w:r>
    </w:p>
    <w:p w:rsidR="00A05CAA" w:rsidRPr="00610608" w:rsidRDefault="00A05CAA" w:rsidP="00A05CAA">
      <w:pPr>
        <w:tabs>
          <w:tab w:val="left" w:pos="424"/>
        </w:tabs>
        <w:jc w:val="both"/>
        <w:rPr>
          <w:rFonts w:cs="Arial"/>
          <w:lang w:val="pt-BR"/>
        </w:rPr>
      </w:pPr>
    </w:p>
    <w:p w:rsidR="00A05CAA" w:rsidRDefault="00A05CAA" w:rsidP="00A05CAA">
      <w:pPr>
        <w:tabs>
          <w:tab w:val="left" w:pos="424"/>
        </w:tabs>
        <w:jc w:val="both"/>
        <w:rPr>
          <w:rFonts w:cs="Arial"/>
          <w:lang w:val="pt-BR"/>
        </w:rPr>
      </w:pPr>
    </w:p>
    <w:p w:rsidR="00506DE0" w:rsidRDefault="00506DE0" w:rsidP="00A05CAA">
      <w:pPr>
        <w:tabs>
          <w:tab w:val="left" w:pos="424"/>
        </w:tabs>
        <w:jc w:val="both"/>
        <w:rPr>
          <w:rFonts w:cs="Arial"/>
          <w:lang w:val="pt-BR"/>
        </w:rPr>
      </w:pPr>
    </w:p>
    <w:p w:rsidR="00506DE0" w:rsidRDefault="00506DE0" w:rsidP="00A05CAA">
      <w:pPr>
        <w:tabs>
          <w:tab w:val="left" w:pos="424"/>
        </w:tabs>
        <w:jc w:val="both"/>
        <w:rPr>
          <w:rFonts w:cs="Arial"/>
          <w:lang w:val="pt-BR"/>
        </w:rPr>
      </w:pPr>
    </w:p>
    <w:p w:rsidR="00506DE0" w:rsidRDefault="00506DE0" w:rsidP="00A05CAA">
      <w:pPr>
        <w:tabs>
          <w:tab w:val="left" w:pos="424"/>
        </w:tabs>
        <w:jc w:val="both"/>
        <w:rPr>
          <w:rFonts w:cs="Arial"/>
          <w:lang w:val="pt-BR"/>
        </w:rPr>
      </w:pPr>
    </w:p>
    <w:p w:rsidR="0070097E" w:rsidRPr="00610608" w:rsidRDefault="0070097E" w:rsidP="00A05CAA">
      <w:pPr>
        <w:tabs>
          <w:tab w:val="left" w:pos="424"/>
        </w:tabs>
        <w:jc w:val="both"/>
        <w:rPr>
          <w:rFonts w:cs="Arial"/>
          <w:lang w:val="pt-BR"/>
        </w:rPr>
      </w:pPr>
    </w:p>
    <w:p w:rsidR="00A05CAA" w:rsidRPr="00610608" w:rsidRDefault="00A05CAA" w:rsidP="00A05CAA">
      <w:pPr>
        <w:tabs>
          <w:tab w:val="left" w:pos="424"/>
        </w:tabs>
        <w:jc w:val="both"/>
        <w:rPr>
          <w:rFonts w:cs="Arial"/>
          <w:lang w:val="pt-BR"/>
        </w:rPr>
      </w:pPr>
    </w:p>
    <w:p w:rsidR="00A05CAA" w:rsidRPr="00610608" w:rsidRDefault="00A05CAA" w:rsidP="00A05CAA">
      <w:pPr>
        <w:tabs>
          <w:tab w:val="left" w:pos="424"/>
        </w:tabs>
        <w:jc w:val="both"/>
        <w:rPr>
          <w:rFonts w:cs="Arial"/>
          <w:lang w:val="pt-BR"/>
        </w:rPr>
      </w:pPr>
    </w:p>
    <w:p w:rsidR="00A05CAA" w:rsidRPr="00610608" w:rsidRDefault="00A05CAA" w:rsidP="00A05CAA">
      <w:pPr>
        <w:tabs>
          <w:tab w:val="left" w:pos="424"/>
        </w:tabs>
        <w:jc w:val="both"/>
        <w:rPr>
          <w:rFonts w:cs="Arial"/>
          <w:lang w:val="pt-BR"/>
        </w:rPr>
      </w:pPr>
      <w:r w:rsidRPr="00610608">
        <w:rPr>
          <w:rFonts w:cs="Arial"/>
          <w:b/>
          <w:lang w:val="pt-BR"/>
        </w:rPr>
        <w:t>Trabalhos para casa (TPC), Exercícios e textos para leitura – incluir data a ser entregue:</w:t>
      </w:r>
      <w:r w:rsidRPr="00610608">
        <w:rPr>
          <w:rFonts w:cs="Arial"/>
          <w:lang w:val="pt-BR"/>
        </w:rPr>
        <w:t xml:space="preserve"> </w:t>
      </w:r>
    </w:p>
    <w:p w:rsidR="00A05CAA" w:rsidRPr="00610608" w:rsidRDefault="00A05CAA" w:rsidP="00A05CAA">
      <w:pPr>
        <w:tabs>
          <w:tab w:val="left" w:pos="424"/>
        </w:tabs>
        <w:jc w:val="both"/>
        <w:rPr>
          <w:rFonts w:cs="Arial"/>
          <w:lang w:val="pt-BR"/>
        </w:rPr>
      </w:pPr>
    </w:p>
    <w:p w:rsidR="00A05CAA" w:rsidRPr="00610608" w:rsidRDefault="00A05CAA" w:rsidP="00A05CAA">
      <w:pPr>
        <w:tabs>
          <w:tab w:val="left" w:pos="424"/>
        </w:tabs>
        <w:jc w:val="both"/>
        <w:rPr>
          <w:rFonts w:cs="Arial"/>
          <w:lang w:val="pt-BR"/>
        </w:rPr>
      </w:pPr>
    </w:p>
    <w:p w:rsidR="00A05CAA" w:rsidRPr="00610608" w:rsidRDefault="00A05CAA" w:rsidP="00A05CAA">
      <w:pPr>
        <w:tabs>
          <w:tab w:val="left" w:pos="424"/>
        </w:tabs>
        <w:jc w:val="both"/>
        <w:rPr>
          <w:rFonts w:cs="Arial"/>
          <w:lang w:val="pt-BR"/>
        </w:rPr>
      </w:pPr>
    </w:p>
    <w:p w:rsidR="00A05CAA" w:rsidRPr="00610608" w:rsidRDefault="00A05CAA" w:rsidP="00A05CAA">
      <w:pPr>
        <w:tabs>
          <w:tab w:val="left" w:pos="424"/>
        </w:tabs>
        <w:jc w:val="both"/>
        <w:rPr>
          <w:rFonts w:cs="Arial"/>
          <w:lang w:val="pt-BR"/>
        </w:rPr>
      </w:pPr>
    </w:p>
    <w:p w:rsidR="00A05CAA" w:rsidRDefault="00A05CAA" w:rsidP="00A05CAA">
      <w:pPr>
        <w:tabs>
          <w:tab w:val="left" w:pos="424"/>
        </w:tabs>
        <w:jc w:val="both"/>
        <w:rPr>
          <w:rFonts w:cs="Arial"/>
          <w:lang w:val="pt-BR"/>
        </w:rPr>
      </w:pPr>
    </w:p>
    <w:p w:rsidR="00506DE0" w:rsidRDefault="00506DE0" w:rsidP="00A05CAA">
      <w:pPr>
        <w:tabs>
          <w:tab w:val="left" w:pos="424"/>
        </w:tabs>
        <w:jc w:val="both"/>
        <w:rPr>
          <w:rFonts w:cs="Arial"/>
          <w:lang w:val="pt-BR"/>
        </w:rPr>
      </w:pPr>
    </w:p>
    <w:p w:rsidR="00506DE0" w:rsidRDefault="00506DE0" w:rsidP="00A05CAA">
      <w:pPr>
        <w:tabs>
          <w:tab w:val="left" w:pos="424"/>
        </w:tabs>
        <w:jc w:val="both"/>
        <w:rPr>
          <w:rFonts w:cs="Arial"/>
          <w:lang w:val="pt-BR"/>
        </w:rPr>
      </w:pPr>
    </w:p>
    <w:p w:rsidR="00506DE0" w:rsidRDefault="00506DE0" w:rsidP="00A05CAA">
      <w:pPr>
        <w:tabs>
          <w:tab w:val="left" w:pos="424"/>
        </w:tabs>
        <w:jc w:val="both"/>
        <w:rPr>
          <w:rFonts w:cs="Arial"/>
          <w:lang w:val="pt-BR"/>
        </w:rPr>
      </w:pPr>
    </w:p>
    <w:p w:rsidR="00506DE0" w:rsidRDefault="00506DE0" w:rsidP="00A05CAA">
      <w:pPr>
        <w:tabs>
          <w:tab w:val="left" w:pos="424"/>
        </w:tabs>
        <w:jc w:val="both"/>
        <w:rPr>
          <w:rFonts w:cs="Arial"/>
          <w:lang w:val="pt-BR"/>
        </w:rPr>
      </w:pPr>
    </w:p>
    <w:p w:rsidR="00506DE0" w:rsidRDefault="00506DE0" w:rsidP="00A05CAA">
      <w:pPr>
        <w:tabs>
          <w:tab w:val="left" w:pos="424"/>
        </w:tabs>
        <w:jc w:val="both"/>
        <w:rPr>
          <w:rFonts w:cs="Arial"/>
          <w:lang w:val="pt-BR"/>
        </w:rPr>
      </w:pPr>
    </w:p>
    <w:p w:rsidR="00506DE0" w:rsidRDefault="00506DE0" w:rsidP="00A05CAA">
      <w:pPr>
        <w:tabs>
          <w:tab w:val="left" w:pos="424"/>
        </w:tabs>
        <w:jc w:val="both"/>
        <w:rPr>
          <w:rFonts w:cs="Arial"/>
          <w:lang w:val="pt-BR"/>
        </w:rPr>
      </w:pPr>
    </w:p>
    <w:p w:rsidR="00506DE0" w:rsidRPr="00610608" w:rsidRDefault="00506DE0" w:rsidP="00A05CAA">
      <w:pPr>
        <w:tabs>
          <w:tab w:val="left" w:pos="424"/>
        </w:tabs>
        <w:jc w:val="both"/>
        <w:rPr>
          <w:rFonts w:cs="Arial"/>
          <w:lang w:val="pt-BR"/>
        </w:rPr>
      </w:pPr>
    </w:p>
    <w:p w:rsidR="00A05CAA" w:rsidRPr="00610608" w:rsidRDefault="00A05CAA" w:rsidP="00A05CAA">
      <w:pPr>
        <w:tabs>
          <w:tab w:val="left" w:pos="424"/>
        </w:tabs>
        <w:jc w:val="both"/>
        <w:rPr>
          <w:rFonts w:cs="Arial"/>
          <w:lang w:val="pt-BR"/>
        </w:rPr>
      </w:pPr>
    </w:p>
    <w:p w:rsidR="00A05CAA" w:rsidRPr="00610608" w:rsidRDefault="00A05CAA" w:rsidP="00A05CAA">
      <w:pPr>
        <w:tabs>
          <w:tab w:val="left" w:pos="424"/>
        </w:tabs>
        <w:jc w:val="both"/>
        <w:rPr>
          <w:rFonts w:cs="Arial"/>
          <w:b/>
          <w:lang w:val="pt-BR"/>
        </w:rPr>
      </w:pPr>
      <w:r w:rsidRPr="00610608">
        <w:rPr>
          <w:rFonts w:cs="Arial"/>
          <w:b/>
          <w:lang w:val="pt-BR"/>
        </w:rPr>
        <w:t>Bibliografia (referências usadas para o desenvolvimento do conteúdo):</w:t>
      </w:r>
    </w:p>
    <w:p w:rsidR="00A05CAA" w:rsidRPr="00F47FAF" w:rsidRDefault="00A05CAA" w:rsidP="00A05CAA">
      <w:pPr>
        <w:rPr>
          <w:lang w:val="pt-BR"/>
        </w:rPr>
      </w:pPr>
      <w:r w:rsidRPr="00610608">
        <w:rPr>
          <w:lang w:val="pt-BR"/>
        </w:rPr>
        <w:t xml:space="preserve">Abbas, A.K., Lichtman, A.H. , Pllai, S. Imunologia Celular e Molecular. </w:t>
      </w:r>
      <w:r w:rsidRPr="00F47FAF">
        <w:rPr>
          <w:lang w:val="pt-BR"/>
        </w:rPr>
        <w:t>6ª. Ed. Elsevier. 2008</w:t>
      </w:r>
    </w:p>
    <w:p w:rsidR="00A05CAA" w:rsidRPr="00610608" w:rsidRDefault="00A05CAA" w:rsidP="00A05CAA">
      <w:pPr>
        <w:rPr>
          <w:lang w:val="pt-BR"/>
        </w:rPr>
      </w:pPr>
      <w:r w:rsidRPr="00610608">
        <w:rPr>
          <w:lang w:val="pt-BR"/>
        </w:rPr>
        <w:t>Roitt, II., Delves, P. J. Roitt Fundamentos de Imunologia. Guanabara, 2004</w:t>
      </w:r>
    </w:p>
    <w:p w:rsidR="00A05CAA" w:rsidRPr="00073260" w:rsidRDefault="00A05CAA" w:rsidP="00A05CAA">
      <w:pPr>
        <w:rPr>
          <w:lang w:val="pt-BR"/>
        </w:rPr>
      </w:pPr>
      <w:r w:rsidRPr="00610608">
        <w:rPr>
          <w:bCs/>
          <w:lang w:val="pt-BR"/>
        </w:rPr>
        <w:t xml:space="preserve">Engelkirk, P.G. Gwendolyn, B. Microbiologia para as Ciências da Saúde. 7ª. Ed. Guanabara Koogan. </w:t>
      </w:r>
    </w:p>
    <w:p w:rsidR="00A05CAA" w:rsidRPr="00610608" w:rsidRDefault="009A56D9" w:rsidP="00A05CAA">
      <w:pPr>
        <w:rPr>
          <w:lang w:val="pt-BR"/>
        </w:rPr>
      </w:pPr>
      <w:hyperlink r:id="rId52" w:history="1">
        <w:r w:rsidR="00A05CAA" w:rsidRPr="00383374">
          <w:rPr>
            <w:rStyle w:val="Hyperlink"/>
            <w:rFonts w:cs="Arial"/>
            <w:lang w:val="pt-BR"/>
          </w:rPr>
          <w:t>http://pathmicro.med.sc.edu/portuguese/immuno-port-chapter17.htm</w:t>
        </w:r>
      </w:hyperlink>
      <w:r w:rsidR="00A05CAA">
        <w:rPr>
          <w:lang w:val="pt-BR"/>
        </w:rPr>
        <w:t xml:space="preserve"> </w:t>
      </w:r>
    </w:p>
    <w:p w:rsidR="00D51901" w:rsidRDefault="00D51901">
      <w:pPr>
        <w:rPr>
          <w:rFonts w:cs="Arial"/>
          <w:lang w:val="pt-BR"/>
        </w:rPr>
      </w:pPr>
      <w:r>
        <w:rPr>
          <w:rFonts w:cs="Arial"/>
          <w:lang w:val="pt-BR"/>
        </w:rPr>
        <w:br w:type="page"/>
      </w:r>
    </w:p>
    <w:p w:rsidR="00A05CAA" w:rsidRPr="00610608" w:rsidRDefault="00A05CAA" w:rsidP="00A05CAA">
      <w:pPr>
        <w:shd w:val="clear" w:color="auto" w:fill="B8CCE4"/>
        <w:tabs>
          <w:tab w:val="left" w:pos="1276"/>
          <w:tab w:val="right" w:pos="8550"/>
        </w:tabs>
        <w:spacing w:before="120" w:after="120"/>
        <w:ind w:right="-43"/>
        <w:jc w:val="both"/>
        <w:rPr>
          <w:rFonts w:cs="Arial"/>
          <w:b/>
        </w:rPr>
      </w:pPr>
      <w:r w:rsidRPr="00610608">
        <w:rPr>
          <w:rFonts w:cs="Arial"/>
          <w:b/>
          <w:lang w:val="pt-PT"/>
        </w:rPr>
        <w:lastRenderedPageBreak/>
        <w:t>BLOCO 1: INTRODUÇÃO À AULA</w:t>
      </w:r>
      <w:r w:rsidRPr="00610608">
        <w:rPr>
          <w:rFonts w:cs="Arial"/>
          <w:b/>
        </w:rPr>
        <w:tab/>
      </w:r>
    </w:p>
    <w:p w:rsidR="00A05CAA" w:rsidRDefault="00A05CAA" w:rsidP="00C52E09">
      <w:pPr>
        <w:pStyle w:val="ListParagraph"/>
        <w:numPr>
          <w:ilvl w:val="1"/>
          <w:numId w:val="64"/>
        </w:numPr>
        <w:spacing w:before="120" w:after="0"/>
        <w:ind w:right="-43"/>
        <w:jc w:val="both"/>
        <w:rPr>
          <w:rFonts w:cs="Arial"/>
          <w:lang w:val="pt-BR"/>
        </w:rPr>
      </w:pPr>
      <w:r w:rsidRPr="00A05CAA">
        <w:rPr>
          <w:rFonts w:cs="Arial"/>
          <w:lang w:val="pt-BR"/>
        </w:rPr>
        <w:t>Apresentação do tópico, conteúdos e objectivos de aprendizagem.</w:t>
      </w:r>
    </w:p>
    <w:p w:rsidR="00A05CAA" w:rsidRDefault="00A05CAA" w:rsidP="00C52E09">
      <w:pPr>
        <w:pStyle w:val="ListParagraph"/>
        <w:numPr>
          <w:ilvl w:val="1"/>
          <w:numId w:val="64"/>
        </w:numPr>
        <w:spacing w:before="120" w:after="0"/>
        <w:ind w:right="-43"/>
        <w:jc w:val="both"/>
        <w:rPr>
          <w:rFonts w:cs="Arial"/>
          <w:lang w:val="pt-BR"/>
        </w:rPr>
      </w:pPr>
      <w:r w:rsidRPr="00A05CAA">
        <w:rPr>
          <w:rFonts w:cs="Arial"/>
          <w:lang w:val="pt-BR"/>
        </w:rPr>
        <w:t>Apresentação da estrutura da aula.</w:t>
      </w:r>
    </w:p>
    <w:p w:rsidR="00A05CAA" w:rsidRPr="00A05CAA" w:rsidRDefault="00A05CAA" w:rsidP="00C52E09">
      <w:pPr>
        <w:pStyle w:val="ListParagraph"/>
        <w:numPr>
          <w:ilvl w:val="1"/>
          <w:numId w:val="64"/>
        </w:numPr>
        <w:spacing w:before="120" w:after="0"/>
        <w:ind w:right="-43"/>
        <w:jc w:val="both"/>
        <w:rPr>
          <w:rFonts w:cs="Arial"/>
          <w:lang w:val="pt-BR"/>
        </w:rPr>
      </w:pPr>
      <w:r w:rsidRPr="00A05CAA">
        <w:rPr>
          <w:rFonts w:cs="Arial"/>
          <w:lang w:val="pt-BR"/>
        </w:rPr>
        <w:t>Apresentação da bibliografia que o aluno deverá manejar para ampliar os conhecimentos.</w:t>
      </w:r>
    </w:p>
    <w:p w:rsidR="00A05CAA" w:rsidRPr="00610608" w:rsidRDefault="00A05CAA" w:rsidP="0070097E">
      <w:pPr>
        <w:pStyle w:val="TM-0"/>
        <w:spacing w:after="0"/>
        <w:rPr>
          <w:lang w:val="pt-BR"/>
        </w:rPr>
      </w:pPr>
    </w:p>
    <w:p w:rsidR="00A05CAA" w:rsidRPr="00610608" w:rsidRDefault="00A05CAA" w:rsidP="00A05CAA">
      <w:pPr>
        <w:shd w:val="clear" w:color="auto" w:fill="B8CCE4"/>
        <w:tabs>
          <w:tab w:val="left" w:pos="1276"/>
          <w:tab w:val="right" w:pos="8550"/>
        </w:tabs>
        <w:spacing w:before="120" w:after="120"/>
        <w:ind w:right="-43"/>
        <w:jc w:val="both"/>
        <w:rPr>
          <w:rFonts w:cs="Arial"/>
          <w:b/>
          <w:lang w:val="pt-PT"/>
        </w:rPr>
      </w:pPr>
      <w:r w:rsidRPr="00610608">
        <w:rPr>
          <w:rFonts w:cs="Arial"/>
          <w:b/>
          <w:lang w:val="pt-PT"/>
        </w:rPr>
        <w:t xml:space="preserve">BLOCO 2. AUTOIMUNIDADE E </w:t>
      </w:r>
      <w:r>
        <w:rPr>
          <w:rFonts w:cs="Arial"/>
          <w:b/>
          <w:lang w:val="pt-PT"/>
        </w:rPr>
        <w:t xml:space="preserve">HIPERSENSIBILIDADE </w:t>
      </w:r>
    </w:p>
    <w:p w:rsidR="00A05CAA" w:rsidRPr="00610608" w:rsidRDefault="00A05CAA" w:rsidP="00A05CAA">
      <w:pPr>
        <w:pStyle w:val="TM-0"/>
      </w:pPr>
      <w:r w:rsidRPr="0070097E">
        <w:rPr>
          <w:b/>
        </w:rPr>
        <w:t>2.1</w:t>
      </w:r>
      <w:r w:rsidR="0070097E" w:rsidRPr="0070097E">
        <w:rPr>
          <w:b/>
        </w:rPr>
        <w:t>.</w:t>
      </w:r>
      <w:r w:rsidR="0070097E">
        <w:t xml:space="preserve"> </w:t>
      </w:r>
      <w:r w:rsidRPr="00610608">
        <w:t xml:space="preserve"> A auto-imunidade surge quando o sistema imunológico de um indivíduo não reconhece mais certos tecidos do corpo como “</w:t>
      </w:r>
      <w:r w:rsidRPr="00610608">
        <w:rPr>
          <w:i/>
        </w:rPr>
        <w:t>próprios</w:t>
      </w:r>
      <w:r w:rsidRPr="00610608">
        <w:t>”, e passa a destruí-los como se estes tecidos fossem “</w:t>
      </w:r>
      <w:r w:rsidRPr="00610608">
        <w:rPr>
          <w:i/>
        </w:rPr>
        <w:t>estranhos</w:t>
      </w:r>
      <w:r w:rsidRPr="00610608">
        <w:t>” – falha da tolerância imunológica.</w:t>
      </w:r>
    </w:p>
    <w:p w:rsidR="00A05CAA" w:rsidRPr="00610608" w:rsidRDefault="00A05CAA" w:rsidP="00C52E09">
      <w:pPr>
        <w:numPr>
          <w:ilvl w:val="0"/>
          <w:numId w:val="58"/>
        </w:numPr>
        <w:autoSpaceDE w:val="0"/>
        <w:autoSpaceDN w:val="0"/>
        <w:adjustRightInd w:val="0"/>
        <w:spacing w:before="100" w:after="0"/>
        <w:jc w:val="both"/>
        <w:rPr>
          <w:rFonts w:eastAsia="Calibri" w:cs="Arial"/>
          <w:lang w:val="pt-PT"/>
        </w:rPr>
      </w:pPr>
      <w:r w:rsidRPr="00610608">
        <w:rPr>
          <w:rFonts w:cs="Arial"/>
          <w:lang w:val="pt-PT"/>
        </w:rPr>
        <w:t>Autoimunidade é uma resposta imune específica contra um antígeno ou série de antígenos próprios.</w:t>
      </w:r>
    </w:p>
    <w:p w:rsidR="00A05CAA" w:rsidRPr="00610608" w:rsidRDefault="00A05CAA" w:rsidP="00C52E09">
      <w:pPr>
        <w:numPr>
          <w:ilvl w:val="0"/>
          <w:numId w:val="58"/>
        </w:numPr>
        <w:autoSpaceDE w:val="0"/>
        <w:autoSpaceDN w:val="0"/>
        <w:adjustRightInd w:val="0"/>
        <w:spacing w:before="100" w:after="0"/>
        <w:jc w:val="both"/>
        <w:rPr>
          <w:rFonts w:cs="Arial"/>
          <w:lang w:val="pt-PT"/>
        </w:rPr>
      </w:pPr>
      <w:r w:rsidRPr="00610608">
        <w:rPr>
          <w:rFonts w:eastAsia="Calibri" w:cs="Arial"/>
          <w:lang w:val="pt-PT"/>
        </w:rPr>
        <w:t>Doença Auto-imune é uma doença provocada por lesão tissular ou alteração funcional desencadeadas por uma resposta auto-imune.</w:t>
      </w:r>
    </w:p>
    <w:p w:rsidR="00A05CAA" w:rsidRPr="00610608" w:rsidRDefault="00A05CAA" w:rsidP="00A05CAA">
      <w:pPr>
        <w:pStyle w:val="TM-0"/>
      </w:pPr>
      <w:r w:rsidRPr="0070097E">
        <w:rPr>
          <w:b/>
        </w:rPr>
        <w:t>2.2</w:t>
      </w:r>
      <w:r w:rsidR="0070097E" w:rsidRPr="0070097E">
        <w:rPr>
          <w:b/>
        </w:rPr>
        <w:t>.</w:t>
      </w:r>
      <w:r w:rsidR="0070097E">
        <w:t xml:space="preserve"> </w:t>
      </w:r>
      <w:r w:rsidRPr="00610608">
        <w:t xml:space="preserve"> A destruição dos tecidos é levad</w:t>
      </w:r>
      <w:r>
        <w:t>a</w:t>
      </w:r>
      <w:r w:rsidRPr="00610608">
        <w:t xml:space="preserve"> a cabo pela acção de anticorpos produzidos pelo próprio organismo, que são chamados auto-anticorpos. Os auto-anticorpos são capazes de induzir a activação da cascata do complemento e da resposta inflamatória, que constituem a parte fundamental dos quadros clínicos das doenças auto-imunológicas.</w:t>
      </w:r>
    </w:p>
    <w:p w:rsidR="00A05CAA" w:rsidRPr="00610608" w:rsidRDefault="00A05CAA" w:rsidP="00A05CAA">
      <w:pPr>
        <w:pStyle w:val="TM-0"/>
      </w:pPr>
      <w:r w:rsidRPr="0070097E">
        <w:rPr>
          <w:b/>
        </w:rPr>
        <w:t>2.3</w:t>
      </w:r>
      <w:r w:rsidR="0070097E" w:rsidRPr="0070097E">
        <w:rPr>
          <w:b/>
        </w:rPr>
        <w:t>.</w:t>
      </w:r>
      <w:r w:rsidR="0070097E">
        <w:t xml:space="preserve"> </w:t>
      </w:r>
      <w:r w:rsidRPr="00610608">
        <w:t xml:space="preserve"> Mecanismos de prevenção da auto-imunidade</w:t>
      </w:r>
    </w:p>
    <w:p w:rsidR="00A05CAA" w:rsidRPr="00610608" w:rsidRDefault="00A05CAA" w:rsidP="0070097E">
      <w:pPr>
        <w:spacing w:before="100"/>
        <w:ind w:left="450" w:firstLine="90"/>
        <w:jc w:val="both"/>
        <w:rPr>
          <w:rFonts w:cs="Arial"/>
          <w:lang w:val="pt-PT"/>
        </w:rPr>
      </w:pPr>
      <w:r w:rsidRPr="0070097E">
        <w:rPr>
          <w:rFonts w:cs="Arial"/>
          <w:b/>
          <w:lang w:val="pt-PT"/>
        </w:rPr>
        <w:t>2.3.1</w:t>
      </w:r>
      <w:r w:rsidRPr="00610608">
        <w:rPr>
          <w:rFonts w:cs="Arial"/>
          <w:lang w:val="pt-PT"/>
        </w:rPr>
        <w:t xml:space="preserve"> Para evitar esta situação, o sistema imune adquire a tolerância imunológica (auto-tolerância - não responde ao próprio) através de:</w:t>
      </w:r>
    </w:p>
    <w:p w:rsidR="00A05CAA" w:rsidRPr="00610608" w:rsidRDefault="00A05CAA" w:rsidP="00C52E09">
      <w:pPr>
        <w:numPr>
          <w:ilvl w:val="0"/>
          <w:numId w:val="59"/>
        </w:numPr>
        <w:spacing w:before="100" w:after="0"/>
        <w:jc w:val="both"/>
        <w:rPr>
          <w:rFonts w:cs="Arial"/>
          <w:lang w:val="pt-PT"/>
        </w:rPr>
      </w:pPr>
      <w:r w:rsidRPr="00610608">
        <w:rPr>
          <w:rFonts w:cs="Arial"/>
          <w:lang w:val="pt-PT"/>
        </w:rPr>
        <w:t>Deleção clonal dos linfócitos T auto-reactivos</w:t>
      </w:r>
    </w:p>
    <w:p w:rsidR="00A05CAA" w:rsidRPr="00610608" w:rsidRDefault="00A05CAA" w:rsidP="00C52E09">
      <w:pPr>
        <w:numPr>
          <w:ilvl w:val="0"/>
          <w:numId w:val="59"/>
        </w:numPr>
        <w:spacing w:before="100" w:after="0"/>
        <w:jc w:val="both"/>
        <w:rPr>
          <w:rFonts w:cs="Arial"/>
          <w:lang w:val="pt-PT"/>
        </w:rPr>
      </w:pPr>
      <w:r w:rsidRPr="00610608">
        <w:rPr>
          <w:rFonts w:cs="Arial"/>
          <w:lang w:val="pt-PT"/>
        </w:rPr>
        <w:t>Deleção clonal dos linfócitos B auto-reactivos</w:t>
      </w:r>
    </w:p>
    <w:p w:rsidR="00A05CAA" w:rsidRPr="00610608" w:rsidRDefault="00A05CAA" w:rsidP="00C52E09">
      <w:pPr>
        <w:numPr>
          <w:ilvl w:val="0"/>
          <w:numId w:val="59"/>
        </w:numPr>
        <w:spacing w:before="100" w:after="0"/>
        <w:jc w:val="both"/>
        <w:rPr>
          <w:rFonts w:cs="Arial"/>
          <w:lang w:val="pt-PT"/>
        </w:rPr>
      </w:pPr>
      <w:r w:rsidRPr="00610608">
        <w:rPr>
          <w:rFonts w:cs="Arial"/>
          <w:lang w:val="pt-PT"/>
        </w:rPr>
        <w:t>Supressão funcional de linfócitos T e B auto-reactivos</w:t>
      </w:r>
    </w:p>
    <w:p w:rsidR="00A05CAA" w:rsidRPr="00610608" w:rsidRDefault="00A05CAA" w:rsidP="00A05CAA">
      <w:pPr>
        <w:pStyle w:val="TM-0"/>
      </w:pPr>
      <w:r w:rsidRPr="00610608">
        <w:t>Esta tolerância ocorre ao nível central (timo e medula óssea) e periférica (linfonodos e outras regiões do corpo).</w:t>
      </w:r>
    </w:p>
    <w:p w:rsidR="00A05CAA" w:rsidRPr="00610608" w:rsidRDefault="00A05CAA" w:rsidP="00A05CAA">
      <w:pPr>
        <w:pStyle w:val="TM-0"/>
        <w:rPr>
          <w:lang w:val="pt-BR"/>
        </w:rPr>
      </w:pPr>
      <w:r w:rsidRPr="0070097E">
        <w:rPr>
          <w:b/>
          <w:lang w:val="pt-BR"/>
        </w:rPr>
        <w:t>2.4</w:t>
      </w:r>
      <w:r w:rsidR="0070097E">
        <w:rPr>
          <w:lang w:val="pt-BR"/>
        </w:rPr>
        <w:t xml:space="preserve">. </w:t>
      </w:r>
      <w:r w:rsidRPr="00610608">
        <w:rPr>
          <w:lang w:val="pt-BR"/>
        </w:rPr>
        <w:t>No entanto, se ocorrer uma falha nesta deleção/supressão de células imaturas auto-reactivas (escape de clones celulares auto-reactivos) ocorre a auto-imunidade e doenças auto-imunes. Igualmente, uma reacção cruzada com antígenos (antígenos de microrganismos semelhantes aos antígenos próprios, originando ataque dos anticorpos também contra os antígenos próprios) desencadeia a auto-imunidade e doenças auto-imunes. Exemplo: na doença Febre reumática, os anticorpos além de atacar os antígenos da bactéria estreptococo beta hemolítico do grupo A de lancefield, atacam também as proteinas do coração, prejudicando o funcionamento normal do coração.</w:t>
      </w:r>
    </w:p>
    <w:p w:rsidR="00A05CAA" w:rsidRPr="00610608" w:rsidRDefault="00A05CAA" w:rsidP="00A05CAA">
      <w:pPr>
        <w:pStyle w:val="TM-0"/>
        <w:rPr>
          <w:lang w:val="pt-BR"/>
        </w:rPr>
      </w:pPr>
      <w:r w:rsidRPr="0070097E">
        <w:rPr>
          <w:b/>
          <w:lang w:val="pt-BR"/>
        </w:rPr>
        <w:t>2.5</w:t>
      </w:r>
      <w:r w:rsidR="0070097E" w:rsidRPr="0070097E">
        <w:rPr>
          <w:b/>
          <w:lang w:val="pt-BR"/>
        </w:rPr>
        <w:t>.</w:t>
      </w:r>
      <w:r w:rsidR="0070097E">
        <w:rPr>
          <w:lang w:val="pt-BR"/>
        </w:rPr>
        <w:t xml:space="preserve"> </w:t>
      </w:r>
      <w:r w:rsidRPr="00610608">
        <w:rPr>
          <w:lang w:val="pt-BR"/>
        </w:rPr>
        <w:t xml:space="preserve"> </w:t>
      </w:r>
      <w:r w:rsidRPr="00610608">
        <w:t>As doenças auto-imunes podem ser classificadas em:</w:t>
      </w:r>
    </w:p>
    <w:p w:rsidR="00A05CAA" w:rsidRPr="00610608" w:rsidRDefault="00A05CAA" w:rsidP="00A05CAA">
      <w:pPr>
        <w:pStyle w:val="TM-3n"/>
        <w:numPr>
          <w:ilvl w:val="0"/>
          <w:numId w:val="0"/>
        </w:numPr>
        <w:tabs>
          <w:tab w:val="clear" w:pos="1276"/>
        </w:tabs>
        <w:spacing w:before="120" w:after="0" w:line="276" w:lineRule="auto"/>
        <w:ind w:left="851" w:hanging="284"/>
      </w:pPr>
      <w:r w:rsidRPr="0070097E">
        <w:rPr>
          <w:b/>
        </w:rPr>
        <w:t>2.5.1</w:t>
      </w:r>
      <w:r w:rsidRPr="00610608">
        <w:t xml:space="preserve"> Locais ou órgão-específicas, que afectam a um tipo específico de tecido. Entre elas estão a diabetes melitus tipo I (sistema endocrinológico) onde os anticorpos reconhecem as células das ilhotas de Langerhans (produtoras da insulina) do pâncreas levando a inflamação (insulite) com a posterior destruição destas células, tendo como consequência a falta de produção da insulina. </w:t>
      </w:r>
    </w:p>
    <w:p w:rsidR="00A05CAA" w:rsidRDefault="00A05CAA" w:rsidP="00A05CAA">
      <w:pPr>
        <w:pStyle w:val="TM-3n"/>
        <w:numPr>
          <w:ilvl w:val="0"/>
          <w:numId w:val="0"/>
        </w:numPr>
        <w:tabs>
          <w:tab w:val="clear" w:pos="1276"/>
        </w:tabs>
        <w:spacing w:before="120" w:after="0" w:line="276" w:lineRule="auto"/>
        <w:ind w:left="851" w:hanging="284"/>
      </w:pPr>
      <w:r w:rsidRPr="0070097E">
        <w:rPr>
          <w:b/>
        </w:rPr>
        <w:t>2.5.2</w:t>
      </w:r>
      <w:r w:rsidRPr="00610608">
        <w:t xml:space="preserve"> Sistémicas ou não órgão-específicas, que estão associadas a auto-anticorpos que não afectam a um tipo específico de tecido. Entre elas estão o lúpus eritematoso sistémico (afecta a rins, pele, pulmões e cérebro) e a doença reumática (afecta às articulações, coração).</w:t>
      </w:r>
    </w:p>
    <w:p w:rsidR="00A05CAA" w:rsidRDefault="00A05CAA" w:rsidP="00C52E09">
      <w:pPr>
        <w:pStyle w:val="TM-2n"/>
        <w:numPr>
          <w:ilvl w:val="1"/>
          <w:numId w:val="63"/>
        </w:numPr>
        <w:tabs>
          <w:tab w:val="left" w:pos="450"/>
        </w:tabs>
        <w:spacing w:before="120" w:after="0" w:line="276" w:lineRule="auto"/>
        <w:ind w:left="0" w:firstLine="0"/>
      </w:pPr>
      <w:r>
        <w:t>Reacções de hipersensibilidade – são reacções excessivas produzidas pelo sistema imune normal em resposta a um estímulo externo (exógeno) ou interno (endógeno). São quatros os tipos de reacções de hipersensibilidade que resume-se no quadro abaixo:</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48"/>
        <w:gridCol w:w="1709"/>
        <w:gridCol w:w="1711"/>
        <w:gridCol w:w="3131"/>
        <w:gridCol w:w="2295"/>
      </w:tblGrid>
      <w:tr w:rsidR="00F8000A" w:rsidRPr="00E229A9" w:rsidTr="00F8000A">
        <w:tc>
          <w:tcPr>
            <w:tcW w:w="745" w:type="pct"/>
          </w:tcPr>
          <w:p w:rsidR="00A05CAA" w:rsidRPr="00F8000A" w:rsidRDefault="00A05CAA" w:rsidP="00E8674E">
            <w:pPr>
              <w:pStyle w:val="TM-2n"/>
              <w:numPr>
                <w:ilvl w:val="0"/>
                <w:numId w:val="0"/>
              </w:numPr>
              <w:spacing w:before="120" w:after="0" w:line="276" w:lineRule="auto"/>
              <w:rPr>
                <w:b/>
                <w:sz w:val="20"/>
              </w:rPr>
            </w:pPr>
            <w:r w:rsidRPr="00F8000A">
              <w:rPr>
                <w:b/>
                <w:sz w:val="20"/>
              </w:rPr>
              <w:lastRenderedPageBreak/>
              <w:t>Característica</w:t>
            </w:r>
          </w:p>
        </w:tc>
        <w:tc>
          <w:tcPr>
            <w:tcW w:w="822" w:type="pct"/>
          </w:tcPr>
          <w:p w:rsidR="00A05CAA" w:rsidRPr="00F8000A" w:rsidRDefault="00A05CAA" w:rsidP="00E8674E">
            <w:pPr>
              <w:pStyle w:val="TM-2n"/>
              <w:numPr>
                <w:ilvl w:val="0"/>
                <w:numId w:val="0"/>
              </w:numPr>
              <w:spacing w:before="120" w:after="0" w:line="276" w:lineRule="auto"/>
              <w:rPr>
                <w:b/>
                <w:sz w:val="20"/>
              </w:rPr>
            </w:pPr>
            <w:r w:rsidRPr="00F8000A">
              <w:rPr>
                <w:b/>
                <w:sz w:val="20"/>
              </w:rPr>
              <w:t>Tipo I</w:t>
            </w:r>
          </w:p>
        </w:tc>
        <w:tc>
          <w:tcPr>
            <w:tcW w:w="823" w:type="pct"/>
          </w:tcPr>
          <w:p w:rsidR="00A05CAA" w:rsidRPr="00F8000A" w:rsidRDefault="00A05CAA" w:rsidP="00E8674E">
            <w:pPr>
              <w:pStyle w:val="TM-2n"/>
              <w:numPr>
                <w:ilvl w:val="0"/>
                <w:numId w:val="0"/>
              </w:numPr>
              <w:spacing w:before="120" w:after="0" w:line="276" w:lineRule="auto"/>
              <w:rPr>
                <w:b/>
                <w:sz w:val="20"/>
              </w:rPr>
            </w:pPr>
            <w:r w:rsidRPr="00F8000A">
              <w:rPr>
                <w:b/>
                <w:sz w:val="20"/>
              </w:rPr>
              <w:t>Tipo II</w:t>
            </w:r>
          </w:p>
        </w:tc>
        <w:tc>
          <w:tcPr>
            <w:tcW w:w="1506" w:type="pct"/>
          </w:tcPr>
          <w:p w:rsidR="00A05CAA" w:rsidRPr="00F8000A" w:rsidRDefault="00A05CAA" w:rsidP="00E8674E">
            <w:pPr>
              <w:pStyle w:val="TM-2n"/>
              <w:numPr>
                <w:ilvl w:val="0"/>
                <w:numId w:val="0"/>
              </w:numPr>
              <w:spacing w:before="120" w:after="0" w:line="276" w:lineRule="auto"/>
              <w:rPr>
                <w:b/>
                <w:sz w:val="20"/>
              </w:rPr>
            </w:pPr>
            <w:r w:rsidRPr="00F8000A">
              <w:rPr>
                <w:b/>
                <w:sz w:val="20"/>
              </w:rPr>
              <w:t>Tipo III</w:t>
            </w:r>
          </w:p>
        </w:tc>
        <w:tc>
          <w:tcPr>
            <w:tcW w:w="1104" w:type="pct"/>
          </w:tcPr>
          <w:p w:rsidR="00A05CAA" w:rsidRPr="00F8000A" w:rsidRDefault="00A05CAA" w:rsidP="00E8674E">
            <w:pPr>
              <w:pStyle w:val="TM-2n"/>
              <w:numPr>
                <w:ilvl w:val="0"/>
                <w:numId w:val="0"/>
              </w:numPr>
              <w:spacing w:before="120" w:after="0" w:line="276" w:lineRule="auto"/>
              <w:rPr>
                <w:b/>
                <w:sz w:val="20"/>
              </w:rPr>
            </w:pPr>
            <w:r w:rsidRPr="00F8000A">
              <w:rPr>
                <w:b/>
                <w:sz w:val="20"/>
              </w:rPr>
              <w:t>Tipo IV</w:t>
            </w:r>
          </w:p>
        </w:tc>
      </w:tr>
      <w:tr w:rsidR="00F8000A" w:rsidRPr="00E229A9" w:rsidTr="00F8000A">
        <w:tc>
          <w:tcPr>
            <w:tcW w:w="745" w:type="pct"/>
          </w:tcPr>
          <w:p w:rsidR="00A05CAA" w:rsidRPr="00E229A9" w:rsidRDefault="00A05CAA" w:rsidP="00E8674E">
            <w:pPr>
              <w:pStyle w:val="TM-2n"/>
              <w:numPr>
                <w:ilvl w:val="0"/>
                <w:numId w:val="0"/>
              </w:numPr>
              <w:spacing w:before="120" w:after="0" w:line="276" w:lineRule="auto"/>
              <w:rPr>
                <w:sz w:val="20"/>
              </w:rPr>
            </w:pPr>
            <w:r w:rsidRPr="00E229A9">
              <w:rPr>
                <w:sz w:val="20"/>
              </w:rPr>
              <w:t>Sinonímia</w:t>
            </w:r>
          </w:p>
        </w:tc>
        <w:tc>
          <w:tcPr>
            <w:tcW w:w="822" w:type="pct"/>
          </w:tcPr>
          <w:p w:rsidR="00A05CAA" w:rsidRPr="00E229A9" w:rsidRDefault="00A05CAA" w:rsidP="00E8674E">
            <w:pPr>
              <w:pStyle w:val="TM-2n"/>
              <w:numPr>
                <w:ilvl w:val="0"/>
                <w:numId w:val="0"/>
              </w:numPr>
              <w:spacing w:before="120" w:after="0" w:line="276" w:lineRule="auto"/>
              <w:rPr>
                <w:sz w:val="20"/>
              </w:rPr>
            </w:pPr>
            <w:r w:rsidRPr="00E229A9">
              <w:rPr>
                <w:sz w:val="20"/>
              </w:rPr>
              <w:t>Anafilático ou imediata</w:t>
            </w:r>
          </w:p>
        </w:tc>
        <w:tc>
          <w:tcPr>
            <w:tcW w:w="823" w:type="pct"/>
          </w:tcPr>
          <w:p w:rsidR="00A05CAA" w:rsidRPr="00E229A9" w:rsidRDefault="00A05CAA" w:rsidP="00E8674E">
            <w:pPr>
              <w:pStyle w:val="TM-2n"/>
              <w:numPr>
                <w:ilvl w:val="0"/>
                <w:numId w:val="0"/>
              </w:numPr>
              <w:spacing w:before="120" w:after="0" w:line="276" w:lineRule="auto"/>
              <w:rPr>
                <w:sz w:val="20"/>
              </w:rPr>
            </w:pPr>
            <w:r w:rsidRPr="00E229A9">
              <w:rPr>
                <w:sz w:val="20"/>
              </w:rPr>
              <w:t>Citotóxico</w:t>
            </w:r>
          </w:p>
        </w:tc>
        <w:tc>
          <w:tcPr>
            <w:tcW w:w="1506" w:type="pct"/>
          </w:tcPr>
          <w:p w:rsidR="00A05CAA" w:rsidRPr="00E229A9" w:rsidRDefault="00A05CAA" w:rsidP="00E8674E">
            <w:pPr>
              <w:pStyle w:val="TM-2n"/>
              <w:numPr>
                <w:ilvl w:val="0"/>
                <w:numId w:val="0"/>
              </w:numPr>
              <w:spacing w:before="120" w:after="0" w:line="276" w:lineRule="auto"/>
              <w:rPr>
                <w:sz w:val="20"/>
              </w:rPr>
            </w:pPr>
            <w:r w:rsidRPr="00E229A9">
              <w:rPr>
                <w:sz w:val="20"/>
              </w:rPr>
              <w:t>Complexo imune</w:t>
            </w:r>
          </w:p>
        </w:tc>
        <w:tc>
          <w:tcPr>
            <w:tcW w:w="1104" w:type="pct"/>
          </w:tcPr>
          <w:p w:rsidR="00A05CAA" w:rsidRPr="00E229A9" w:rsidRDefault="00A05CAA" w:rsidP="00E8674E">
            <w:pPr>
              <w:pStyle w:val="TM-2n"/>
              <w:numPr>
                <w:ilvl w:val="0"/>
                <w:numId w:val="0"/>
              </w:numPr>
              <w:spacing w:before="120" w:after="0" w:line="276" w:lineRule="auto"/>
              <w:rPr>
                <w:sz w:val="20"/>
              </w:rPr>
            </w:pPr>
            <w:r w:rsidRPr="00E229A9">
              <w:rPr>
                <w:sz w:val="20"/>
              </w:rPr>
              <w:t>Tardia</w:t>
            </w:r>
          </w:p>
        </w:tc>
      </w:tr>
      <w:tr w:rsidR="00F8000A" w:rsidRPr="00E229A9" w:rsidTr="00F8000A">
        <w:tc>
          <w:tcPr>
            <w:tcW w:w="745" w:type="pct"/>
          </w:tcPr>
          <w:p w:rsidR="00A05CAA" w:rsidRPr="00E229A9" w:rsidRDefault="00A05CAA" w:rsidP="00E8674E">
            <w:pPr>
              <w:pStyle w:val="TM-2n"/>
              <w:numPr>
                <w:ilvl w:val="0"/>
                <w:numId w:val="0"/>
              </w:numPr>
              <w:spacing w:before="120" w:after="0" w:line="276" w:lineRule="auto"/>
              <w:rPr>
                <w:sz w:val="20"/>
              </w:rPr>
            </w:pPr>
            <w:r w:rsidRPr="00E229A9">
              <w:rPr>
                <w:sz w:val="20"/>
              </w:rPr>
              <w:t>Anticorpo</w:t>
            </w:r>
          </w:p>
        </w:tc>
        <w:tc>
          <w:tcPr>
            <w:tcW w:w="822" w:type="pct"/>
          </w:tcPr>
          <w:p w:rsidR="00A05CAA" w:rsidRPr="00E229A9" w:rsidRDefault="00A05CAA" w:rsidP="00E8674E">
            <w:pPr>
              <w:pStyle w:val="TM-2n"/>
              <w:numPr>
                <w:ilvl w:val="0"/>
                <w:numId w:val="0"/>
              </w:numPr>
              <w:spacing w:before="120" w:after="0" w:line="276" w:lineRule="auto"/>
              <w:rPr>
                <w:sz w:val="20"/>
              </w:rPr>
            </w:pPr>
            <w:r w:rsidRPr="00E229A9">
              <w:rPr>
                <w:sz w:val="20"/>
              </w:rPr>
              <w:t>IgE</w:t>
            </w:r>
          </w:p>
        </w:tc>
        <w:tc>
          <w:tcPr>
            <w:tcW w:w="823" w:type="pct"/>
          </w:tcPr>
          <w:p w:rsidR="00A05CAA" w:rsidRPr="00E229A9" w:rsidRDefault="00A05CAA" w:rsidP="00E8674E">
            <w:pPr>
              <w:pStyle w:val="TM-2n"/>
              <w:numPr>
                <w:ilvl w:val="0"/>
                <w:numId w:val="0"/>
              </w:numPr>
              <w:spacing w:before="120" w:after="0" w:line="276" w:lineRule="auto"/>
              <w:rPr>
                <w:sz w:val="20"/>
              </w:rPr>
            </w:pPr>
            <w:r w:rsidRPr="00E229A9">
              <w:rPr>
                <w:sz w:val="20"/>
              </w:rPr>
              <w:t xml:space="preserve">IgG, IgM </w:t>
            </w:r>
          </w:p>
        </w:tc>
        <w:tc>
          <w:tcPr>
            <w:tcW w:w="1506" w:type="pct"/>
          </w:tcPr>
          <w:p w:rsidR="00A05CAA" w:rsidRPr="00E229A9" w:rsidRDefault="00A05CAA" w:rsidP="00E8674E">
            <w:pPr>
              <w:pStyle w:val="TM-2n"/>
              <w:numPr>
                <w:ilvl w:val="0"/>
                <w:numId w:val="0"/>
              </w:numPr>
              <w:spacing w:before="120" w:after="0" w:line="276" w:lineRule="auto"/>
              <w:rPr>
                <w:sz w:val="20"/>
              </w:rPr>
            </w:pPr>
            <w:r w:rsidRPr="00E229A9">
              <w:rPr>
                <w:sz w:val="20"/>
              </w:rPr>
              <w:t>IgG, IgM</w:t>
            </w:r>
          </w:p>
        </w:tc>
        <w:tc>
          <w:tcPr>
            <w:tcW w:w="1104" w:type="pct"/>
          </w:tcPr>
          <w:p w:rsidR="00A05CAA" w:rsidRPr="00E229A9" w:rsidRDefault="00A05CAA" w:rsidP="00E8674E">
            <w:pPr>
              <w:pStyle w:val="TM-2n"/>
              <w:numPr>
                <w:ilvl w:val="0"/>
                <w:numId w:val="0"/>
              </w:numPr>
              <w:spacing w:before="120" w:after="0" w:line="276" w:lineRule="auto"/>
              <w:rPr>
                <w:sz w:val="20"/>
              </w:rPr>
            </w:pPr>
            <w:r w:rsidRPr="00E229A9">
              <w:rPr>
                <w:sz w:val="20"/>
              </w:rPr>
              <w:t>Nenhum</w:t>
            </w:r>
          </w:p>
        </w:tc>
      </w:tr>
      <w:tr w:rsidR="00F8000A" w:rsidRPr="00E229A9" w:rsidTr="00F8000A">
        <w:tc>
          <w:tcPr>
            <w:tcW w:w="745" w:type="pct"/>
          </w:tcPr>
          <w:p w:rsidR="00A05CAA" w:rsidRPr="00E229A9" w:rsidRDefault="00A05CAA" w:rsidP="00E8674E">
            <w:pPr>
              <w:pStyle w:val="TM-2n"/>
              <w:numPr>
                <w:ilvl w:val="0"/>
                <w:numId w:val="0"/>
              </w:numPr>
              <w:spacing w:before="120" w:after="0" w:line="276" w:lineRule="auto"/>
              <w:rPr>
                <w:sz w:val="20"/>
              </w:rPr>
            </w:pPr>
            <w:r w:rsidRPr="00E229A9">
              <w:rPr>
                <w:sz w:val="20"/>
              </w:rPr>
              <w:t>Antígeno</w:t>
            </w:r>
          </w:p>
        </w:tc>
        <w:tc>
          <w:tcPr>
            <w:tcW w:w="822" w:type="pct"/>
          </w:tcPr>
          <w:p w:rsidR="00A05CAA" w:rsidRPr="00E229A9" w:rsidRDefault="00A05CAA" w:rsidP="00E8674E">
            <w:pPr>
              <w:pStyle w:val="TM-2n"/>
              <w:numPr>
                <w:ilvl w:val="0"/>
                <w:numId w:val="0"/>
              </w:numPr>
              <w:spacing w:before="120" w:after="0" w:line="276" w:lineRule="auto"/>
              <w:rPr>
                <w:sz w:val="20"/>
              </w:rPr>
            </w:pPr>
            <w:r w:rsidRPr="00E229A9">
              <w:rPr>
                <w:sz w:val="20"/>
              </w:rPr>
              <w:t>Exógeno</w:t>
            </w:r>
          </w:p>
        </w:tc>
        <w:tc>
          <w:tcPr>
            <w:tcW w:w="823" w:type="pct"/>
          </w:tcPr>
          <w:p w:rsidR="00A05CAA" w:rsidRPr="00E229A9" w:rsidRDefault="00A05CAA" w:rsidP="00E8674E">
            <w:pPr>
              <w:pStyle w:val="TM-2n"/>
              <w:numPr>
                <w:ilvl w:val="0"/>
                <w:numId w:val="0"/>
              </w:numPr>
              <w:spacing w:before="120" w:after="0" w:line="276" w:lineRule="auto"/>
              <w:rPr>
                <w:sz w:val="20"/>
              </w:rPr>
            </w:pPr>
            <w:r w:rsidRPr="00E229A9">
              <w:rPr>
                <w:sz w:val="20"/>
              </w:rPr>
              <w:t>Superfície celular</w:t>
            </w:r>
          </w:p>
        </w:tc>
        <w:tc>
          <w:tcPr>
            <w:tcW w:w="1506" w:type="pct"/>
          </w:tcPr>
          <w:p w:rsidR="00A05CAA" w:rsidRPr="00E229A9" w:rsidRDefault="00A05CAA" w:rsidP="00E8674E">
            <w:pPr>
              <w:pStyle w:val="TM-2n"/>
              <w:numPr>
                <w:ilvl w:val="0"/>
                <w:numId w:val="0"/>
              </w:numPr>
              <w:spacing w:before="120" w:after="0" w:line="276" w:lineRule="auto"/>
              <w:rPr>
                <w:sz w:val="20"/>
              </w:rPr>
            </w:pPr>
            <w:r w:rsidRPr="00E229A9">
              <w:rPr>
                <w:sz w:val="20"/>
              </w:rPr>
              <w:t>Solúvel. Exógeno (bactérias, vírus, parasitas) ou endógeno (auto-imunidade)</w:t>
            </w:r>
          </w:p>
        </w:tc>
        <w:tc>
          <w:tcPr>
            <w:tcW w:w="1104" w:type="pct"/>
          </w:tcPr>
          <w:p w:rsidR="00A05CAA" w:rsidRPr="00E229A9" w:rsidRDefault="00A05CAA" w:rsidP="00E8674E">
            <w:pPr>
              <w:pStyle w:val="TM-2n"/>
              <w:numPr>
                <w:ilvl w:val="0"/>
                <w:numId w:val="0"/>
              </w:numPr>
              <w:spacing w:before="120" w:after="0" w:line="276" w:lineRule="auto"/>
              <w:rPr>
                <w:sz w:val="20"/>
              </w:rPr>
            </w:pPr>
            <w:r w:rsidRPr="00E229A9">
              <w:rPr>
                <w:sz w:val="20"/>
              </w:rPr>
              <w:t>Tecidos e órgãos</w:t>
            </w:r>
          </w:p>
        </w:tc>
      </w:tr>
      <w:tr w:rsidR="00F8000A" w:rsidRPr="00E229A9" w:rsidTr="00F8000A">
        <w:tc>
          <w:tcPr>
            <w:tcW w:w="745" w:type="pct"/>
          </w:tcPr>
          <w:p w:rsidR="00A05CAA" w:rsidRPr="00E229A9" w:rsidRDefault="00A05CAA" w:rsidP="00E8674E">
            <w:pPr>
              <w:pStyle w:val="TM-2n"/>
              <w:numPr>
                <w:ilvl w:val="0"/>
                <w:numId w:val="0"/>
              </w:numPr>
              <w:spacing w:before="120" w:after="0" w:line="276" w:lineRule="auto"/>
              <w:rPr>
                <w:sz w:val="20"/>
              </w:rPr>
            </w:pPr>
            <w:r w:rsidRPr="00E229A9">
              <w:rPr>
                <w:sz w:val="20"/>
              </w:rPr>
              <w:t>Tempo de resposta</w:t>
            </w:r>
          </w:p>
        </w:tc>
        <w:tc>
          <w:tcPr>
            <w:tcW w:w="822" w:type="pct"/>
          </w:tcPr>
          <w:p w:rsidR="00A05CAA" w:rsidRPr="00E229A9" w:rsidRDefault="00A05CAA" w:rsidP="00E8674E">
            <w:pPr>
              <w:pStyle w:val="TM-2n"/>
              <w:numPr>
                <w:ilvl w:val="0"/>
                <w:numId w:val="0"/>
              </w:numPr>
              <w:spacing w:before="120" w:after="0" w:line="276" w:lineRule="auto"/>
              <w:rPr>
                <w:sz w:val="20"/>
              </w:rPr>
            </w:pPr>
            <w:r w:rsidRPr="00E229A9">
              <w:rPr>
                <w:sz w:val="20"/>
              </w:rPr>
              <w:t>15 – 30 min</w:t>
            </w:r>
          </w:p>
        </w:tc>
        <w:tc>
          <w:tcPr>
            <w:tcW w:w="823" w:type="pct"/>
          </w:tcPr>
          <w:p w:rsidR="00A05CAA" w:rsidRPr="00E229A9" w:rsidRDefault="00A05CAA" w:rsidP="00E8674E">
            <w:pPr>
              <w:pStyle w:val="TM-2n"/>
              <w:numPr>
                <w:ilvl w:val="0"/>
                <w:numId w:val="0"/>
              </w:numPr>
              <w:spacing w:before="120" w:after="0" w:line="276" w:lineRule="auto"/>
              <w:rPr>
                <w:sz w:val="20"/>
              </w:rPr>
            </w:pPr>
            <w:r w:rsidRPr="00E229A9">
              <w:rPr>
                <w:sz w:val="20"/>
              </w:rPr>
              <w:t>Minutos - horas</w:t>
            </w:r>
          </w:p>
        </w:tc>
        <w:tc>
          <w:tcPr>
            <w:tcW w:w="1506" w:type="pct"/>
          </w:tcPr>
          <w:p w:rsidR="00A05CAA" w:rsidRPr="00E229A9" w:rsidRDefault="00A05CAA" w:rsidP="00E8674E">
            <w:pPr>
              <w:pStyle w:val="TM-2n"/>
              <w:numPr>
                <w:ilvl w:val="0"/>
                <w:numId w:val="0"/>
              </w:numPr>
              <w:spacing w:before="120" w:after="0" w:line="276" w:lineRule="auto"/>
              <w:rPr>
                <w:sz w:val="20"/>
              </w:rPr>
            </w:pPr>
            <w:r w:rsidRPr="00E229A9">
              <w:rPr>
                <w:sz w:val="20"/>
              </w:rPr>
              <w:t>3 – 8 horas</w:t>
            </w:r>
          </w:p>
        </w:tc>
        <w:tc>
          <w:tcPr>
            <w:tcW w:w="1104" w:type="pct"/>
          </w:tcPr>
          <w:p w:rsidR="00A05CAA" w:rsidRPr="00E229A9" w:rsidRDefault="00A05CAA" w:rsidP="00E8674E">
            <w:pPr>
              <w:pStyle w:val="TM-2n"/>
              <w:numPr>
                <w:ilvl w:val="0"/>
                <w:numId w:val="0"/>
              </w:numPr>
              <w:spacing w:before="120" w:after="0" w:line="276" w:lineRule="auto"/>
              <w:rPr>
                <w:sz w:val="20"/>
              </w:rPr>
            </w:pPr>
            <w:r w:rsidRPr="00E229A9">
              <w:rPr>
                <w:sz w:val="20"/>
              </w:rPr>
              <w:t>48 – 72 horas</w:t>
            </w:r>
          </w:p>
        </w:tc>
      </w:tr>
      <w:tr w:rsidR="00F8000A" w:rsidRPr="00E229A9" w:rsidTr="00F8000A">
        <w:tc>
          <w:tcPr>
            <w:tcW w:w="745" w:type="pct"/>
          </w:tcPr>
          <w:p w:rsidR="00A05CAA" w:rsidRPr="00E229A9" w:rsidRDefault="00A05CAA" w:rsidP="00E8674E">
            <w:pPr>
              <w:pStyle w:val="TM-2n"/>
              <w:numPr>
                <w:ilvl w:val="0"/>
                <w:numId w:val="0"/>
              </w:numPr>
              <w:spacing w:before="120" w:after="0" w:line="276" w:lineRule="auto"/>
              <w:rPr>
                <w:sz w:val="20"/>
              </w:rPr>
            </w:pPr>
            <w:r w:rsidRPr="00E229A9">
              <w:rPr>
                <w:sz w:val="20"/>
              </w:rPr>
              <w:t>Aparência</w:t>
            </w:r>
          </w:p>
        </w:tc>
        <w:tc>
          <w:tcPr>
            <w:tcW w:w="822" w:type="pct"/>
          </w:tcPr>
          <w:p w:rsidR="00A05CAA" w:rsidRPr="00E229A9" w:rsidRDefault="00A05CAA" w:rsidP="00E8674E">
            <w:pPr>
              <w:pStyle w:val="TM-2n"/>
              <w:numPr>
                <w:ilvl w:val="0"/>
                <w:numId w:val="0"/>
              </w:numPr>
              <w:spacing w:before="120" w:after="0" w:line="276" w:lineRule="auto"/>
              <w:rPr>
                <w:sz w:val="20"/>
              </w:rPr>
            </w:pPr>
            <w:r w:rsidRPr="00E229A9">
              <w:rPr>
                <w:sz w:val="20"/>
              </w:rPr>
              <w:t>Inflamação</w:t>
            </w:r>
          </w:p>
        </w:tc>
        <w:tc>
          <w:tcPr>
            <w:tcW w:w="823" w:type="pct"/>
          </w:tcPr>
          <w:p w:rsidR="00A05CAA" w:rsidRPr="00E229A9" w:rsidRDefault="00A05CAA" w:rsidP="00E8674E">
            <w:pPr>
              <w:pStyle w:val="TM-2n"/>
              <w:numPr>
                <w:ilvl w:val="0"/>
                <w:numId w:val="0"/>
              </w:numPr>
              <w:spacing w:before="120" w:after="0" w:line="276" w:lineRule="auto"/>
              <w:rPr>
                <w:sz w:val="20"/>
              </w:rPr>
            </w:pPr>
            <w:r w:rsidRPr="00E229A9">
              <w:rPr>
                <w:sz w:val="20"/>
              </w:rPr>
              <w:t>Lise e necrose</w:t>
            </w:r>
          </w:p>
        </w:tc>
        <w:tc>
          <w:tcPr>
            <w:tcW w:w="1506" w:type="pct"/>
          </w:tcPr>
          <w:p w:rsidR="00A05CAA" w:rsidRPr="00E229A9" w:rsidRDefault="00A05CAA" w:rsidP="00E8674E">
            <w:pPr>
              <w:pStyle w:val="TM-2n"/>
              <w:numPr>
                <w:ilvl w:val="0"/>
                <w:numId w:val="0"/>
              </w:numPr>
              <w:spacing w:before="120" w:after="0" w:line="276" w:lineRule="auto"/>
              <w:rPr>
                <w:sz w:val="20"/>
              </w:rPr>
            </w:pPr>
            <w:r w:rsidRPr="00E229A9">
              <w:rPr>
                <w:sz w:val="20"/>
              </w:rPr>
              <w:t>Eritema e edema, necrose</w:t>
            </w:r>
          </w:p>
        </w:tc>
        <w:tc>
          <w:tcPr>
            <w:tcW w:w="1104" w:type="pct"/>
          </w:tcPr>
          <w:p w:rsidR="00A05CAA" w:rsidRPr="00E229A9" w:rsidRDefault="00A05CAA" w:rsidP="00E8674E">
            <w:pPr>
              <w:pStyle w:val="TM-2n"/>
              <w:numPr>
                <w:ilvl w:val="0"/>
                <w:numId w:val="0"/>
              </w:numPr>
              <w:spacing w:before="120" w:after="0" w:line="276" w:lineRule="auto"/>
              <w:rPr>
                <w:sz w:val="20"/>
              </w:rPr>
            </w:pPr>
            <w:r w:rsidRPr="00E229A9">
              <w:rPr>
                <w:sz w:val="20"/>
              </w:rPr>
              <w:t>Eritema e calosidade</w:t>
            </w:r>
          </w:p>
        </w:tc>
      </w:tr>
      <w:tr w:rsidR="00F8000A" w:rsidRPr="00E229A9" w:rsidTr="00F8000A">
        <w:tc>
          <w:tcPr>
            <w:tcW w:w="745" w:type="pct"/>
          </w:tcPr>
          <w:p w:rsidR="00A05CAA" w:rsidRPr="00E229A9" w:rsidRDefault="00A05CAA" w:rsidP="00E8674E">
            <w:pPr>
              <w:pStyle w:val="TM-2n"/>
              <w:numPr>
                <w:ilvl w:val="0"/>
                <w:numId w:val="0"/>
              </w:numPr>
              <w:spacing w:before="120" w:after="0" w:line="276" w:lineRule="auto"/>
              <w:rPr>
                <w:sz w:val="20"/>
              </w:rPr>
            </w:pPr>
            <w:r w:rsidRPr="00E229A9">
              <w:rPr>
                <w:sz w:val="20"/>
              </w:rPr>
              <w:t>Histologia</w:t>
            </w:r>
          </w:p>
        </w:tc>
        <w:tc>
          <w:tcPr>
            <w:tcW w:w="822" w:type="pct"/>
          </w:tcPr>
          <w:p w:rsidR="00A05CAA" w:rsidRPr="00E229A9" w:rsidRDefault="00A05CAA" w:rsidP="00E8674E">
            <w:pPr>
              <w:pStyle w:val="TM-2n"/>
              <w:numPr>
                <w:ilvl w:val="0"/>
                <w:numId w:val="0"/>
              </w:numPr>
              <w:spacing w:before="120" w:after="0" w:line="276" w:lineRule="auto"/>
              <w:rPr>
                <w:sz w:val="20"/>
              </w:rPr>
            </w:pPr>
            <w:r w:rsidRPr="00E229A9">
              <w:rPr>
                <w:sz w:val="20"/>
              </w:rPr>
              <w:t>Basófilos e eosinófilos</w:t>
            </w:r>
          </w:p>
        </w:tc>
        <w:tc>
          <w:tcPr>
            <w:tcW w:w="823" w:type="pct"/>
          </w:tcPr>
          <w:p w:rsidR="00A05CAA" w:rsidRPr="00E229A9" w:rsidRDefault="00A05CAA" w:rsidP="00E8674E">
            <w:pPr>
              <w:pStyle w:val="TM-2n"/>
              <w:numPr>
                <w:ilvl w:val="0"/>
                <w:numId w:val="0"/>
              </w:numPr>
              <w:spacing w:before="120" w:after="0" w:line="276" w:lineRule="auto"/>
              <w:rPr>
                <w:sz w:val="20"/>
              </w:rPr>
            </w:pPr>
            <w:r w:rsidRPr="00E229A9">
              <w:rPr>
                <w:sz w:val="20"/>
              </w:rPr>
              <w:t>Anticorpo e complemento</w:t>
            </w:r>
          </w:p>
        </w:tc>
        <w:tc>
          <w:tcPr>
            <w:tcW w:w="1506" w:type="pct"/>
          </w:tcPr>
          <w:p w:rsidR="00A05CAA" w:rsidRPr="00E229A9" w:rsidRDefault="00A05CAA" w:rsidP="00E8674E">
            <w:pPr>
              <w:pStyle w:val="TM-2n"/>
              <w:numPr>
                <w:ilvl w:val="0"/>
                <w:numId w:val="0"/>
              </w:numPr>
              <w:spacing w:before="120" w:after="0" w:line="276" w:lineRule="auto"/>
              <w:rPr>
                <w:sz w:val="20"/>
              </w:rPr>
            </w:pPr>
            <w:r w:rsidRPr="00E229A9">
              <w:rPr>
                <w:sz w:val="20"/>
              </w:rPr>
              <w:t>Complemento e neutrófilos</w:t>
            </w:r>
          </w:p>
        </w:tc>
        <w:tc>
          <w:tcPr>
            <w:tcW w:w="1104" w:type="pct"/>
          </w:tcPr>
          <w:p w:rsidR="00A05CAA" w:rsidRPr="00E229A9" w:rsidRDefault="00A05CAA" w:rsidP="00E8674E">
            <w:pPr>
              <w:pStyle w:val="TM-2n"/>
              <w:numPr>
                <w:ilvl w:val="0"/>
                <w:numId w:val="0"/>
              </w:numPr>
              <w:spacing w:before="120" w:after="0" w:line="276" w:lineRule="auto"/>
              <w:rPr>
                <w:sz w:val="20"/>
              </w:rPr>
            </w:pPr>
            <w:r w:rsidRPr="00E229A9">
              <w:rPr>
                <w:sz w:val="20"/>
              </w:rPr>
              <w:t>Monócitos e linfócitos</w:t>
            </w:r>
          </w:p>
        </w:tc>
      </w:tr>
      <w:tr w:rsidR="00F8000A" w:rsidRPr="00FC6E81" w:rsidTr="00F8000A">
        <w:tc>
          <w:tcPr>
            <w:tcW w:w="745" w:type="pct"/>
          </w:tcPr>
          <w:p w:rsidR="00A05CAA" w:rsidRPr="00E229A9" w:rsidRDefault="00A05CAA" w:rsidP="00E8674E">
            <w:pPr>
              <w:pStyle w:val="TM-2n"/>
              <w:numPr>
                <w:ilvl w:val="0"/>
                <w:numId w:val="0"/>
              </w:numPr>
              <w:spacing w:before="120" w:after="0" w:line="276" w:lineRule="auto"/>
              <w:rPr>
                <w:sz w:val="20"/>
              </w:rPr>
            </w:pPr>
            <w:r w:rsidRPr="00E229A9">
              <w:rPr>
                <w:sz w:val="20"/>
              </w:rPr>
              <w:t>Exemplos</w:t>
            </w:r>
          </w:p>
        </w:tc>
        <w:tc>
          <w:tcPr>
            <w:tcW w:w="822" w:type="pct"/>
          </w:tcPr>
          <w:p w:rsidR="00A05CAA" w:rsidRPr="00E229A9" w:rsidRDefault="00A05CAA" w:rsidP="00E8674E">
            <w:pPr>
              <w:pStyle w:val="TM-2n"/>
              <w:numPr>
                <w:ilvl w:val="0"/>
                <w:numId w:val="0"/>
              </w:numPr>
              <w:spacing w:before="120" w:after="0" w:line="276" w:lineRule="auto"/>
              <w:rPr>
                <w:sz w:val="20"/>
              </w:rPr>
            </w:pPr>
            <w:r w:rsidRPr="00E229A9">
              <w:rPr>
                <w:sz w:val="20"/>
              </w:rPr>
              <w:t>Asma alérgica, eczema, conjuntivite alérgica</w:t>
            </w:r>
          </w:p>
        </w:tc>
        <w:tc>
          <w:tcPr>
            <w:tcW w:w="823" w:type="pct"/>
          </w:tcPr>
          <w:p w:rsidR="00A05CAA" w:rsidRPr="00E229A9" w:rsidRDefault="00A05CAA" w:rsidP="00E8674E">
            <w:pPr>
              <w:pStyle w:val="TM-2n"/>
              <w:numPr>
                <w:ilvl w:val="0"/>
                <w:numId w:val="0"/>
              </w:numPr>
              <w:spacing w:before="120" w:after="0" w:line="276" w:lineRule="auto"/>
              <w:rPr>
                <w:sz w:val="20"/>
              </w:rPr>
            </w:pPr>
            <w:r w:rsidRPr="00E229A9">
              <w:rPr>
                <w:sz w:val="20"/>
              </w:rPr>
              <w:t xml:space="preserve">Pênfigo, nefrite de Goodpasture </w:t>
            </w:r>
          </w:p>
        </w:tc>
        <w:tc>
          <w:tcPr>
            <w:tcW w:w="1506" w:type="pct"/>
          </w:tcPr>
          <w:p w:rsidR="00A05CAA" w:rsidRPr="00E229A9" w:rsidRDefault="00A05CAA" w:rsidP="00E8674E">
            <w:pPr>
              <w:pStyle w:val="TM-2n"/>
              <w:numPr>
                <w:ilvl w:val="0"/>
                <w:numId w:val="0"/>
              </w:numPr>
              <w:spacing w:before="120" w:after="0" w:line="276" w:lineRule="auto"/>
              <w:rPr>
                <w:sz w:val="20"/>
              </w:rPr>
            </w:pPr>
            <w:r w:rsidRPr="00E229A9">
              <w:rPr>
                <w:sz w:val="20"/>
              </w:rPr>
              <w:t>Lupus eritematoso sistémico, artrite reumatóide</w:t>
            </w:r>
          </w:p>
        </w:tc>
        <w:tc>
          <w:tcPr>
            <w:tcW w:w="1104" w:type="pct"/>
          </w:tcPr>
          <w:p w:rsidR="00A05CAA" w:rsidRPr="00E229A9" w:rsidRDefault="00A05CAA" w:rsidP="00E8674E">
            <w:pPr>
              <w:pStyle w:val="TM-2n"/>
              <w:numPr>
                <w:ilvl w:val="0"/>
                <w:numId w:val="0"/>
              </w:numPr>
              <w:spacing w:before="120" w:after="0" w:line="276" w:lineRule="auto"/>
              <w:rPr>
                <w:sz w:val="20"/>
              </w:rPr>
            </w:pPr>
            <w:r w:rsidRPr="00E229A9">
              <w:rPr>
                <w:sz w:val="20"/>
              </w:rPr>
              <w:t>Teste de Mantoux à tuberculina (diagnóstico da tuberculose)</w:t>
            </w:r>
          </w:p>
        </w:tc>
      </w:tr>
    </w:tbl>
    <w:p w:rsidR="00A05CAA" w:rsidRDefault="00A05CAA" w:rsidP="00A05CAA">
      <w:pPr>
        <w:pStyle w:val="TM-2n"/>
        <w:numPr>
          <w:ilvl w:val="0"/>
          <w:numId w:val="0"/>
        </w:numPr>
        <w:spacing w:before="120" w:after="0" w:line="276" w:lineRule="auto"/>
        <w:ind w:left="1080"/>
      </w:pPr>
    </w:p>
    <w:p w:rsidR="00A05CAA" w:rsidRPr="00610608" w:rsidRDefault="00A05CAA" w:rsidP="00C52E09">
      <w:pPr>
        <w:pStyle w:val="TM-2n"/>
        <w:numPr>
          <w:ilvl w:val="1"/>
          <w:numId w:val="63"/>
        </w:numPr>
        <w:spacing w:before="120" w:after="0" w:line="276" w:lineRule="auto"/>
        <w:ind w:left="0" w:firstLine="0"/>
      </w:pPr>
      <w:r w:rsidRPr="00610608">
        <w:t>A alergia é uma hipersensibilidade imunológica, isto é, a resposta exagerada do sistema imune a um estímulo externo específico. Portanto, trata-se de uma falha da auto-regulação.</w:t>
      </w:r>
    </w:p>
    <w:p w:rsidR="00A05CAA" w:rsidRPr="00610608" w:rsidRDefault="00A05CAA" w:rsidP="00C52E09">
      <w:pPr>
        <w:pStyle w:val="TM-2n"/>
        <w:numPr>
          <w:ilvl w:val="1"/>
          <w:numId w:val="63"/>
        </w:numPr>
        <w:spacing w:before="120" w:after="0" w:line="276" w:lineRule="auto"/>
        <w:ind w:left="0" w:firstLine="0"/>
      </w:pPr>
      <w:r w:rsidRPr="00610608">
        <w:t>As reacções alérgicas se produzem normalmente em resposta ao contacto com substâncias que normalmente são inofensivas ou pouco perigosas.</w:t>
      </w:r>
    </w:p>
    <w:p w:rsidR="00A05CAA" w:rsidRPr="00610608" w:rsidRDefault="00A05CAA" w:rsidP="00C52E09">
      <w:pPr>
        <w:pStyle w:val="TM-2n"/>
        <w:numPr>
          <w:ilvl w:val="1"/>
          <w:numId w:val="63"/>
        </w:numPr>
        <w:spacing w:before="120" w:after="0" w:line="276" w:lineRule="auto"/>
        <w:ind w:left="720" w:hanging="702"/>
      </w:pPr>
      <w:r w:rsidRPr="00610608">
        <w:t>Como exemplos de substâncias alergénicas estão os alimentos (amendoim, mariscos, produtos lácteos), esporos de fungos, fármacos (penicilina, cotrimoxazol, nevirapina, aspirina, cloroquina), látex (produto utilizado para fabricar luvas), pêlos de animais, poeira doméstica, pólenes e venenos de insecto.</w:t>
      </w:r>
    </w:p>
    <w:p w:rsidR="00A05CAA" w:rsidRPr="00610608" w:rsidRDefault="00A05CAA" w:rsidP="00C52E09">
      <w:pPr>
        <w:pStyle w:val="TM-2n"/>
        <w:numPr>
          <w:ilvl w:val="1"/>
          <w:numId w:val="63"/>
        </w:numPr>
        <w:spacing w:before="120" w:after="0" w:line="276" w:lineRule="auto"/>
        <w:ind w:left="720" w:hanging="702"/>
      </w:pPr>
      <w:r w:rsidRPr="00610608">
        <w:t>O tipo e a gravidade da reacção alérgica depende</w:t>
      </w:r>
      <w:r>
        <w:t>m</w:t>
      </w:r>
      <w:r w:rsidRPr="00610608">
        <w:t xml:space="preserve"> da combinação de vários factores, entre outros:</w:t>
      </w:r>
    </w:p>
    <w:p w:rsidR="00A05CAA" w:rsidRPr="00610608" w:rsidRDefault="00A05CAA" w:rsidP="00C52E09">
      <w:pPr>
        <w:pStyle w:val="TM-3n"/>
        <w:numPr>
          <w:ilvl w:val="2"/>
          <w:numId w:val="63"/>
        </w:numPr>
        <w:tabs>
          <w:tab w:val="clear" w:pos="1276"/>
        </w:tabs>
        <w:spacing w:before="120" w:after="0" w:line="276" w:lineRule="auto"/>
        <w:ind w:left="1260" w:hanging="540"/>
      </w:pPr>
      <w:r w:rsidRPr="00610608">
        <w:t>Natureza do antígeno.</w:t>
      </w:r>
    </w:p>
    <w:p w:rsidR="00A05CAA" w:rsidRPr="00610608" w:rsidRDefault="00A05CAA" w:rsidP="00C52E09">
      <w:pPr>
        <w:pStyle w:val="TM-3n"/>
        <w:numPr>
          <w:ilvl w:val="2"/>
          <w:numId w:val="63"/>
        </w:numPr>
        <w:tabs>
          <w:tab w:val="clear" w:pos="1276"/>
        </w:tabs>
        <w:spacing w:before="120" w:after="0" w:line="276" w:lineRule="auto"/>
        <w:ind w:left="1260" w:hanging="540"/>
      </w:pPr>
      <w:r w:rsidRPr="00610608">
        <w:t>Quantidade de antígeno que entra no corpo.</w:t>
      </w:r>
    </w:p>
    <w:p w:rsidR="00A05CAA" w:rsidRPr="00610608" w:rsidRDefault="00A05CAA" w:rsidP="00C52E09">
      <w:pPr>
        <w:pStyle w:val="TM-3n"/>
        <w:numPr>
          <w:ilvl w:val="2"/>
          <w:numId w:val="63"/>
        </w:numPr>
        <w:tabs>
          <w:tab w:val="clear" w:pos="1276"/>
        </w:tabs>
        <w:spacing w:before="120" w:after="0" w:line="276" w:lineRule="auto"/>
        <w:ind w:left="1260" w:hanging="540"/>
      </w:pPr>
      <w:r w:rsidRPr="00610608">
        <w:t>Via pela qual entra o antígeno no organismo.</w:t>
      </w:r>
    </w:p>
    <w:p w:rsidR="00A05CAA" w:rsidRPr="00610608" w:rsidRDefault="00A05CAA" w:rsidP="00C52E09">
      <w:pPr>
        <w:pStyle w:val="TM-3n"/>
        <w:numPr>
          <w:ilvl w:val="2"/>
          <w:numId w:val="63"/>
        </w:numPr>
        <w:tabs>
          <w:tab w:val="clear" w:pos="1276"/>
        </w:tabs>
        <w:spacing w:before="120" w:after="0" w:line="276" w:lineRule="auto"/>
        <w:ind w:left="1260" w:hanging="540"/>
      </w:pPr>
      <w:r w:rsidRPr="00610608">
        <w:t>Período de tempo entre a exposição ao antígeno.</w:t>
      </w:r>
    </w:p>
    <w:p w:rsidR="00A05CAA" w:rsidRPr="00610608" w:rsidRDefault="00A05CAA" w:rsidP="00C52E09">
      <w:pPr>
        <w:pStyle w:val="TM-3n"/>
        <w:numPr>
          <w:ilvl w:val="2"/>
          <w:numId w:val="63"/>
        </w:numPr>
        <w:tabs>
          <w:tab w:val="clear" w:pos="1276"/>
        </w:tabs>
        <w:spacing w:before="120" w:after="0" w:line="276" w:lineRule="auto"/>
        <w:ind w:left="1260" w:hanging="540"/>
      </w:pPr>
      <w:r w:rsidRPr="00610608">
        <w:t>Capacidade da pessoa para produzir os anticorpos.</w:t>
      </w:r>
    </w:p>
    <w:p w:rsidR="00A05CAA" w:rsidRPr="00610608" w:rsidRDefault="00A05CAA" w:rsidP="00C52E09">
      <w:pPr>
        <w:pStyle w:val="TM-2n"/>
        <w:numPr>
          <w:ilvl w:val="1"/>
          <w:numId w:val="63"/>
        </w:numPr>
        <w:spacing w:before="120" w:after="0" w:line="276" w:lineRule="auto"/>
        <w:ind w:left="0" w:firstLine="0"/>
      </w:pPr>
      <w:r w:rsidRPr="00610608">
        <w:t>A reacção alérgica resulta da presença de anticorpos IgE ligados aos basófilos no sangue, e a um tipo especial de células imunes que se encontram nos tecidos, chamados mastócitos. Estes anticorpos IgE são produzidos na primeira exposição da pessoa ao alérgeno.</w:t>
      </w:r>
    </w:p>
    <w:p w:rsidR="00A05CAA" w:rsidRPr="00610608" w:rsidRDefault="00A05CAA" w:rsidP="00A05CAA">
      <w:pPr>
        <w:jc w:val="center"/>
        <w:rPr>
          <w:rFonts w:cs="Arial"/>
        </w:rPr>
      </w:pPr>
      <w:r>
        <w:rPr>
          <w:rFonts w:cs="Arial"/>
          <w:noProof/>
          <w:lang w:val="en-ZW" w:eastAsia="en-ZW"/>
        </w:rPr>
        <w:lastRenderedPageBreak/>
        <w:drawing>
          <wp:inline distT="0" distB="0" distL="0" distR="0" wp14:anchorId="0438955C" wp14:editId="09C6A817">
            <wp:extent cx="3886200" cy="4483100"/>
            <wp:effectExtent l="0" t="0" r="0" b="0"/>
            <wp:docPr id="6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srcRect/>
                    <a:stretch>
                      <a:fillRect/>
                    </a:stretch>
                  </pic:blipFill>
                  <pic:spPr bwMode="auto">
                    <a:xfrm>
                      <a:off x="0" y="0"/>
                      <a:ext cx="3886200" cy="4483100"/>
                    </a:xfrm>
                    <a:prstGeom prst="rect">
                      <a:avLst/>
                    </a:prstGeom>
                    <a:noFill/>
                    <a:ln w="9525">
                      <a:noFill/>
                      <a:miter lim="800000"/>
                      <a:headEnd/>
                      <a:tailEnd/>
                    </a:ln>
                  </pic:spPr>
                </pic:pic>
              </a:graphicData>
            </a:graphic>
          </wp:inline>
        </w:drawing>
      </w:r>
    </w:p>
    <w:p w:rsidR="00A05CAA" w:rsidRPr="00610608" w:rsidRDefault="00A05CAA" w:rsidP="00A05CAA">
      <w:pPr>
        <w:jc w:val="center"/>
        <w:rPr>
          <w:rFonts w:cs="Arial"/>
        </w:rPr>
      </w:pPr>
      <w:r w:rsidRPr="00610608">
        <w:rPr>
          <w:rFonts w:cs="Arial"/>
          <w:b/>
        </w:rPr>
        <w:t>Figura 1</w:t>
      </w:r>
      <w:r w:rsidR="00506DE0">
        <w:rPr>
          <w:rFonts w:cs="Arial"/>
          <w:b/>
        </w:rPr>
        <w:t>:</w:t>
      </w:r>
      <w:r w:rsidRPr="00610608">
        <w:rPr>
          <w:rFonts w:cs="Arial"/>
        </w:rPr>
        <w:t xml:space="preserve"> Reacção alérgica.</w:t>
      </w:r>
    </w:p>
    <w:p w:rsidR="00A05CAA" w:rsidRPr="00610608" w:rsidRDefault="00A05CAA" w:rsidP="00C52E09">
      <w:pPr>
        <w:pStyle w:val="TM-2n"/>
        <w:numPr>
          <w:ilvl w:val="1"/>
          <w:numId w:val="63"/>
        </w:numPr>
        <w:spacing w:before="120" w:after="0" w:line="276" w:lineRule="auto"/>
        <w:ind w:left="720" w:hanging="702"/>
      </w:pPr>
      <w:r w:rsidRPr="00610608">
        <w:t>Nas exposições subsequentes ao mesmo alérgeno, as células sensibilizadas respondem libertando mediadores químicos como histamina. Estas substâncias actuam produzindo diferentes sintomas, como tosse repetitiva, erupção cutânea (feridas na pele) que pode estar acompanhado por edema facial (inchaço da face), obstrução e secreção nasal, lacrimejo, prurido (comichão), dispneia (dificuldade em respirar).</w:t>
      </w:r>
    </w:p>
    <w:p w:rsidR="00A05CAA" w:rsidRPr="00610608" w:rsidRDefault="00A05CAA" w:rsidP="00C52E09">
      <w:pPr>
        <w:pStyle w:val="TM-2n"/>
        <w:numPr>
          <w:ilvl w:val="1"/>
          <w:numId w:val="63"/>
        </w:numPr>
        <w:spacing w:before="120" w:after="0" w:line="276" w:lineRule="auto"/>
        <w:ind w:left="720" w:hanging="702"/>
      </w:pPr>
      <w:r w:rsidRPr="00610608">
        <w:t>As reacções alérgicas podem ser localizadas, que normalmente estão limitadas a um tecido ou sistema (respiratório, gastrointestinal), ou sistémicas.</w:t>
      </w:r>
    </w:p>
    <w:p w:rsidR="00A05CAA" w:rsidRDefault="00A05CAA" w:rsidP="00C52E09">
      <w:pPr>
        <w:pStyle w:val="TM-2n"/>
        <w:numPr>
          <w:ilvl w:val="1"/>
          <w:numId w:val="63"/>
        </w:numPr>
        <w:spacing w:before="120" w:after="0" w:line="276" w:lineRule="auto"/>
        <w:ind w:left="720" w:hanging="702"/>
      </w:pPr>
      <w:r w:rsidRPr="00610608">
        <w:t>Reacção anafiláctica é uma situação grave</w:t>
      </w:r>
      <w:r>
        <w:t xml:space="preserve"> de</w:t>
      </w:r>
      <w:r w:rsidRPr="00610608">
        <w:t xml:space="preserve"> alergia, já que pode provocar choque anafiláctico (redução da pressão arterial que pode levar a morte). A maior parte dos alérgenos envolvidos em choques anafilácticos são fármacos ou venenos de insectos.</w:t>
      </w:r>
    </w:p>
    <w:p w:rsidR="00F8000A" w:rsidRPr="00610608" w:rsidRDefault="00F8000A" w:rsidP="00F8000A">
      <w:pPr>
        <w:pStyle w:val="TM-2n"/>
        <w:numPr>
          <w:ilvl w:val="0"/>
          <w:numId w:val="0"/>
        </w:numPr>
        <w:spacing w:before="120" w:after="0" w:line="276" w:lineRule="auto"/>
        <w:ind w:left="720"/>
      </w:pPr>
    </w:p>
    <w:p w:rsidR="00A05CAA" w:rsidRPr="00610608" w:rsidRDefault="00A05CAA" w:rsidP="00A05CAA">
      <w:pPr>
        <w:shd w:val="clear" w:color="auto" w:fill="B8CCE4"/>
        <w:tabs>
          <w:tab w:val="left" w:pos="1276"/>
          <w:tab w:val="right" w:pos="8550"/>
        </w:tabs>
        <w:spacing w:before="120" w:after="120"/>
        <w:ind w:right="-43"/>
        <w:jc w:val="both"/>
        <w:rPr>
          <w:rFonts w:cs="Arial"/>
          <w:b/>
          <w:lang w:val="pt-PT"/>
        </w:rPr>
      </w:pPr>
      <w:r w:rsidRPr="00610608">
        <w:rPr>
          <w:rFonts w:cs="Arial"/>
          <w:b/>
          <w:lang w:val="pt-PT"/>
        </w:rPr>
        <w:t>BLOCO 3. VACINAS</w:t>
      </w:r>
    </w:p>
    <w:p w:rsidR="0070097E" w:rsidRDefault="00A05CAA" w:rsidP="00C52E09">
      <w:pPr>
        <w:pStyle w:val="ListParagraph"/>
        <w:numPr>
          <w:ilvl w:val="1"/>
          <w:numId w:val="60"/>
        </w:numPr>
        <w:spacing w:before="120" w:after="0"/>
        <w:ind w:left="630" w:right="-43" w:hanging="630"/>
        <w:contextualSpacing w:val="0"/>
        <w:jc w:val="both"/>
        <w:rPr>
          <w:rFonts w:cs="Arial"/>
          <w:lang w:val="pt-BR"/>
        </w:rPr>
      </w:pPr>
      <w:r w:rsidRPr="00610608">
        <w:rPr>
          <w:rFonts w:cs="Arial"/>
          <w:lang w:val="pt-BR"/>
        </w:rPr>
        <w:t>Na aula anterior, falou-se da imunidade adquirida e da memória imunológica. Um dos mecanismos para a aquisição da memória imunológica é a imunidade activa artificial, que é o princípio usado para as vacinas.</w:t>
      </w:r>
    </w:p>
    <w:p w:rsidR="00A05CAA" w:rsidRPr="0070097E" w:rsidRDefault="00A05CAA" w:rsidP="00C52E09">
      <w:pPr>
        <w:pStyle w:val="ListParagraph"/>
        <w:numPr>
          <w:ilvl w:val="1"/>
          <w:numId w:val="60"/>
        </w:numPr>
        <w:spacing w:before="120" w:after="0"/>
        <w:ind w:left="630" w:right="-43" w:hanging="630"/>
        <w:contextualSpacing w:val="0"/>
        <w:jc w:val="both"/>
        <w:rPr>
          <w:rFonts w:cs="Arial"/>
          <w:lang w:val="pt-BR"/>
        </w:rPr>
      </w:pPr>
      <w:r w:rsidRPr="0070097E">
        <w:rPr>
          <w:rFonts w:cs="Arial"/>
          <w:lang w:val="pt-PT"/>
        </w:rPr>
        <w:t>Vacinas – são substâncias biológicas preparadas no laboratório a partir de microrganismos causadores de doenças - bactérias ou vírus, e que induzem a produção de certas substâncias protectoras no corpo (chamados de anticorpos). Portanto, é a indução ou melhoria da imunidade do organismo de forma artificial através da introdução no organismo dessas substâncias biológicas (imunidade activa artificial)</w:t>
      </w:r>
    </w:p>
    <w:p w:rsidR="00A05CAA" w:rsidRPr="00610608" w:rsidRDefault="00A05CAA" w:rsidP="00C52E09">
      <w:pPr>
        <w:pStyle w:val="ListParagraph"/>
        <w:numPr>
          <w:ilvl w:val="1"/>
          <w:numId w:val="60"/>
        </w:numPr>
        <w:spacing w:before="120" w:after="0"/>
        <w:ind w:left="540" w:right="-43" w:hanging="540"/>
        <w:contextualSpacing w:val="0"/>
        <w:jc w:val="both"/>
        <w:rPr>
          <w:rFonts w:cs="Arial"/>
          <w:lang w:val="pt-BR"/>
        </w:rPr>
      </w:pPr>
      <w:r w:rsidRPr="00610608">
        <w:rPr>
          <w:rFonts w:cs="Arial"/>
          <w:lang w:val="pt-PT"/>
        </w:rPr>
        <w:lastRenderedPageBreak/>
        <w:t>Vacinar - é o acto de administrar substâncias biológicas no organismo de forma a criar um estado de protecção contra determinadas doenças, através de produção (pelo organismo -  a pessoa nesse caso) de defesas (anticorpos) contra as bactérias e vírus que causam tais doenças.</w:t>
      </w:r>
    </w:p>
    <w:p w:rsidR="00A05CAA" w:rsidRPr="00610608" w:rsidRDefault="00A05CAA" w:rsidP="00C52E09">
      <w:pPr>
        <w:pStyle w:val="ListParagraph"/>
        <w:numPr>
          <w:ilvl w:val="1"/>
          <w:numId w:val="60"/>
        </w:numPr>
        <w:spacing w:before="120" w:after="0"/>
        <w:ind w:left="540" w:right="-43" w:hanging="540"/>
        <w:contextualSpacing w:val="0"/>
        <w:jc w:val="both"/>
        <w:rPr>
          <w:rFonts w:cs="Arial"/>
          <w:lang w:val="pt-BR"/>
        </w:rPr>
      </w:pPr>
      <w:r w:rsidRPr="00610608">
        <w:rPr>
          <w:rFonts w:cs="Arial"/>
          <w:lang w:val="pt-BR"/>
        </w:rPr>
        <w:t>Mecanismo de acção das vacinas</w:t>
      </w:r>
    </w:p>
    <w:p w:rsidR="00A05CAA" w:rsidRPr="00610608" w:rsidRDefault="00A05CAA" w:rsidP="00C52E09">
      <w:pPr>
        <w:pStyle w:val="ListParagraph"/>
        <w:numPr>
          <w:ilvl w:val="2"/>
          <w:numId w:val="60"/>
        </w:numPr>
        <w:spacing w:before="120" w:after="0"/>
        <w:ind w:right="-43"/>
        <w:contextualSpacing w:val="0"/>
        <w:jc w:val="both"/>
        <w:rPr>
          <w:rFonts w:cs="Arial"/>
          <w:lang w:val="pt-BR"/>
        </w:rPr>
      </w:pPr>
      <w:r w:rsidRPr="00610608">
        <w:rPr>
          <w:rFonts w:cs="Arial"/>
          <w:lang w:val="pt-BR"/>
        </w:rPr>
        <w:t xml:space="preserve">Geralmente, a substância contida numa vacina tem alguma semelhança com um microrganismo infeccioso (ou partes dele). </w:t>
      </w:r>
    </w:p>
    <w:p w:rsidR="00A05CAA" w:rsidRPr="00610608" w:rsidRDefault="00A05CAA" w:rsidP="00C52E09">
      <w:pPr>
        <w:pStyle w:val="ListParagraph"/>
        <w:numPr>
          <w:ilvl w:val="2"/>
          <w:numId w:val="60"/>
        </w:numPr>
        <w:spacing w:before="120" w:after="0"/>
        <w:ind w:right="-43"/>
        <w:contextualSpacing w:val="0"/>
        <w:jc w:val="both"/>
        <w:rPr>
          <w:rFonts w:cs="Arial"/>
          <w:lang w:val="pt-BR"/>
        </w:rPr>
      </w:pPr>
      <w:r w:rsidRPr="00610608">
        <w:rPr>
          <w:rFonts w:cs="Arial"/>
          <w:lang w:val="pt-BR"/>
        </w:rPr>
        <w:t>Depois de um tratamento laboratorial, os microrganismos ou partes deles, perdem o poder de causar doença. São então inoculados (introduzidos) no organismo humano e actuam  como um antígeno, e estimulam o sistema imune a produzir anticorpos protectores e células de memória contra aquele microrganismo, mas sem causar doença (resposta imune primária).Os anticorpos e células de memória produzidos em resposta a uma vacina permanecerão no organismo durante períodos prolongados de tempo. Assim, o sistema imunológico de uma pessoa estará preparado para gerar uma potente e rápida resposta protectora no caso de um patógeno entrar em contacto com o organismo no futuro (resposta imune secundária).</w:t>
      </w:r>
    </w:p>
    <w:p w:rsidR="00A05CAA" w:rsidRPr="00610608" w:rsidRDefault="00A05CAA" w:rsidP="00C52E09">
      <w:pPr>
        <w:pStyle w:val="ListParagraph"/>
        <w:numPr>
          <w:ilvl w:val="2"/>
          <w:numId w:val="60"/>
        </w:numPr>
        <w:spacing w:before="120" w:after="0"/>
        <w:ind w:right="-43"/>
        <w:contextualSpacing w:val="0"/>
        <w:jc w:val="both"/>
        <w:rPr>
          <w:rFonts w:cs="Arial"/>
          <w:lang w:val="pt-BR"/>
        </w:rPr>
      </w:pPr>
      <w:r w:rsidRPr="00610608">
        <w:rPr>
          <w:rFonts w:cs="Arial"/>
          <w:lang w:val="pt-PT"/>
        </w:rPr>
        <w:t>Exemplo: a vacina contra o Sarampo contém os vírus que provocam o Sarampo, mas estão modificados de modo a não provocarem a doença, e ajudam o organismo a produzir as defesas que lhe vão proteger caso o vírus entre em contacto com o organismo</w:t>
      </w:r>
    </w:p>
    <w:p w:rsidR="00A05CAA" w:rsidRPr="00610608" w:rsidRDefault="00A05CAA" w:rsidP="00C52E09">
      <w:pPr>
        <w:pStyle w:val="ListParagraph"/>
        <w:numPr>
          <w:ilvl w:val="1"/>
          <w:numId w:val="60"/>
        </w:numPr>
        <w:spacing w:before="120" w:after="0"/>
        <w:ind w:left="540" w:right="-43" w:hanging="540"/>
        <w:contextualSpacing w:val="0"/>
        <w:jc w:val="both"/>
        <w:rPr>
          <w:rFonts w:cs="Arial"/>
          <w:lang w:val="pt-BR"/>
        </w:rPr>
      </w:pPr>
      <w:r w:rsidRPr="00610608">
        <w:rPr>
          <w:rFonts w:cs="Arial"/>
          <w:lang w:val="pt-BR"/>
        </w:rPr>
        <w:t>Objectivos de uma vacina</w:t>
      </w:r>
    </w:p>
    <w:p w:rsidR="00A05CAA" w:rsidRPr="00610608" w:rsidRDefault="00A05CAA" w:rsidP="00C52E09">
      <w:pPr>
        <w:pStyle w:val="ListParagraph"/>
        <w:numPr>
          <w:ilvl w:val="2"/>
          <w:numId w:val="60"/>
        </w:numPr>
        <w:spacing w:before="120" w:after="0"/>
        <w:ind w:right="-43"/>
        <w:contextualSpacing w:val="0"/>
        <w:jc w:val="both"/>
        <w:rPr>
          <w:rFonts w:cs="Arial"/>
          <w:lang w:val="pt-BR"/>
        </w:rPr>
      </w:pPr>
      <w:r w:rsidRPr="00610608">
        <w:rPr>
          <w:rFonts w:cs="Arial"/>
          <w:lang w:val="pt-PT"/>
        </w:rPr>
        <w:t>Proteger o indivíduo contra algumas doenças infecciosa (Exemplo: vacina antitetânica – VAT)</w:t>
      </w:r>
    </w:p>
    <w:p w:rsidR="00A05CAA" w:rsidRPr="00610608" w:rsidRDefault="00A05CAA" w:rsidP="00C52E09">
      <w:pPr>
        <w:pStyle w:val="ListParagraph"/>
        <w:numPr>
          <w:ilvl w:val="2"/>
          <w:numId w:val="60"/>
        </w:numPr>
        <w:spacing w:before="120" w:after="0"/>
        <w:ind w:right="-43"/>
        <w:contextualSpacing w:val="0"/>
        <w:jc w:val="both"/>
        <w:rPr>
          <w:rFonts w:cs="Arial"/>
          <w:lang w:val="pt-BR"/>
        </w:rPr>
      </w:pPr>
      <w:r w:rsidRPr="00610608">
        <w:rPr>
          <w:rFonts w:cs="Arial"/>
          <w:lang w:val="pt-PT"/>
        </w:rPr>
        <w:t>Proteger o indivíduo contra formas graves da doença (exemplo: BCG – que protege contra formas graves de tuberculose)</w:t>
      </w:r>
    </w:p>
    <w:p w:rsidR="00A05CAA" w:rsidRPr="00610608" w:rsidRDefault="00A05CAA" w:rsidP="00C52E09">
      <w:pPr>
        <w:pStyle w:val="ListParagraph"/>
        <w:numPr>
          <w:ilvl w:val="2"/>
          <w:numId w:val="60"/>
        </w:numPr>
        <w:spacing w:before="120" w:after="0"/>
        <w:ind w:right="-43"/>
        <w:contextualSpacing w:val="0"/>
        <w:jc w:val="both"/>
        <w:rPr>
          <w:rFonts w:cs="Arial"/>
          <w:lang w:val="pt-BR"/>
        </w:rPr>
      </w:pPr>
      <w:r w:rsidRPr="00610608">
        <w:rPr>
          <w:rFonts w:cs="Arial"/>
          <w:lang w:val="pt-PT"/>
        </w:rPr>
        <w:t>Reduzir a transmissão e o número de novos casos (incidência) geral das doenças infecciosas preveníveis por vacina no seio da sociedade (no contexto de um programa alargado de vacinação - PAV)</w:t>
      </w:r>
    </w:p>
    <w:p w:rsidR="00A05CAA" w:rsidRPr="00610608" w:rsidRDefault="00A05CAA" w:rsidP="00C52E09">
      <w:pPr>
        <w:pStyle w:val="ListParagraph"/>
        <w:numPr>
          <w:ilvl w:val="2"/>
          <w:numId w:val="60"/>
        </w:numPr>
        <w:spacing w:before="120" w:after="0"/>
        <w:ind w:right="-43"/>
        <w:contextualSpacing w:val="0"/>
        <w:jc w:val="both"/>
        <w:rPr>
          <w:rFonts w:cs="Arial"/>
          <w:lang w:val="pt-BR"/>
        </w:rPr>
      </w:pPr>
      <w:r w:rsidRPr="00610608">
        <w:rPr>
          <w:rFonts w:cs="Arial"/>
          <w:lang w:val="pt-PT"/>
        </w:rPr>
        <w:t>Reduzir/limitar a ocorrência de surtos epidémicos</w:t>
      </w:r>
    </w:p>
    <w:p w:rsidR="00A05CAA" w:rsidRPr="00610608" w:rsidRDefault="00A05CAA" w:rsidP="00C52E09">
      <w:pPr>
        <w:pStyle w:val="ListParagraph"/>
        <w:numPr>
          <w:ilvl w:val="1"/>
          <w:numId w:val="60"/>
        </w:numPr>
        <w:spacing w:before="120" w:after="0"/>
        <w:ind w:left="540" w:right="-43" w:hanging="540"/>
        <w:contextualSpacing w:val="0"/>
        <w:jc w:val="both"/>
        <w:rPr>
          <w:rFonts w:cs="Arial"/>
          <w:lang w:val="pt-BR"/>
        </w:rPr>
      </w:pPr>
      <w:r w:rsidRPr="00610608">
        <w:rPr>
          <w:rFonts w:cs="Arial"/>
          <w:lang w:val="pt-BR"/>
        </w:rPr>
        <w:t>Composição das vacinas</w:t>
      </w:r>
    </w:p>
    <w:p w:rsidR="00A05CAA" w:rsidRPr="00610608" w:rsidRDefault="00A05CAA" w:rsidP="00C52E09">
      <w:pPr>
        <w:pStyle w:val="ListParagraph"/>
        <w:numPr>
          <w:ilvl w:val="2"/>
          <w:numId w:val="60"/>
        </w:numPr>
        <w:spacing w:before="120" w:after="0"/>
        <w:ind w:right="-43"/>
        <w:contextualSpacing w:val="0"/>
        <w:jc w:val="both"/>
        <w:rPr>
          <w:rFonts w:cs="Arial"/>
          <w:lang w:val="pt-BR"/>
        </w:rPr>
      </w:pPr>
      <w:r w:rsidRPr="00610608">
        <w:rPr>
          <w:rFonts w:cs="Arial"/>
          <w:lang w:val="pt-PT"/>
        </w:rPr>
        <w:t>As vacinas são produzidas por microorganismos mortos ou vivos inactivados ou atenuados, ou então pelas toxinas que os microorganismos produzem</w:t>
      </w:r>
    </w:p>
    <w:p w:rsidR="00A05CAA" w:rsidRPr="00610608" w:rsidRDefault="00A05CAA" w:rsidP="00C52E09">
      <w:pPr>
        <w:pStyle w:val="ListParagraph"/>
        <w:numPr>
          <w:ilvl w:val="2"/>
          <w:numId w:val="60"/>
        </w:numPr>
        <w:spacing w:before="120" w:after="0"/>
        <w:ind w:right="-43"/>
        <w:contextualSpacing w:val="0"/>
        <w:jc w:val="both"/>
        <w:rPr>
          <w:rFonts w:cs="Arial"/>
          <w:lang w:val="pt-BR"/>
        </w:rPr>
      </w:pPr>
      <w:r w:rsidRPr="00610608">
        <w:rPr>
          <w:rFonts w:cs="Arial"/>
          <w:lang w:val="pt-BR"/>
        </w:rPr>
        <w:t>De maneira geral, as vacinas constituídas por microrganismos vivos são mais eficientes, mas devem ser preparadas com microrganismos inofensivos ou modificados, relacionados antigenicamente com os patógenos, que não possam provocar uma doença infecciosa. O processo pelo qual se enfraquecem os patógenos para que sejam incapazes de produzir doença é chamado atenuação.</w:t>
      </w:r>
    </w:p>
    <w:p w:rsidR="00A05CAA" w:rsidRPr="00610608" w:rsidRDefault="00A05CAA" w:rsidP="00C52E09">
      <w:pPr>
        <w:pStyle w:val="ListParagraph"/>
        <w:numPr>
          <w:ilvl w:val="1"/>
          <w:numId w:val="60"/>
        </w:numPr>
        <w:spacing w:before="120" w:after="0"/>
        <w:ind w:left="540" w:right="-43" w:hanging="540"/>
        <w:contextualSpacing w:val="0"/>
        <w:jc w:val="both"/>
        <w:rPr>
          <w:rFonts w:cs="Arial"/>
          <w:lang w:val="pt-BR"/>
        </w:rPr>
      </w:pPr>
      <w:r w:rsidRPr="00610608">
        <w:rPr>
          <w:rFonts w:cs="Arial"/>
          <w:lang w:val="pt-BR"/>
        </w:rPr>
        <w:t>Tipos de Vacinas: existem diferentes tipos de vacinas, segundo a estratégia utilizada para diminuir o risco de provocar doença e manter a capacidade de induzir a resposta imunológica.</w:t>
      </w:r>
    </w:p>
    <w:p w:rsidR="00A05CAA" w:rsidRPr="00610608" w:rsidRDefault="00A05CAA" w:rsidP="00C52E09">
      <w:pPr>
        <w:pStyle w:val="TM-3n"/>
        <w:numPr>
          <w:ilvl w:val="2"/>
          <w:numId w:val="60"/>
        </w:numPr>
        <w:tabs>
          <w:tab w:val="clear" w:pos="1276"/>
          <w:tab w:val="left" w:pos="1350"/>
        </w:tabs>
        <w:spacing w:before="120" w:after="0" w:line="276" w:lineRule="auto"/>
        <w:ind w:left="1350" w:firstLine="90"/>
      </w:pPr>
      <w:r w:rsidRPr="00610608">
        <w:t>Vacinas inactivadas, são constituídas por patógenos mortos por calor ou substâncias químicas. Podem ser virais ou bacterianas. Como exemplos podemos considerar as vacinas contra a hepatite A (viral), gripe (viral), poliomielite (viral), raiva (viral), e febre tifóide (bacteriana).</w:t>
      </w:r>
    </w:p>
    <w:p w:rsidR="00A05CAA" w:rsidRPr="00610608" w:rsidRDefault="00A05CAA" w:rsidP="00C52E09">
      <w:pPr>
        <w:pStyle w:val="TM-3n"/>
        <w:numPr>
          <w:ilvl w:val="2"/>
          <w:numId w:val="60"/>
        </w:numPr>
        <w:tabs>
          <w:tab w:val="clear" w:pos="1276"/>
          <w:tab w:val="left" w:pos="1350"/>
        </w:tabs>
        <w:spacing w:before="120" w:after="0" w:line="276" w:lineRule="auto"/>
        <w:ind w:left="1350" w:firstLine="90"/>
      </w:pPr>
      <w:r w:rsidRPr="00610608">
        <w:lastRenderedPageBreak/>
        <w:t>Vacinas atenuadas, geralmente estas vacinas contêm patógenos mutantes não virulentos (não patógenos). Não é aconselhável administrar este tipo de vacinas a indivíduos com imunossupresão, já que os patógenos atenuados podem provocar doenças nestas pessoas. Exemplos são as vacinas de sarampo (viral), rubéola (viral), poliomielite (viral), febre-amarela (viral), tuberculose (bacteriana, chamada BCG), cólera, febre tifóide.</w:t>
      </w:r>
    </w:p>
    <w:p w:rsidR="00A05CAA" w:rsidRPr="00610608" w:rsidRDefault="00A05CAA" w:rsidP="00C52E09">
      <w:pPr>
        <w:pStyle w:val="TM-3n"/>
        <w:numPr>
          <w:ilvl w:val="2"/>
          <w:numId w:val="60"/>
        </w:numPr>
        <w:tabs>
          <w:tab w:val="clear" w:pos="1276"/>
          <w:tab w:val="left" w:pos="1350"/>
        </w:tabs>
        <w:spacing w:before="120" w:after="0" w:line="276" w:lineRule="auto"/>
        <w:ind w:left="1350" w:firstLine="90"/>
      </w:pPr>
      <w:r w:rsidRPr="00610608">
        <w:t>Vacinas de subunidades, são vacinas que utilizam as partes antigénicas do patógeno, em vez de utilizar o patógeno inteiro. Normalmente são proteínas. São produzidas no laboratório por meio de técnicas de clonação. Entre elas estão as vacinas contra hepatite B e o vírus do papiloma humano.</w:t>
      </w:r>
    </w:p>
    <w:p w:rsidR="00A05CAA" w:rsidRPr="00610608" w:rsidRDefault="00A05CAA" w:rsidP="00C52E09">
      <w:pPr>
        <w:pStyle w:val="TM-3n"/>
        <w:numPr>
          <w:ilvl w:val="2"/>
          <w:numId w:val="60"/>
        </w:numPr>
        <w:tabs>
          <w:tab w:val="clear" w:pos="1276"/>
          <w:tab w:val="left" w:pos="1350"/>
        </w:tabs>
        <w:spacing w:before="120" w:after="0" w:line="276" w:lineRule="auto"/>
        <w:ind w:left="1350" w:firstLine="90"/>
      </w:pPr>
      <w:r w:rsidRPr="00610608">
        <w:t xml:space="preserve">Vacinas conjugadas. Alguns microrganismos têm antígenos pouco potentes, que não estimulam o sistema imune o suficiente para gerar uma resposta protectora. Estes antigenos podem se ligar quimicamente a proteínas para aumentar a sua antigenicidade e estimular adequadamente o sistema imune. Por exemplo, as vacinas contra </w:t>
      </w:r>
      <w:r w:rsidRPr="00610608">
        <w:rPr>
          <w:i/>
        </w:rPr>
        <w:t xml:space="preserve">Haemophilus influenza </w:t>
      </w:r>
      <w:r w:rsidRPr="00610608">
        <w:t>tipo B, ou meningite meningocócica.</w:t>
      </w:r>
    </w:p>
    <w:p w:rsidR="00A05CAA" w:rsidRPr="00610608" w:rsidRDefault="00A05CAA" w:rsidP="00C52E09">
      <w:pPr>
        <w:pStyle w:val="TM-3n"/>
        <w:numPr>
          <w:ilvl w:val="2"/>
          <w:numId w:val="60"/>
        </w:numPr>
        <w:tabs>
          <w:tab w:val="clear" w:pos="1276"/>
          <w:tab w:val="left" w:pos="1350"/>
        </w:tabs>
        <w:spacing w:before="120" w:after="0" w:line="276" w:lineRule="auto"/>
        <w:ind w:left="1350" w:firstLine="0"/>
      </w:pPr>
      <w:r w:rsidRPr="00610608">
        <w:t>Vacinas com toxóides: um toxóide é uma toxina produzida por um patógeno e que foi inactivada por calor ou substâncias químicas. Um toxóide pode ser inoculado com segurança para estimular a síntese de anticorpos contra a toxina produzida por um patógeno determinado. São muito eficazes. Exemplos são os toxóides contra tétanos, difteria e botulismo.</w:t>
      </w:r>
    </w:p>
    <w:p w:rsidR="00A05CAA" w:rsidRDefault="00A05CAA" w:rsidP="0070097E">
      <w:pPr>
        <w:pStyle w:val="TM-4n"/>
        <w:numPr>
          <w:ilvl w:val="0"/>
          <w:numId w:val="0"/>
        </w:numPr>
        <w:tabs>
          <w:tab w:val="clear" w:pos="1134"/>
        </w:tabs>
        <w:spacing w:before="120" w:after="0" w:line="276" w:lineRule="auto"/>
        <w:ind w:left="98"/>
      </w:pPr>
      <w:r w:rsidRPr="00610608">
        <w:t>Os anticorpos contra toxinas podem ser isolados ou produzidos no laboratório, e são chamados anti-toxinas. Os soros que contêm anti-toxinas são chamados anti-soros – conferem imunidade passiva artificial.</w:t>
      </w:r>
    </w:p>
    <w:p w:rsidR="00A05CAA" w:rsidRPr="00610608" w:rsidRDefault="00A05CAA" w:rsidP="00A05CAA">
      <w:pPr>
        <w:pStyle w:val="TM-4n"/>
        <w:numPr>
          <w:ilvl w:val="0"/>
          <w:numId w:val="0"/>
        </w:numPr>
        <w:spacing w:before="120" w:after="0" w:line="276" w:lineRule="auto"/>
      </w:pPr>
    </w:p>
    <w:p w:rsidR="00A05CAA" w:rsidRPr="00610608" w:rsidRDefault="00A05CAA" w:rsidP="00A05CAA">
      <w:pPr>
        <w:shd w:val="clear" w:color="auto" w:fill="B8CCE4"/>
        <w:tabs>
          <w:tab w:val="left" w:pos="1276"/>
          <w:tab w:val="right" w:pos="8550"/>
        </w:tabs>
        <w:spacing w:before="120" w:after="120"/>
        <w:ind w:right="-43"/>
        <w:jc w:val="both"/>
        <w:rPr>
          <w:rFonts w:cs="Arial"/>
          <w:b/>
          <w:lang w:val="pt-PT"/>
        </w:rPr>
      </w:pPr>
      <w:r w:rsidRPr="00610608">
        <w:rPr>
          <w:rFonts w:cs="Arial"/>
          <w:b/>
          <w:lang w:val="pt-PT"/>
        </w:rPr>
        <w:t>BLOCO 4. IMUNODEFICIÊNCIAS</w:t>
      </w:r>
    </w:p>
    <w:p w:rsidR="006D397B" w:rsidRDefault="00A05CAA" w:rsidP="00C52E09">
      <w:pPr>
        <w:pStyle w:val="TM-2n"/>
        <w:numPr>
          <w:ilvl w:val="1"/>
          <w:numId w:val="61"/>
        </w:numPr>
        <w:spacing w:before="120" w:after="0" w:line="276" w:lineRule="auto"/>
        <w:ind w:left="540" w:hanging="540"/>
      </w:pPr>
      <w:r w:rsidRPr="00610608">
        <w:t>As imunodeficiências são um conjunto de condições do sistema imune em que este é incapaz de responder à entrada de antígenos estranhos no organismo.</w:t>
      </w:r>
    </w:p>
    <w:p w:rsidR="006D397B" w:rsidRDefault="00A05CAA" w:rsidP="00C52E09">
      <w:pPr>
        <w:pStyle w:val="TM-2n"/>
        <w:numPr>
          <w:ilvl w:val="1"/>
          <w:numId w:val="61"/>
        </w:numPr>
        <w:spacing w:before="120" w:after="0" w:line="276" w:lineRule="auto"/>
        <w:ind w:left="540" w:hanging="540"/>
      </w:pPr>
      <w:r w:rsidRPr="00610608">
        <w:t>A maior parte das imunodeficiências são adquiridas, mas em alguns casos o indivíduo pode nascer com defeitos que produzem imunodeficiência. Estes casos são conhecidos como imunodeficiências primárias.</w:t>
      </w:r>
    </w:p>
    <w:p w:rsidR="006D397B" w:rsidRDefault="00A05CAA" w:rsidP="00C52E09">
      <w:pPr>
        <w:pStyle w:val="TM-2n"/>
        <w:numPr>
          <w:ilvl w:val="1"/>
          <w:numId w:val="61"/>
        </w:numPr>
        <w:spacing w:before="120" w:after="0" w:line="276" w:lineRule="auto"/>
        <w:ind w:left="540" w:hanging="540"/>
      </w:pPr>
      <w:r w:rsidRPr="00610608">
        <w:t>Tanto as imunodeficiências primárias como as adquiridas fazem com que o indivíduo seja mais susceptível às infecções. Em muitas ocasiões, microrganismos que em pessoas saudáveis não produzem doença são patogénicos (produzem doenças) para pessoas com imunodeficiências. Estes microrganismos são chamados patógenos oportunistas.</w:t>
      </w:r>
    </w:p>
    <w:p w:rsidR="00A05CAA" w:rsidRPr="006D397B" w:rsidRDefault="00A05CAA" w:rsidP="00C52E09">
      <w:pPr>
        <w:pStyle w:val="TM-2n"/>
        <w:numPr>
          <w:ilvl w:val="1"/>
          <w:numId w:val="61"/>
        </w:numPr>
        <w:spacing w:before="120" w:after="0" w:line="276" w:lineRule="auto"/>
        <w:ind w:left="540" w:hanging="540"/>
      </w:pPr>
      <w:r w:rsidRPr="006D397B">
        <w:rPr>
          <w:b/>
        </w:rPr>
        <w:t>Imunodeficiências Primárias</w:t>
      </w:r>
    </w:p>
    <w:p w:rsidR="00A05CAA" w:rsidRPr="00610608" w:rsidRDefault="00A05CAA" w:rsidP="00C52E09">
      <w:pPr>
        <w:pStyle w:val="TM-3n"/>
        <w:numPr>
          <w:ilvl w:val="2"/>
          <w:numId w:val="61"/>
        </w:numPr>
        <w:spacing w:before="120" w:after="0" w:line="276" w:lineRule="auto"/>
        <w:ind w:left="1260"/>
      </w:pPr>
      <w:r w:rsidRPr="00610608">
        <w:t>As imunodeficiências primárias acontecem muito raramente. Podem ser o resultado de defeitos na produção de anticorpos, na cascata do complemento, na função fagocítica, ou em outras funções do sistema imune.</w:t>
      </w:r>
    </w:p>
    <w:p w:rsidR="00A05CAA" w:rsidRPr="00610608" w:rsidRDefault="00A05CAA" w:rsidP="00C52E09">
      <w:pPr>
        <w:pStyle w:val="TM-3n"/>
        <w:numPr>
          <w:ilvl w:val="2"/>
          <w:numId w:val="61"/>
        </w:numPr>
        <w:spacing w:before="120" w:after="0" w:line="276" w:lineRule="auto"/>
        <w:ind w:left="1260"/>
      </w:pPr>
      <w:r w:rsidRPr="00610608">
        <w:t xml:space="preserve">O tratamento das imunodeficiências primárias depende do defeito específico. Os tratamentos mais utilizados são a injecção com anticorpos e a profilaxia (prevenção) com antibióticos. </w:t>
      </w:r>
      <w:r>
        <w:t>Á</w:t>
      </w:r>
      <w:r w:rsidRPr="00610608">
        <w:t>s vezes é necessário recorrer a técnicas de transplante de medula óssea.</w:t>
      </w:r>
    </w:p>
    <w:p w:rsidR="00A05CAA" w:rsidRPr="00610608" w:rsidRDefault="00A05CAA" w:rsidP="00C52E09">
      <w:pPr>
        <w:pStyle w:val="TM-2n"/>
        <w:numPr>
          <w:ilvl w:val="1"/>
          <w:numId w:val="61"/>
        </w:numPr>
        <w:tabs>
          <w:tab w:val="left" w:pos="0"/>
        </w:tabs>
        <w:spacing w:before="120" w:after="0" w:line="276" w:lineRule="auto"/>
        <w:ind w:left="0" w:firstLine="0"/>
        <w:rPr>
          <w:b/>
        </w:rPr>
      </w:pPr>
      <w:r w:rsidRPr="00610608">
        <w:rPr>
          <w:b/>
        </w:rPr>
        <w:t>Imunodeficiências Adquiridas</w:t>
      </w:r>
    </w:p>
    <w:p w:rsidR="00A05CAA" w:rsidRPr="00610608" w:rsidRDefault="00A05CAA" w:rsidP="00C52E09">
      <w:pPr>
        <w:pStyle w:val="TM-3n"/>
        <w:numPr>
          <w:ilvl w:val="2"/>
          <w:numId w:val="61"/>
        </w:numPr>
        <w:spacing w:before="120" w:after="0" w:line="276" w:lineRule="auto"/>
        <w:ind w:left="1260"/>
      </w:pPr>
      <w:r w:rsidRPr="00610608">
        <w:t>A imunodeficiência adquirida pode aparecer por causa de algumas condições e doenças, ou ser induzida por fármacos, substâncias químicas, ou radiações.</w:t>
      </w:r>
    </w:p>
    <w:p w:rsidR="00A05CAA" w:rsidRPr="00610608" w:rsidRDefault="00A05CAA" w:rsidP="00C52E09">
      <w:pPr>
        <w:pStyle w:val="TM-3n"/>
        <w:numPr>
          <w:ilvl w:val="2"/>
          <w:numId w:val="61"/>
        </w:numPr>
        <w:spacing w:before="120" w:after="0" w:line="276" w:lineRule="auto"/>
        <w:ind w:left="1260"/>
      </w:pPr>
      <w:r w:rsidRPr="00610608">
        <w:lastRenderedPageBreak/>
        <w:t>Existem determinadas condições que podem produzir imunodeficiência adquirida. Entre elas podem-se destacar:</w:t>
      </w:r>
    </w:p>
    <w:p w:rsidR="00A05CAA" w:rsidRPr="00610608" w:rsidRDefault="00A05CAA" w:rsidP="00C52E09">
      <w:pPr>
        <w:pStyle w:val="TM-4n"/>
        <w:numPr>
          <w:ilvl w:val="0"/>
          <w:numId w:val="56"/>
        </w:numPr>
        <w:tabs>
          <w:tab w:val="clear" w:pos="1134"/>
        </w:tabs>
        <w:spacing w:before="120" w:after="0" w:line="276" w:lineRule="auto"/>
        <w:ind w:left="1800" w:hanging="450"/>
      </w:pPr>
      <w:r w:rsidRPr="00610608">
        <w:t>Malnutrição (desnutrição). É a causa mais comum de imunodeficiência adquirida no nosso meio.</w:t>
      </w:r>
    </w:p>
    <w:p w:rsidR="00A05CAA" w:rsidRPr="00610608" w:rsidRDefault="00A05CAA" w:rsidP="00C52E09">
      <w:pPr>
        <w:pStyle w:val="TM-4n"/>
        <w:numPr>
          <w:ilvl w:val="0"/>
          <w:numId w:val="56"/>
        </w:numPr>
        <w:tabs>
          <w:tab w:val="clear" w:pos="1134"/>
        </w:tabs>
        <w:spacing w:before="120" w:after="0" w:line="276" w:lineRule="auto"/>
        <w:ind w:left="1800" w:hanging="450"/>
      </w:pPr>
      <w:r w:rsidRPr="00610608">
        <w:t>Idade – as crianças e idosos, tem uma diminuição da capacidade de resposta imune. Nas crianças, isto é devido ao facto do sistema imune estar imaturo; nos idosos, se deve a ineficiência do sistema imune relacionado com o próprio processo de envelhecimento.</w:t>
      </w:r>
    </w:p>
    <w:p w:rsidR="00A05CAA" w:rsidRPr="00610608" w:rsidRDefault="00A05CAA" w:rsidP="00C52E09">
      <w:pPr>
        <w:pStyle w:val="TM-4n"/>
        <w:numPr>
          <w:ilvl w:val="0"/>
          <w:numId w:val="56"/>
        </w:numPr>
        <w:tabs>
          <w:tab w:val="clear" w:pos="1134"/>
        </w:tabs>
        <w:spacing w:before="120" w:after="0" w:line="276" w:lineRule="auto"/>
        <w:ind w:left="1800" w:hanging="450"/>
      </w:pPr>
      <w:r w:rsidRPr="00610608">
        <w:t>Alguns tipos de cancro, especialmente aqueles que afectam à medula óssea e as células sanguíneas, também produzem imunodeficiência.</w:t>
      </w:r>
    </w:p>
    <w:p w:rsidR="00A05CAA" w:rsidRPr="00610608" w:rsidRDefault="00A05CAA" w:rsidP="00C52E09">
      <w:pPr>
        <w:pStyle w:val="TM-4n"/>
        <w:numPr>
          <w:ilvl w:val="0"/>
          <w:numId w:val="56"/>
        </w:numPr>
        <w:tabs>
          <w:tab w:val="clear" w:pos="1134"/>
        </w:tabs>
        <w:spacing w:before="120" w:after="0" w:line="276" w:lineRule="auto"/>
        <w:ind w:left="1800" w:hanging="450"/>
      </w:pPr>
      <w:r w:rsidRPr="00610608">
        <w:t>Gestação – a gravidez induz a um estado de imunodeficiência relacionado com as hormonas elevadas para suster o feto.</w:t>
      </w:r>
    </w:p>
    <w:p w:rsidR="00A05CAA" w:rsidRPr="00610608" w:rsidRDefault="00A05CAA" w:rsidP="00C52E09">
      <w:pPr>
        <w:pStyle w:val="TM-4n"/>
        <w:numPr>
          <w:ilvl w:val="0"/>
          <w:numId w:val="56"/>
        </w:numPr>
        <w:tabs>
          <w:tab w:val="clear" w:pos="1134"/>
        </w:tabs>
        <w:spacing w:before="120" w:after="0" w:line="276" w:lineRule="auto"/>
        <w:ind w:left="1800" w:hanging="450"/>
      </w:pPr>
      <w:r w:rsidRPr="00610608">
        <w:t xml:space="preserve">Medicamentos: certos medicamentos induzem a imunodepressão, como o caso de terapia prolongada com corticosteróides (prednisolona), medicamentos para o tratamento de cancros. </w:t>
      </w:r>
    </w:p>
    <w:p w:rsidR="00A05CAA" w:rsidRPr="00610608" w:rsidRDefault="00A05CAA" w:rsidP="00C52E09">
      <w:pPr>
        <w:pStyle w:val="TM-4n"/>
        <w:numPr>
          <w:ilvl w:val="0"/>
          <w:numId w:val="56"/>
        </w:numPr>
        <w:tabs>
          <w:tab w:val="clear" w:pos="1134"/>
        </w:tabs>
        <w:spacing w:before="120" w:after="0" w:line="276" w:lineRule="auto"/>
        <w:ind w:left="1800" w:hanging="450"/>
      </w:pPr>
      <w:r w:rsidRPr="00610608">
        <w:t>Certas doenças infecciosas também produzem imunodeficiência. Entre elas, a mais conhecida é a infecção pelo HIV. O HIV ataca às células T auxiliares (CD4) e reduz o seu número. Isto impede a produção normal de anticorpos, e portanto leva à incapacidade para lutar contra muitos patógenos. Normalmente, as pessoas com infecção avançada pelo HIV (estádio de SIDA), morrem devido a uma variedade de doenças infecciosas, que podem ser virais, bacterianas, fúngicas ou parasitárias.</w:t>
      </w:r>
    </w:p>
    <w:p w:rsidR="00A05CAA" w:rsidRPr="00610608" w:rsidRDefault="00A05CAA" w:rsidP="00C52E09">
      <w:pPr>
        <w:pStyle w:val="TM-4n"/>
        <w:numPr>
          <w:ilvl w:val="0"/>
          <w:numId w:val="56"/>
        </w:numPr>
        <w:tabs>
          <w:tab w:val="clear" w:pos="1134"/>
        </w:tabs>
        <w:spacing w:before="120" w:after="0" w:line="276" w:lineRule="auto"/>
        <w:ind w:left="1800" w:hanging="450"/>
      </w:pPr>
      <w:r w:rsidRPr="00610608">
        <w:t>Outras situações que levam a imunodepressão: alcoolismo, diabetes, radioterapia (uso de raios X para tratamento de certos cancros)</w:t>
      </w:r>
    </w:p>
    <w:p w:rsidR="00A05CAA" w:rsidRDefault="00A05CAA" w:rsidP="00C52E09">
      <w:pPr>
        <w:pStyle w:val="TM-2n"/>
        <w:numPr>
          <w:ilvl w:val="1"/>
          <w:numId w:val="61"/>
        </w:numPr>
        <w:spacing w:before="120" w:after="0" w:line="276" w:lineRule="auto"/>
        <w:ind w:left="90" w:firstLine="0"/>
      </w:pPr>
      <w:r w:rsidRPr="00610608">
        <w:t>Quando possível, o tratamento ou eliminação da causa pode resolver a imunodeficiência adquirida. Porém, até a imunodeficiência desaparecer, muitas vezes é necessário tratar as infecções oportunistas que aparecem.</w:t>
      </w:r>
    </w:p>
    <w:p w:rsidR="00F8000A" w:rsidRPr="00610608" w:rsidRDefault="00F8000A" w:rsidP="00506DE0">
      <w:pPr>
        <w:pStyle w:val="TM-2n"/>
        <w:numPr>
          <w:ilvl w:val="0"/>
          <w:numId w:val="0"/>
        </w:numPr>
        <w:spacing w:before="120" w:after="0"/>
        <w:ind w:left="1080"/>
      </w:pPr>
    </w:p>
    <w:p w:rsidR="00A05CAA" w:rsidRPr="00610608" w:rsidRDefault="00A05CAA" w:rsidP="00A05CAA">
      <w:pPr>
        <w:shd w:val="clear" w:color="auto" w:fill="B8CCE4"/>
        <w:tabs>
          <w:tab w:val="left" w:pos="1276"/>
          <w:tab w:val="right" w:pos="8550"/>
        </w:tabs>
        <w:spacing w:before="120" w:after="120"/>
        <w:ind w:right="-43"/>
        <w:jc w:val="both"/>
        <w:rPr>
          <w:rFonts w:cs="Arial"/>
          <w:b/>
          <w:lang w:val="pt-PT"/>
        </w:rPr>
      </w:pPr>
      <w:r w:rsidRPr="00610608">
        <w:rPr>
          <w:rFonts w:cs="Arial"/>
          <w:b/>
          <w:lang w:val="pt-PT"/>
        </w:rPr>
        <w:t>BLOCO 5. PONTOS-CHAVE</w:t>
      </w:r>
    </w:p>
    <w:p w:rsidR="00A05CAA" w:rsidRPr="00610608" w:rsidRDefault="00A05CAA" w:rsidP="00C52E09">
      <w:pPr>
        <w:pStyle w:val="TM-4n"/>
        <w:numPr>
          <w:ilvl w:val="1"/>
          <w:numId w:val="62"/>
        </w:numPr>
        <w:tabs>
          <w:tab w:val="clear" w:pos="1134"/>
        </w:tabs>
        <w:spacing w:before="120" w:after="0" w:line="276" w:lineRule="auto"/>
        <w:ind w:left="90" w:firstLine="0"/>
      </w:pPr>
      <w:r w:rsidRPr="00610608">
        <w:t>Autoimunidade é uma resposta imune específica contra um antígeno ou série de antígenos próprios, e surge devido a falha da tolerância imunológica</w:t>
      </w:r>
    </w:p>
    <w:p w:rsidR="006D397B" w:rsidRDefault="00A05CAA" w:rsidP="00C52E09">
      <w:pPr>
        <w:pStyle w:val="TM-4n"/>
        <w:numPr>
          <w:ilvl w:val="1"/>
          <w:numId w:val="62"/>
        </w:numPr>
        <w:tabs>
          <w:tab w:val="clear" w:pos="1134"/>
        </w:tabs>
        <w:spacing w:before="120" w:after="0" w:line="276" w:lineRule="auto"/>
        <w:ind w:left="90" w:firstLine="0"/>
      </w:pPr>
      <w:r w:rsidRPr="00610608">
        <w:rPr>
          <w:rFonts w:eastAsia="Calibri"/>
        </w:rPr>
        <w:t>Doença Auto-imune é uma doença provocada por lesão tissular ou alteração funcional desencadeadas por uma resposta auto-imune</w:t>
      </w:r>
    </w:p>
    <w:p w:rsidR="00A05CAA" w:rsidRPr="00D76085" w:rsidRDefault="00A05CAA" w:rsidP="00C52E09">
      <w:pPr>
        <w:pStyle w:val="TM-4n"/>
        <w:numPr>
          <w:ilvl w:val="1"/>
          <w:numId w:val="62"/>
        </w:numPr>
        <w:tabs>
          <w:tab w:val="clear" w:pos="1134"/>
        </w:tabs>
        <w:spacing w:before="120" w:after="0" w:line="276" w:lineRule="auto"/>
        <w:ind w:left="90" w:firstLine="0"/>
      </w:pPr>
      <w:r w:rsidRPr="006D397B">
        <w:rPr>
          <w:rFonts w:eastAsia="Calibri"/>
        </w:rPr>
        <w:t>As reacções de hipersensibilidade podem ser de 4 tipos: Tipo I, II, III e IV</w:t>
      </w:r>
    </w:p>
    <w:p w:rsidR="00D76085" w:rsidRDefault="00D76085" w:rsidP="00C52E09">
      <w:pPr>
        <w:pStyle w:val="TM-4n"/>
        <w:numPr>
          <w:ilvl w:val="1"/>
          <w:numId w:val="62"/>
        </w:numPr>
        <w:tabs>
          <w:tab w:val="clear" w:pos="1134"/>
        </w:tabs>
        <w:spacing w:before="120" w:after="0" w:line="276" w:lineRule="auto"/>
        <w:ind w:left="90" w:firstLine="0"/>
      </w:pPr>
      <w:r>
        <w:t>A alergia é uma reacção de hipersensibilidade imunológica (resposta exagerada do sistema imune a um estímulo externo específico – substâncias alergénicas), devido a falha da auto-regulação</w:t>
      </w:r>
    </w:p>
    <w:p w:rsidR="00D76085" w:rsidRDefault="00D76085" w:rsidP="00C52E09">
      <w:pPr>
        <w:pStyle w:val="TM-4n"/>
        <w:numPr>
          <w:ilvl w:val="1"/>
          <w:numId w:val="62"/>
        </w:numPr>
        <w:tabs>
          <w:tab w:val="clear" w:pos="1134"/>
        </w:tabs>
        <w:spacing w:before="120" w:after="0" w:line="276" w:lineRule="auto"/>
        <w:ind w:left="90" w:firstLine="0"/>
      </w:pPr>
      <w:r>
        <w:t>Reacção anafilática é uma situação grave de alergia que pode levar a morte</w:t>
      </w:r>
    </w:p>
    <w:p w:rsidR="00D76085" w:rsidRDefault="00D76085" w:rsidP="00C52E09">
      <w:pPr>
        <w:pStyle w:val="TM-4n"/>
        <w:numPr>
          <w:ilvl w:val="1"/>
          <w:numId w:val="62"/>
        </w:numPr>
        <w:tabs>
          <w:tab w:val="clear" w:pos="1134"/>
        </w:tabs>
        <w:spacing w:before="120" w:after="0" w:line="276" w:lineRule="auto"/>
        <w:ind w:left="90" w:firstLine="0"/>
      </w:pPr>
      <w:r w:rsidRPr="00610608">
        <w:t>As vacinas induzem ou melhoram de maneira artificial a imunidade do organismo perante uma doença infecciosa</w:t>
      </w:r>
    </w:p>
    <w:p w:rsidR="00D76085" w:rsidRDefault="00D76085" w:rsidP="00C52E09">
      <w:pPr>
        <w:pStyle w:val="TM-4n"/>
        <w:numPr>
          <w:ilvl w:val="1"/>
          <w:numId w:val="62"/>
        </w:numPr>
        <w:tabs>
          <w:tab w:val="clear" w:pos="1134"/>
        </w:tabs>
        <w:spacing w:before="120" w:after="0" w:line="276" w:lineRule="auto"/>
        <w:ind w:left="90" w:firstLine="0"/>
      </w:pPr>
      <w:r w:rsidRPr="00610608">
        <w:t>Os anticorpos e células de memória produzidos em resposta a uma vacina (resposta imune primária) permanecerão no organismo durante longos períodos e são capazes de gerar uma potente e rápida resposta protectora no caso de um patógeno entrar em contacto com o organismo no futuro (resposta imune secundária)</w:t>
      </w:r>
    </w:p>
    <w:p w:rsidR="00D76085" w:rsidRDefault="00D76085" w:rsidP="00C52E09">
      <w:pPr>
        <w:pStyle w:val="TM-4n"/>
        <w:numPr>
          <w:ilvl w:val="1"/>
          <w:numId w:val="62"/>
        </w:numPr>
        <w:tabs>
          <w:tab w:val="clear" w:pos="1134"/>
        </w:tabs>
        <w:spacing w:before="120" w:after="0" w:line="276" w:lineRule="auto"/>
        <w:ind w:left="90" w:firstLine="0"/>
      </w:pPr>
      <w:r w:rsidRPr="00610608">
        <w:lastRenderedPageBreak/>
        <w:t>A maior parte das vacinas é constituída por patógenos vivos inactivados ou mortos, ou pelas toxinas que eles produzem</w:t>
      </w:r>
    </w:p>
    <w:p w:rsidR="00D76085" w:rsidRDefault="00D76085" w:rsidP="00C52E09">
      <w:pPr>
        <w:pStyle w:val="TM-4n"/>
        <w:numPr>
          <w:ilvl w:val="1"/>
          <w:numId w:val="62"/>
        </w:numPr>
        <w:tabs>
          <w:tab w:val="clear" w:pos="1134"/>
        </w:tabs>
        <w:spacing w:before="120" w:after="0" w:line="276" w:lineRule="auto"/>
        <w:ind w:left="90" w:firstLine="0"/>
      </w:pPr>
      <w:r w:rsidRPr="00610608">
        <w:t>As vacinas constituídas por microrganismos vivos são mais eficientes, mas devem ser preparadas com microrganismos inofensivos</w:t>
      </w:r>
      <w:r>
        <w:t xml:space="preserve"> (atenuados)</w:t>
      </w:r>
    </w:p>
    <w:p w:rsidR="00D76085" w:rsidRDefault="00D76085" w:rsidP="00C52E09">
      <w:pPr>
        <w:pStyle w:val="TM-4n"/>
        <w:numPr>
          <w:ilvl w:val="1"/>
          <w:numId w:val="62"/>
        </w:numPr>
        <w:tabs>
          <w:tab w:val="clear" w:pos="1134"/>
        </w:tabs>
        <w:spacing w:before="120" w:after="0" w:line="276" w:lineRule="auto"/>
        <w:ind w:left="90" w:firstLine="0"/>
      </w:pPr>
      <w:r w:rsidRPr="00610608">
        <w:t>As imunodeficiências são um conjunto de condições nos quais o sistema imune é incapaz de responder à entrada de antígenos estranhos no organismo. Elas podem ser primárias ou adquiridas</w:t>
      </w:r>
    </w:p>
    <w:p w:rsidR="00D76085" w:rsidRDefault="00D76085" w:rsidP="00C52E09">
      <w:pPr>
        <w:pStyle w:val="TM-4n"/>
        <w:numPr>
          <w:ilvl w:val="1"/>
          <w:numId w:val="62"/>
        </w:numPr>
        <w:tabs>
          <w:tab w:val="clear" w:pos="1134"/>
        </w:tabs>
        <w:spacing w:before="120" w:after="0" w:line="276" w:lineRule="auto"/>
        <w:ind w:left="90" w:firstLine="0"/>
      </w:pPr>
      <w:r w:rsidRPr="00610608">
        <w:t>A causa mais comum de imunodeficiência adquirida é a malnutrição (desnutrição)</w:t>
      </w:r>
    </w:p>
    <w:p w:rsidR="00D76085" w:rsidRDefault="00D76085" w:rsidP="00C52E09">
      <w:pPr>
        <w:pStyle w:val="TM-4n"/>
        <w:numPr>
          <w:ilvl w:val="1"/>
          <w:numId w:val="62"/>
        </w:numPr>
        <w:tabs>
          <w:tab w:val="clear" w:pos="1134"/>
        </w:tabs>
        <w:spacing w:before="120" w:after="0" w:line="276" w:lineRule="auto"/>
        <w:ind w:left="90" w:firstLine="0"/>
      </w:pPr>
      <w:r w:rsidRPr="00610608">
        <w:t>Entre as imunodeficiências de causa infecciosa, a mais importante é a infecção pelo HIV</w:t>
      </w:r>
    </w:p>
    <w:p w:rsidR="00F8000A" w:rsidRDefault="00F8000A">
      <w:pPr>
        <w:rPr>
          <w:lang w:val="pt-BR"/>
        </w:rPr>
      </w:pPr>
      <w:r>
        <w:rPr>
          <w:lang w:val="pt-BR"/>
        </w:rPr>
        <w:br w:type="page"/>
      </w:r>
    </w:p>
    <w:tbl>
      <w:tblPr>
        <w:tblW w:w="10170" w:type="dxa"/>
        <w:tblInd w:w="-110" w:type="dxa"/>
        <w:tblLayout w:type="fixed"/>
        <w:tblCellMar>
          <w:left w:w="70" w:type="dxa"/>
          <w:right w:w="70" w:type="dxa"/>
        </w:tblCellMar>
        <w:tblLook w:val="0020" w:firstRow="1" w:lastRow="0" w:firstColumn="0" w:lastColumn="0" w:noHBand="0" w:noVBand="0"/>
      </w:tblPr>
      <w:tblGrid>
        <w:gridCol w:w="1530"/>
        <w:gridCol w:w="4500"/>
        <w:gridCol w:w="1710"/>
        <w:gridCol w:w="2430"/>
      </w:tblGrid>
      <w:tr w:rsidR="00A05CAA" w:rsidRPr="007955F6" w:rsidTr="00E8674E">
        <w:trPr>
          <w:cantSplit/>
          <w:trHeight w:val="413"/>
        </w:trPr>
        <w:tc>
          <w:tcPr>
            <w:tcW w:w="1530" w:type="dxa"/>
            <w:tcBorders>
              <w:top w:val="single" w:sz="6" w:space="0" w:color="000000"/>
              <w:left w:val="single" w:sz="6" w:space="0" w:color="000000"/>
              <w:bottom w:val="single" w:sz="6" w:space="0" w:color="000000"/>
              <w:right w:val="single" w:sz="6" w:space="0" w:color="000000"/>
            </w:tcBorders>
            <w:vAlign w:val="center"/>
          </w:tcPr>
          <w:p w:rsidR="00A05CAA" w:rsidRPr="007955F6" w:rsidRDefault="00A05CAA" w:rsidP="00E8674E">
            <w:pPr>
              <w:spacing w:line="240" w:lineRule="auto"/>
              <w:rPr>
                <w:rFonts w:cs="Arial"/>
                <w:b/>
              </w:rPr>
            </w:pPr>
            <w:r w:rsidRPr="007955F6">
              <w:rPr>
                <w:rFonts w:cs="Arial"/>
                <w:b/>
              </w:rPr>
              <w:lastRenderedPageBreak/>
              <w:t>Disciplina</w:t>
            </w:r>
          </w:p>
        </w:tc>
        <w:tc>
          <w:tcPr>
            <w:tcW w:w="4500" w:type="dxa"/>
            <w:tcBorders>
              <w:top w:val="single" w:sz="6" w:space="0" w:color="000000"/>
              <w:left w:val="single" w:sz="6" w:space="0" w:color="000000"/>
              <w:bottom w:val="single" w:sz="6" w:space="0" w:color="000000"/>
              <w:right w:val="single" w:sz="6" w:space="0" w:color="000000"/>
            </w:tcBorders>
            <w:vAlign w:val="center"/>
          </w:tcPr>
          <w:p w:rsidR="00A05CAA" w:rsidRPr="007955F6" w:rsidRDefault="00A05CAA" w:rsidP="00E8674E">
            <w:pPr>
              <w:spacing w:before="60" w:after="60" w:line="240" w:lineRule="auto"/>
              <w:rPr>
                <w:rFonts w:cs="Arial"/>
              </w:rPr>
            </w:pPr>
            <w:r w:rsidRPr="007955F6">
              <w:rPr>
                <w:rFonts w:cs="Arial"/>
              </w:rPr>
              <w:t>Introdução às Ciências Médicas</w:t>
            </w:r>
          </w:p>
        </w:tc>
        <w:tc>
          <w:tcPr>
            <w:tcW w:w="1710" w:type="dxa"/>
            <w:tcBorders>
              <w:top w:val="single" w:sz="6" w:space="0" w:color="000000"/>
              <w:left w:val="single" w:sz="6" w:space="0" w:color="000000"/>
              <w:bottom w:val="single" w:sz="6" w:space="0" w:color="000000"/>
              <w:right w:val="single" w:sz="6" w:space="0" w:color="000000"/>
            </w:tcBorders>
            <w:vAlign w:val="center"/>
          </w:tcPr>
          <w:p w:rsidR="00A05CAA" w:rsidRPr="007955F6" w:rsidRDefault="00A05CAA" w:rsidP="00E8674E">
            <w:pPr>
              <w:spacing w:line="240" w:lineRule="auto"/>
              <w:rPr>
                <w:rFonts w:cs="Arial"/>
                <w:b/>
              </w:rPr>
            </w:pPr>
            <w:r w:rsidRPr="007955F6">
              <w:rPr>
                <w:rFonts w:cs="Arial"/>
                <w:b/>
              </w:rPr>
              <w:t xml:space="preserve">N° da Aula </w:t>
            </w:r>
          </w:p>
        </w:tc>
        <w:tc>
          <w:tcPr>
            <w:tcW w:w="2430" w:type="dxa"/>
            <w:tcBorders>
              <w:top w:val="single" w:sz="6" w:space="0" w:color="000000"/>
              <w:left w:val="single" w:sz="6" w:space="0" w:color="000000"/>
              <w:bottom w:val="single" w:sz="6" w:space="0" w:color="000000"/>
              <w:right w:val="single" w:sz="6" w:space="0" w:color="000000"/>
            </w:tcBorders>
            <w:vAlign w:val="center"/>
          </w:tcPr>
          <w:p w:rsidR="00A05CAA" w:rsidRPr="0070097E" w:rsidRDefault="00A05CAA" w:rsidP="00E8674E">
            <w:pPr>
              <w:spacing w:line="240" w:lineRule="auto"/>
              <w:jc w:val="center"/>
              <w:rPr>
                <w:rFonts w:cs="Arial"/>
              </w:rPr>
            </w:pPr>
            <w:r w:rsidRPr="0070097E">
              <w:rPr>
                <w:rFonts w:cs="Arial"/>
              </w:rPr>
              <w:t>7</w:t>
            </w:r>
          </w:p>
        </w:tc>
      </w:tr>
      <w:tr w:rsidR="00A05CAA" w:rsidRPr="007955F6" w:rsidTr="00E8674E">
        <w:trPr>
          <w:cantSplit/>
          <w:trHeight w:val="413"/>
        </w:trPr>
        <w:tc>
          <w:tcPr>
            <w:tcW w:w="1530" w:type="dxa"/>
            <w:tcBorders>
              <w:top w:val="single" w:sz="6" w:space="0" w:color="000000"/>
              <w:left w:val="single" w:sz="6" w:space="0" w:color="000000"/>
              <w:bottom w:val="single" w:sz="6" w:space="0" w:color="000000"/>
              <w:right w:val="single" w:sz="6" w:space="0" w:color="000000"/>
            </w:tcBorders>
            <w:vAlign w:val="center"/>
          </w:tcPr>
          <w:p w:rsidR="00A05CAA" w:rsidRPr="007955F6" w:rsidRDefault="00A05CAA" w:rsidP="00E8674E">
            <w:pPr>
              <w:spacing w:line="240" w:lineRule="auto"/>
              <w:rPr>
                <w:rFonts w:cs="Arial"/>
                <w:b/>
              </w:rPr>
            </w:pPr>
            <w:r w:rsidRPr="007955F6">
              <w:rPr>
                <w:rFonts w:cs="Arial"/>
                <w:b/>
              </w:rPr>
              <w:t>Tópico</w:t>
            </w:r>
          </w:p>
        </w:tc>
        <w:tc>
          <w:tcPr>
            <w:tcW w:w="4500" w:type="dxa"/>
            <w:tcBorders>
              <w:top w:val="single" w:sz="6" w:space="0" w:color="000000"/>
              <w:left w:val="single" w:sz="6" w:space="0" w:color="000000"/>
              <w:bottom w:val="single" w:sz="6" w:space="0" w:color="000000"/>
              <w:right w:val="single" w:sz="6" w:space="0" w:color="000000"/>
            </w:tcBorders>
            <w:vAlign w:val="center"/>
          </w:tcPr>
          <w:p w:rsidR="00A05CAA" w:rsidRPr="00F8000A" w:rsidRDefault="00A05CAA" w:rsidP="00A05CAA">
            <w:pPr>
              <w:pStyle w:val="Heading1"/>
              <w:rPr>
                <w:b w:val="0"/>
                <w:sz w:val="22"/>
                <w:szCs w:val="22"/>
              </w:rPr>
            </w:pPr>
            <w:bookmarkStart w:id="12" w:name="_Toc329099755"/>
            <w:r w:rsidRPr="00F8000A">
              <w:rPr>
                <w:b w:val="0"/>
                <w:sz w:val="22"/>
                <w:szCs w:val="22"/>
              </w:rPr>
              <w:t>Microbiologia (1)</w:t>
            </w:r>
            <w:bookmarkEnd w:id="12"/>
          </w:p>
        </w:tc>
        <w:tc>
          <w:tcPr>
            <w:tcW w:w="1710" w:type="dxa"/>
            <w:tcBorders>
              <w:top w:val="single" w:sz="6" w:space="0" w:color="000000"/>
              <w:left w:val="single" w:sz="6" w:space="0" w:color="000000"/>
              <w:bottom w:val="single" w:sz="6" w:space="0" w:color="000000"/>
              <w:right w:val="single" w:sz="6" w:space="0" w:color="000000"/>
            </w:tcBorders>
            <w:vAlign w:val="center"/>
          </w:tcPr>
          <w:p w:rsidR="00A05CAA" w:rsidRPr="007955F6" w:rsidRDefault="00A05CAA" w:rsidP="00E8674E">
            <w:pPr>
              <w:spacing w:line="240" w:lineRule="auto"/>
              <w:rPr>
                <w:rFonts w:cs="Arial"/>
                <w:b/>
              </w:rPr>
            </w:pPr>
            <w:r w:rsidRPr="007955F6">
              <w:rPr>
                <w:rFonts w:cs="Arial"/>
                <w:b/>
              </w:rPr>
              <w:t xml:space="preserve">Tipo </w:t>
            </w:r>
          </w:p>
        </w:tc>
        <w:tc>
          <w:tcPr>
            <w:tcW w:w="2430" w:type="dxa"/>
            <w:tcBorders>
              <w:top w:val="single" w:sz="6" w:space="0" w:color="000000"/>
              <w:left w:val="single" w:sz="6" w:space="0" w:color="000000"/>
              <w:bottom w:val="single" w:sz="6" w:space="0" w:color="000000"/>
              <w:right w:val="single" w:sz="6" w:space="0" w:color="000000"/>
            </w:tcBorders>
            <w:vAlign w:val="center"/>
          </w:tcPr>
          <w:p w:rsidR="00A05CAA" w:rsidRPr="0070097E" w:rsidRDefault="00A05CAA" w:rsidP="00E8674E">
            <w:pPr>
              <w:spacing w:line="240" w:lineRule="auto"/>
              <w:jc w:val="center"/>
              <w:rPr>
                <w:rFonts w:cs="Arial"/>
              </w:rPr>
            </w:pPr>
            <w:r w:rsidRPr="0070097E">
              <w:rPr>
                <w:rFonts w:cs="Arial"/>
              </w:rPr>
              <w:t>Teórica</w:t>
            </w:r>
          </w:p>
        </w:tc>
      </w:tr>
      <w:tr w:rsidR="00A05CAA" w:rsidRPr="007955F6" w:rsidTr="00E8674E">
        <w:trPr>
          <w:cantSplit/>
          <w:trHeight w:val="414"/>
        </w:trPr>
        <w:tc>
          <w:tcPr>
            <w:tcW w:w="1530" w:type="dxa"/>
            <w:tcBorders>
              <w:top w:val="single" w:sz="6" w:space="0" w:color="000000"/>
              <w:left w:val="single" w:sz="6" w:space="0" w:color="000000"/>
              <w:bottom w:val="single" w:sz="6" w:space="0" w:color="000000"/>
              <w:right w:val="single" w:sz="6" w:space="0" w:color="000000"/>
            </w:tcBorders>
            <w:vAlign w:val="center"/>
          </w:tcPr>
          <w:p w:rsidR="00A05CAA" w:rsidRPr="007955F6" w:rsidRDefault="00A05CAA" w:rsidP="00E8674E">
            <w:pPr>
              <w:spacing w:line="240" w:lineRule="auto"/>
              <w:rPr>
                <w:rFonts w:cs="Arial"/>
                <w:b/>
              </w:rPr>
            </w:pPr>
            <w:r w:rsidRPr="007955F6">
              <w:rPr>
                <w:rFonts w:cs="Arial"/>
                <w:b/>
              </w:rPr>
              <w:t>Conteúdos</w:t>
            </w:r>
          </w:p>
        </w:tc>
        <w:tc>
          <w:tcPr>
            <w:tcW w:w="4500" w:type="dxa"/>
            <w:tcBorders>
              <w:top w:val="single" w:sz="6" w:space="0" w:color="000000"/>
              <w:left w:val="single" w:sz="6" w:space="0" w:color="000000"/>
              <w:bottom w:val="single" w:sz="6" w:space="0" w:color="000000"/>
              <w:right w:val="single" w:sz="6" w:space="0" w:color="000000"/>
            </w:tcBorders>
            <w:vAlign w:val="center"/>
          </w:tcPr>
          <w:p w:rsidR="00A05CAA" w:rsidRPr="007955F6" w:rsidRDefault="00A05CAA" w:rsidP="00E8674E">
            <w:pPr>
              <w:spacing w:before="60" w:after="60" w:line="240" w:lineRule="auto"/>
              <w:rPr>
                <w:rFonts w:cs="Arial"/>
                <w:lang w:val="pt-BR"/>
              </w:rPr>
            </w:pPr>
            <w:r w:rsidRPr="007955F6">
              <w:rPr>
                <w:rFonts w:cs="Arial"/>
                <w:lang w:val="pt-BR"/>
              </w:rPr>
              <w:t>Conceitos Básicos</w:t>
            </w:r>
          </w:p>
        </w:tc>
        <w:tc>
          <w:tcPr>
            <w:tcW w:w="1710" w:type="dxa"/>
            <w:tcBorders>
              <w:top w:val="single" w:sz="6" w:space="0" w:color="000000"/>
              <w:left w:val="single" w:sz="6" w:space="0" w:color="000000"/>
              <w:bottom w:val="single" w:sz="6" w:space="0" w:color="000000"/>
              <w:right w:val="single" w:sz="6" w:space="0" w:color="000000"/>
            </w:tcBorders>
            <w:vAlign w:val="center"/>
          </w:tcPr>
          <w:p w:rsidR="00A05CAA" w:rsidRPr="007955F6" w:rsidRDefault="00A05CAA" w:rsidP="00E8674E">
            <w:pPr>
              <w:spacing w:line="240" w:lineRule="auto"/>
              <w:rPr>
                <w:rFonts w:cs="Arial"/>
                <w:b/>
              </w:rPr>
            </w:pPr>
            <w:r w:rsidRPr="007955F6">
              <w:rPr>
                <w:rFonts w:cs="Arial"/>
                <w:b/>
              </w:rPr>
              <w:t>Duração</w:t>
            </w:r>
          </w:p>
        </w:tc>
        <w:tc>
          <w:tcPr>
            <w:tcW w:w="2430" w:type="dxa"/>
            <w:tcBorders>
              <w:top w:val="single" w:sz="6" w:space="0" w:color="000000"/>
              <w:left w:val="single" w:sz="6" w:space="0" w:color="000000"/>
              <w:bottom w:val="single" w:sz="6" w:space="0" w:color="000000"/>
              <w:right w:val="single" w:sz="6" w:space="0" w:color="000000"/>
            </w:tcBorders>
            <w:vAlign w:val="center"/>
          </w:tcPr>
          <w:p w:rsidR="00A05CAA" w:rsidRPr="0070097E" w:rsidRDefault="00A05CAA" w:rsidP="00E8674E">
            <w:pPr>
              <w:spacing w:line="240" w:lineRule="auto"/>
              <w:jc w:val="center"/>
              <w:rPr>
                <w:rFonts w:cs="Arial"/>
              </w:rPr>
            </w:pPr>
            <w:r w:rsidRPr="0070097E">
              <w:rPr>
                <w:rFonts w:cs="Arial"/>
              </w:rPr>
              <w:t>2 h</w:t>
            </w:r>
          </w:p>
        </w:tc>
      </w:tr>
    </w:tbl>
    <w:p w:rsidR="00A05CAA" w:rsidRDefault="00A05CAA" w:rsidP="00A05CAA">
      <w:pPr>
        <w:outlineLvl w:val="0"/>
        <w:rPr>
          <w:rFonts w:cs="Arial"/>
          <w:b/>
          <w:bCs/>
        </w:rPr>
      </w:pPr>
    </w:p>
    <w:p w:rsidR="00A05CAA" w:rsidRPr="0052785B" w:rsidRDefault="00A05CAA" w:rsidP="0052785B">
      <w:pPr>
        <w:rPr>
          <w:b/>
        </w:rPr>
      </w:pPr>
      <w:r w:rsidRPr="0052785B">
        <w:rPr>
          <w:b/>
        </w:rPr>
        <w:t>Objectivos de Aprendizagem:</w:t>
      </w:r>
    </w:p>
    <w:p w:rsidR="00A05CAA" w:rsidRPr="00A05CAA" w:rsidRDefault="00A05CAA" w:rsidP="00A05CAA">
      <w:pPr>
        <w:spacing w:before="60"/>
        <w:rPr>
          <w:rFonts w:cs="Arial"/>
          <w:lang w:val="pt-BR"/>
        </w:rPr>
      </w:pPr>
      <w:r w:rsidRPr="00A05CAA">
        <w:rPr>
          <w:rFonts w:cs="Arial"/>
          <w:lang w:val="pt-BR"/>
        </w:rPr>
        <w:t>Até ao fim da aula os alunos devem ser capazes de:</w:t>
      </w:r>
    </w:p>
    <w:p w:rsidR="00A05CAA" w:rsidRPr="00A05CAA" w:rsidRDefault="00A05CAA" w:rsidP="00A05CAA">
      <w:pPr>
        <w:spacing w:before="60"/>
        <w:rPr>
          <w:rFonts w:cs="Arial"/>
          <w:lang w:val="pt-BR"/>
        </w:rPr>
      </w:pPr>
      <w:r w:rsidRPr="00A05CAA">
        <w:rPr>
          <w:rFonts w:cs="Arial"/>
          <w:lang w:val="pt-BR"/>
        </w:rPr>
        <w:t>Sobre o conteúdo “Conceitos básicos” de microbiologia:</w:t>
      </w:r>
    </w:p>
    <w:p w:rsidR="00A05CAA" w:rsidRPr="007955F6" w:rsidRDefault="00A05CAA" w:rsidP="00C52E09">
      <w:pPr>
        <w:pStyle w:val="ListParagraph"/>
        <w:numPr>
          <w:ilvl w:val="0"/>
          <w:numId w:val="65"/>
        </w:numPr>
        <w:spacing w:before="60" w:after="0"/>
        <w:contextualSpacing w:val="0"/>
        <w:rPr>
          <w:rFonts w:cs="Arial"/>
        </w:rPr>
      </w:pPr>
      <w:r w:rsidRPr="007955F6">
        <w:rPr>
          <w:rFonts w:cs="Arial"/>
        </w:rPr>
        <w:t>Definir microbiologia e microrganismos</w:t>
      </w:r>
    </w:p>
    <w:p w:rsidR="00A05CAA" w:rsidRPr="00A05CAA" w:rsidRDefault="00A05CAA" w:rsidP="00C52E09">
      <w:pPr>
        <w:pStyle w:val="ListParagraph"/>
        <w:numPr>
          <w:ilvl w:val="0"/>
          <w:numId w:val="65"/>
        </w:numPr>
        <w:spacing w:before="60" w:after="0"/>
        <w:contextualSpacing w:val="0"/>
        <w:rPr>
          <w:rFonts w:cs="Arial"/>
          <w:lang w:val="pt-BR"/>
        </w:rPr>
      </w:pPr>
      <w:r w:rsidRPr="00A05CAA">
        <w:rPr>
          <w:rFonts w:cs="Arial"/>
          <w:lang w:val="pt-BR"/>
        </w:rPr>
        <w:t>Classificar os microrganismos (acelulares e celulares)</w:t>
      </w:r>
    </w:p>
    <w:p w:rsidR="00A05CAA" w:rsidRPr="00A05CAA" w:rsidRDefault="00A05CAA" w:rsidP="00C52E09">
      <w:pPr>
        <w:pStyle w:val="ListParagraph"/>
        <w:numPr>
          <w:ilvl w:val="0"/>
          <w:numId w:val="65"/>
        </w:numPr>
        <w:spacing w:before="60" w:after="0"/>
        <w:contextualSpacing w:val="0"/>
        <w:rPr>
          <w:rFonts w:cs="Arial"/>
          <w:lang w:val="pt-BR"/>
        </w:rPr>
      </w:pPr>
      <w:r w:rsidRPr="00A05CAA">
        <w:rPr>
          <w:rFonts w:cs="Arial"/>
          <w:lang w:val="pt-BR"/>
        </w:rPr>
        <w:t>Identificar e discutir os principais conceitos: patógeno, reservatório, vector, veículo, hospedeiro, hospedeiro intermediário e definitivo, ciclo de vida, transmissão</w:t>
      </w:r>
      <w:r w:rsidRPr="007955F6">
        <w:rPr>
          <w:rFonts w:cs="Arial"/>
          <w:lang w:val="pt-BR"/>
        </w:rPr>
        <w:t>.</w:t>
      </w:r>
    </w:p>
    <w:p w:rsidR="00A05CAA" w:rsidRPr="00A05CAA" w:rsidRDefault="00A05CAA" w:rsidP="00C52E09">
      <w:pPr>
        <w:pStyle w:val="ListParagraph"/>
        <w:numPr>
          <w:ilvl w:val="0"/>
          <w:numId w:val="65"/>
        </w:numPr>
        <w:spacing w:before="60" w:after="0"/>
        <w:contextualSpacing w:val="0"/>
        <w:rPr>
          <w:rFonts w:cs="Arial"/>
          <w:lang w:val="pt-BR"/>
        </w:rPr>
      </w:pPr>
      <w:r w:rsidRPr="00A05CAA">
        <w:rPr>
          <w:rFonts w:cs="Arial"/>
          <w:lang w:val="pt-BR"/>
        </w:rPr>
        <w:t>Descrever os mecanismos patogénicos envolvidos nas infecções</w:t>
      </w:r>
    </w:p>
    <w:p w:rsidR="00A05CAA" w:rsidRPr="00A05CAA" w:rsidRDefault="00A05CAA" w:rsidP="00A05CAA">
      <w:pPr>
        <w:tabs>
          <w:tab w:val="left" w:pos="244"/>
        </w:tabs>
        <w:spacing w:line="240" w:lineRule="auto"/>
        <w:rPr>
          <w:rFonts w:cs="Arial"/>
          <w:lang w:val="pt-BR"/>
        </w:rPr>
      </w:pPr>
    </w:p>
    <w:p w:rsidR="00A05CAA" w:rsidRPr="0052785B" w:rsidRDefault="00A05CAA" w:rsidP="0052785B">
      <w:pPr>
        <w:rPr>
          <w:b/>
        </w:rPr>
      </w:pPr>
      <w:r w:rsidRPr="0052785B">
        <w:rPr>
          <w:b/>
        </w:rPr>
        <w:t>Estrutura da Aula</w:t>
      </w:r>
    </w:p>
    <w:tbl>
      <w:tblPr>
        <w:tblW w:w="10188" w:type="dxa"/>
        <w:tblBorders>
          <w:top w:val="single" w:sz="18" w:space="0" w:color="auto"/>
          <w:bottom w:val="single" w:sz="18" w:space="0" w:color="auto"/>
        </w:tblBorders>
        <w:tblLayout w:type="fixed"/>
        <w:tblLook w:val="0400" w:firstRow="0" w:lastRow="0" w:firstColumn="0" w:lastColumn="0" w:noHBand="0" w:noVBand="1"/>
      </w:tblPr>
      <w:tblGrid>
        <w:gridCol w:w="738"/>
        <w:gridCol w:w="3240"/>
        <w:gridCol w:w="3780"/>
        <w:gridCol w:w="2430"/>
      </w:tblGrid>
      <w:tr w:rsidR="00A05CAA" w:rsidRPr="007955F6" w:rsidTr="00FC6E81">
        <w:trPr>
          <w:trHeight w:val="490"/>
        </w:trPr>
        <w:tc>
          <w:tcPr>
            <w:tcW w:w="738" w:type="dxa"/>
            <w:tcBorders>
              <w:top w:val="single" w:sz="18" w:space="0" w:color="auto"/>
              <w:bottom w:val="single" w:sz="18" w:space="0" w:color="auto"/>
              <w:right w:val="single" w:sz="4" w:space="0" w:color="auto"/>
            </w:tcBorders>
            <w:shd w:val="clear" w:color="auto" w:fill="B8CCE4"/>
          </w:tcPr>
          <w:p w:rsidR="00A05CAA" w:rsidRPr="007955F6" w:rsidRDefault="00A05CAA" w:rsidP="00E8674E">
            <w:pPr>
              <w:spacing w:line="240" w:lineRule="auto"/>
              <w:ind w:left="-110" w:right="-108"/>
              <w:jc w:val="center"/>
              <w:rPr>
                <w:rFonts w:cs="Arial"/>
                <w:b/>
              </w:rPr>
            </w:pPr>
            <w:r w:rsidRPr="007955F6">
              <w:rPr>
                <w:rFonts w:cs="Arial"/>
                <w:b/>
              </w:rPr>
              <w:t>Bloco</w:t>
            </w:r>
          </w:p>
        </w:tc>
        <w:tc>
          <w:tcPr>
            <w:tcW w:w="3240" w:type="dxa"/>
            <w:tcBorders>
              <w:top w:val="single" w:sz="18" w:space="0" w:color="auto"/>
              <w:left w:val="single" w:sz="4" w:space="0" w:color="auto"/>
              <w:bottom w:val="single" w:sz="18" w:space="0" w:color="auto"/>
              <w:right w:val="single" w:sz="4" w:space="0" w:color="auto"/>
            </w:tcBorders>
            <w:shd w:val="clear" w:color="auto" w:fill="B8CCE4"/>
          </w:tcPr>
          <w:p w:rsidR="00A05CAA" w:rsidRPr="007955F6" w:rsidRDefault="00A05CAA" w:rsidP="00E8674E">
            <w:pPr>
              <w:spacing w:line="240" w:lineRule="auto"/>
              <w:jc w:val="center"/>
              <w:rPr>
                <w:rFonts w:cs="Arial"/>
                <w:b/>
              </w:rPr>
            </w:pPr>
            <w:r w:rsidRPr="007955F6">
              <w:rPr>
                <w:rFonts w:cs="Arial"/>
                <w:b/>
              </w:rPr>
              <w:t>Título do Bloco</w:t>
            </w:r>
          </w:p>
        </w:tc>
        <w:tc>
          <w:tcPr>
            <w:tcW w:w="3780" w:type="dxa"/>
            <w:tcBorders>
              <w:top w:val="single" w:sz="18" w:space="0" w:color="auto"/>
              <w:left w:val="single" w:sz="4" w:space="0" w:color="auto"/>
              <w:bottom w:val="single" w:sz="18" w:space="0" w:color="auto"/>
              <w:right w:val="single" w:sz="4" w:space="0" w:color="auto"/>
            </w:tcBorders>
            <w:shd w:val="clear" w:color="auto" w:fill="B8CCE4"/>
          </w:tcPr>
          <w:p w:rsidR="00A05CAA" w:rsidRPr="007955F6" w:rsidRDefault="00A05CAA" w:rsidP="00E8674E">
            <w:pPr>
              <w:tabs>
                <w:tab w:val="left" w:pos="244"/>
              </w:tabs>
              <w:spacing w:line="240" w:lineRule="auto"/>
              <w:jc w:val="center"/>
              <w:rPr>
                <w:rFonts w:cs="Arial"/>
                <w:b/>
                <w:lang w:val="pt-BR"/>
              </w:rPr>
            </w:pPr>
            <w:r w:rsidRPr="007955F6">
              <w:rPr>
                <w:rFonts w:cs="Arial"/>
                <w:b/>
              </w:rPr>
              <w:t>M</w:t>
            </w:r>
            <w:r w:rsidRPr="007955F6">
              <w:rPr>
                <w:rFonts w:cs="Arial"/>
                <w:b/>
                <w:lang w:val="pt-BR"/>
              </w:rPr>
              <w:t>étodo de Ensino</w:t>
            </w:r>
          </w:p>
        </w:tc>
        <w:tc>
          <w:tcPr>
            <w:tcW w:w="2430" w:type="dxa"/>
            <w:tcBorders>
              <w:top w:val="single" w:sz="18" w:space="0" w:color="auto"/>
              <w:left w:val="single" w:sz="4" w:space="0" w:color="auto"/>
              <w:bottom w:val="single" w:sz="18" w:space="0" w:color="auto"/>
            </w:tcBorders>
            <w:shd w:val="clear" w:color="auto" w:fill="B8CCE4"/>
          </w:tcPr>
          <w:p w:rsidR="00A05CAA" w:rsidRPr="007955F6" w:rsidRDefault="00A05CAA" w:rsidP="00E8674E">
            <w:pPr>
              <w:tabs>
                <w:tab w:val="left" w:pos="244"/>
              </w:tabs>
              <w:spacing w:line="240" w:lineRule="auto"/>
              <w:jc w:val="center"/>
              <w:rPr>
                <w:rFonts w:cs="Arial"/>
                <w:b/>
                <w:lang w:val="pt-BR"/>
              </w:rPr>
            </w:pPr>
            <w:r w:rsidRPr="007955F6">
              <w:rPr>
                <w:rFonts w:cs="Arial"/>
                <w:b/>
              </w:rPr>
              <w:t>Duração</w:t>
            </w:r>
          </w:p>
        </w:tc>
      </w:tr>
      <w:tr w:rsidR="00A05CAA" w:rsidRPr="007955F6" w:rsidTr="00FC6E81">
        <w:tc>
          <w:tcPr>
            <w:tcW w:w="738" w:type="dxa"/>
            <w:tcBorders>
              <w:top w:val="single" w:sz="18" w:space="0" w:color="auto"/>
              <w:bottom w:val="single" w:sz="4" w:space="0" w:color="auto"/>
              <w:right w:val="single" w:sz="4" w:space="0" w:color="auto"/>
            </w:tcBorders>
          </w:tcPr>
          <w:p w:rsidR="00A05CAA" w:rsidRPr="007955F6" w:rsidRDefault="00A05CAA" w:rsidP="00E8674E">
            <w:pPr>
              <w:spacing w:before="60" w:after="60" w:line="360" w:lineRule="auto"/>
              <w:ind w:left="-110" w:right="-108"/>
              <w:jc w:val="center"/>
              <w:rPr>
                <w:rFonts w:cs="Arial"/>
              </w:rPr>
            </w:pPr>
            <w:r w:rsidRPr="007955F6">
              <w:rPr>
                <w:rFonts w:cs="Arial"/>
              </w:rPr>
              <w:t>1</w:t>
            </w:r>
          </w:p>
        </w:tc>
        <w:tc>
          <w:tcPr>
            <w:tcW w:w="3240" w:type="dxa"/>
            <w:tcBorders>
              <w:top w:val="single" w:sz="18" w:space="0" w:color="auto"/>
              <w:left w:val="single" w:sz="4" w:space="0" w:color="auto"/>
              <w:bottom w:val="single" w:sz="4" w:space="0" w:color="auto"/>
              <w:right w:val="single" w:sz="4" w:space="0" w:color="auto"/>
            </w:tcBorders>
            <w:vAlign w:val="center"/>
          </w:tcPr>
          <w:p w:rsidR="00A05CAA" w:rsidRPr="007955F6" w:rsidRDefault="00A05CAA" w:rsidP="00E8674E">
            <w:pPr>
              <w:tabs>
                <w:tab w:val="left" w:pos="244"/>
              </w:tabs>
              <w:spacing w:before="60" w:after="60" w:line="360" w:lineRule="auto"/>
              <w:rPr>
                <w:rFonts w:cs="Arial"/>
              </w:rPr>
            </w:pPr>
            <w:r w:rsidRPr="007955F6">
              <w:rPr>
                <w:rFonts w:cs="Arial"/>
              </w:rPr>
              <w:t>Introdução à Aula</w:t>
            </w:r>
          </w:p>
          <w:p w:rsidR="00A05CAA" w:rsidRPr="007955F6" w:rsidRDefault="00A05CAA" w:rsidP="00E8674E">
            <w:pPr>
              <w:tabs>
                <w:tab w:val="left" w:pos="244"/>
              </w:tabs>
              <w:spacing w:before="60" w:after="60" w:line="360" w:lineRule="auto"/>
              <w:rPr>
                <w:rFonts w:cs="Arial"/>
              </w:rPr>
            </w:pPr>
          </w:p>
        </w:tc>
        <w:tc>
          <w:tcPr>
            <w:tcW w:w="3780" w:type="dxa"/>
            <w:tcBorders>
              <w:top w:val="single" w:sz="18" w:space="0" w:color="auto"/>
              <w:left w:val="single" w:sz="4" w:space="0" w:color="auto"/>
              <w:bottom w:val="single" w:sz="4" w:space="0" w:color="auto"/>
              <w:right w:val="single" w:sz="4" w:space="0" w:color="auto"/>
            </w:tcBorders>
          </w:tcPr>
          <w:p w:rsidR="00A05CAA" w:rsidRPr="007955F6" w:rsidRDefault="00A05CAA" w:rsidP="00E8674E">
            <w:pPr>
              <w:tabs>
                <w:tab w:val="left" w:pos="244"/>
              </w:tabs>
              <w:spacing w:before="60" w:after="60" w:line="360" w:lineRule="auto"/>
              <w:rPr>
                <w:rFonts w:cs="Arial"/>
              </w:rPr>
            </w:pPr>
          </w:p>
        </w:tc>
        <w:tc>
          <w:tcPr>
            <w:tcW w:w="2430" w:type="dxa"/>
            <w:tcBorders>
              <w:top w:val="single" w:sz="18" w:space="0" w:color="auto"/>
              <w:left w:val="single" w:sz="4" w:space="0" w:color="auto"/>
              <w:bottom w:val="single" w:sz="4" w:space="0" w:color="auto"/>
            </w:tcBorders>
          </w:tcPr>
          <w:p w:rsidR="00A05CAA" w:rsidRPr="007955F6" w:rsidRDefault="00A05CAA" w:rsidP="00E8674E">
            <w:pPr>
              <w:tabs>
                <w:tab w:val="left" w:pos="244"/>
              </w:tabs>
              <w:spacing w:before="60" w:after="60" w:line="360" w:lineRule="auto"/>
              <w:jc w:val="right"/>
              <w:rPr>
                <w:rFonts w:cs="Arial"/>
              </w:rPr>
            </w:pPr>
          </w:p>
        </w:tc>
      </w:tr>
      <w:tr w:rsidR="00A05CAA" w:rsidRPr="007955F6" w:rsidTr="00FC6E81">
        <w:tc>
          <w:tcPr>
            <w:tcW w:w="738" w:type="dxa"/>
            <w:tcBorders>
              <w:top w:val="single" w:sz="4" w:space="0" w:color="auto"/>
              <w:bottom w:val="single" w:sz="4" w:space="0" w:color="auto"/>
              <w:right w:val="single" w:sz="4" w:space="0" w:color="auto"/>
            </w:tcBorders>
            <w:shd w:val="clear" w:color="auto" w:fill="D9D9D9"/>
          </w:tcPr>
          <w:p w:rsidR="00A05CAA" w:rsidRPr="007955F6" w:rsidRDefault="00A05CAA" w:rsidP="00E8674E">
            <w:pPr>
              <w:spacing w:before="60" w:after="60" w:line="360" w:lineRule="auto"/>
              <w:ind w:left="-110" w:right="-108"/>
              <w:jc w:val="center"/>
              <w:rPr>
                <w:rFonts w:cs="Arial"/>
              </w:rPr>
            </w:pPr>
            <w:r w:rsidRPr="007955F6">
              <w:rPr>
                <w:rFonts w:cs="Arial"/>
              </w:rPr>
              <w:t>2</w:t>
            </w:r>
          </w:p>
        </w:tc>
        <w:tc>
          <w:tcPr>
            <w:tcW w:w="3240" w:type="dxa"/>
            <w:tcBorders>
              <w:top w:val="single" w:sz="4" w:space="0" w:color="auto"/>
              <w:left w:val="single" w:sz="4" w:space="0" w:color="auto"/>
              <w:bottom w:val="single" w:sz="4" w:space="0" w:color="auto"/>
              <w:right w:val="single" w:sz="4" w:space="0" w:color="auto"/>
            </w:tcBorders>
            <w:shd w:val="clear" w:color="auto" w:fill="D9D9D9"/>
          </w:tcPr>
          <w:p w:rsidR="00A05CAA" w:rsidRPr="007955F6" w:rsidRDefault="00A05CAA" w:rsidP="00E8674E">
            <w:pPr>
              <w:tabs>
                <w:tab w:val="left" w:pos="244"/>
              </w:tabs>
              <w:spacing w:before="60" w:after="60" w:line="360" w:lineRule="auto"/>
              <w:rPr>
                <w:rFonts w:cs="Arial"/>
              </w:rPr>
            </w:pPr>
            <w:r w:rsidRPr="007955F6">
              <w:rPr>
                <w:rFonts w:cs="Arial"/>
              </w:rPr>
              <w:t>Conceitos Básicos de Microbiologia</w:t>
            </w:r>
          </w:p>
        </w:tc>
        <w:tc>
          <w:tcPr>
            <w:tcW w:w="3780" w:type="dxa"/>
            <w:tcBorders>
              <w:top w:val="single" w:sz="4" w:space="0" w:color="auto"/>
              <w:left w:val="single" w:sz="4" w:space="0" w:color="auto"/>
              <w:bottom w:val="single" w:sz="4" w:space="0" w:color="auto"/>
              <w:right w:val="single" w:sz="4" w:space="0" w:color="auto"/>
            </w:tcBorders>
            <w:shd w:val="clear" w:color="auto" w:fill="D9D9D9"/>
          </w:tcPr>
          <w:p w:rsidR="00A05CAA" w:rsidRPr="007955F6" w:rsidRDefault="00A05CAA" w:rsidP="00E8674E">
            <w:pPr>
              <w:spacing w:before="60" w:after="60" w:line="360" w:lineRule="auto"/>
              <w:ind w:left="-18" w:firstLine="18"/>
              <w:rPr>
                <w:rFonts w:cs="Arial"/>
              </w:rPr>
            </w:pPr>
          </w:p>
        </w:tc>
        <w:tc>
          <w:tcPr>
            <w:tcW w:w="2430" w:type="dxa"/>
            <w:tcBorders>
              <w:top w:val="single" w:sz="4" w:space="0" w:color="auto"/>
              <w:left w:val="single" w:sz="4" w:space="0" w:color="auto"/>
              <w:bottom w:val="single" w:sz="4" w:space="0" w:color="auto"/>
            </w:tcBorders>
            <w:shd w:val="clear" w:color="auto" w:fill="D9D9D9"/>
          </w:tcPr>
          <w:p w:rsidR="00A05CAA" w:rsidRPr="007955F6" w:rsidRDefault="00A05CAA" w:rsidP="00E8674E">
            <w:pPr>
              <w:spacing w:before="60" w:after="60" w:line="360" w:lineRule="auto"/>
              <w:ind w:left="-18" w:firstLine="18"/>
              <w:jc w:val="right"/>
              <w:rPr>
                <w:rFonts w:cs="Arial"/>
              </w:rPr>
            </w:pPr>
          </w:p>
        </w:tc>
      </w:tr>
      <w:tr w:rsidR="00A05CAA" w:rsidRPr="007955F6" w:rsidTr="00FC6E81">
        <w:tc>
          <w:tcPr>
            <w:tcW w:w="738" w:type="dxa"/>
            <w:tcBorders>
              <w:top w:val="single" w:sz="4" w:space="0" w:color="auto"/>
              <w:bottom w:val="single" w:sz="4" w:space="0" w:color="auto"/>
              <w:right w:val="single" w:sz="4" w:space="0" w:color="auto"/>
            </w:tcBorders>
          </w:tcPr>
          <w:p w:rsidR="00A05CAA" w:rsidRPr="007955F6" w:rsidRDefault="00A05CAA" w:rsidP="00E8674E">
            <w:pPr>
              <w:spacing w:before="60" w:after="60" w:line="360" w:lineRule="auto"/>
              <w:ind w:left="-110" w:right="-108"/>
              <w:jc w:val="center"/>
              <w:rPr>
                <w:rFonts w:cs="Arial"/>
              </w:rPr>
            </w:pPr>
            <w:r w:rsidRPr="007955F6">
              <w:rPr>
                <w:rFonts w:cs="Arial"/>
              </w:rPr>
              <w:t>3</w:t>
            </w:r>
          </w:p>
        </w:tc>
        <w:tc>
          <w:tcPr>
            <w:tcW w:w="3240" w:type="dxa"/>
            <w:tcBorders>
              <w:top w:val="single" w:sz="4" w:space="0" w:color="auto"/>
              <w:left w:val="single" w:sz="4" w:space="0" w:color="auto"/>
              <w:bottom w:val="single" w:sz="4" w:space="0" w:color="auto"/>
              <w:right w:val="single" w:sz="4" w:space="0" w:color="auto"/>
            </w:tcBorders>
          </w:tcPr>
          <w:p w:rsidR="00A05CAA" w:rsidRPr="007955F6" w:rsidRDefault="00A05CAA" w:rsidP="00E8674E">
            <w:pPr>
              <w:tabs>
                <w:tab w:val="left" w:pos="244"/>
              </w:tabs>
              <w:spacing w:before="60" w:after="60" w:line="360" w:lineRule="auto"/>
              <w:rPr>
                <w:rFonts w:cs="Arial"/>
              </w:rPr>
            </w:pPr>
            <w:r w:rsidRPr="007955F6">
              <w:rPr>
                <w:rFonts w:cs="Arial"/>
              </w:rPr>
              <w:t>Mecanismos Patogénicos nas Infecções</w:t>
            </w:r>
          </w:p>
        </w:tc>
        <w:tc>
          <w:tcPr>
            <w:tcW w:w="3780" w:type="dxa"/>
            <w:tcBorders>
              <w:top w:val="single" w:sz="4" w:space="0" w:color="auto"/>
              <w:left w:val="single" w:sz="4" w:space="0" w:color="auto"/>
              <w:bottom w:val="single" w:sz="4" w:space="0" w:color="auto"/>
              <w:right w:val="single" w:sz="4" w:space="0" w:color="auto"/>
            </w:tcBorders>
          </w:tcPr>
          <w:p w:rsidR="00A05CAA" w:rsidRPr="007955F6" w:rsidRDefault="00A05CAA" w:rsidP="00E8674E">
            <w:pPr>
              <w:spacing w:before="60" w:after="60" w:line="360" w:lineRule="auto"/>
              <w:ind w:left="-18" w:firstLine="18"/>
              <w:rPr>
                <w:rFonts w:cs="Arial"/>
                <w:lang w:val="pt-BR"/>
              </w:rPr>
            </w:pPr>
          </w:p>
        </w:tc>
        <w:tc>
          <w:tcPr>
            <w:tcW w:w="2430" w:type="dxa"/>
            <w:tcBorders>
              <w:top w:val="single" w:sz="4" w:space="0" w:color="auto"/>
              <w:left w:val="single" w:sz="4" w:space="0" w:color="auto"/>
              <w:bottom w:val="single" w:sz="4" w:space="0" w:color="auto"/>
            </w:tcBorders>
          </w:tcPr>
          <w:p w:rsidR="00A05CAA" w:rsidRPr="007955F6" w:rsidRDefault="00A05CAA" w:rsidP="00E8674E">
            <w:pPr>
              <w:spacing w:before="60" w:after="60" w:line="360" w:lineRule="auto"/>
              <w:ind w:left="-18" w:firstLine="18"/>
              <w:jc w:val="right"/>
              <w:rPr>
                <w:rFonts w:cs="Arial"/>
                <w:lang w:val="pt-BR"/>
              </w:rPr>
            </w:pPr>
          </w:p>
        </w:tc>
      </w:tr>
      <w:tr w:rsidR="00A05CAA" w:rsidRPr="007955F6" w:rsidTr="00FC6E81">
        <w:tc>
          <w:tcPr>
            <w:tcW w:w="738" w:type="dxa"/>
            <w:tcBorders>
              <w:top w:val="single" w:sz="4" w:space="0" w:color="auto"/>
              <w:bottom w:val="single" w:sz="18" w:space="0" w:color="auto"/>
              <w:right w:val="single" w:sz="4" w:space="0" w:color="auto"/>
            </w:tcBorders>
            <w:shd w:val="clear" w:color="auto" w:fill="D9D9D9"/>
          </w:tcPr>
          <w:p w:rsidR="00A05CAA" w:rsidRPr="007955F6" w:rsidRDefault="00A05CAA" w:rsidP="00E8674E">
            <w:pPr>
              <w:spacing w:before="60" w:after="60" w:line="360" w:lineRule="auto"/>
              <w:ind w:left="-110" w:right="-108"/>
              <w:jc w:val="center"/>
              <w:rPr>
                <w:rFonts w:cs="Arial"/>
              </w:rPr>
            </w:pPr>
            <w:r w:rsidRPr="007955F6">
              <w:rPr>
                <w:rFonts w:cs="Arial"/>
              </w:rPr>
              <w:t>4</w:t>
            </w:r>
          </w:p>
        </w:tc>
        <w:tc>
          <w:tcPr>
            <w:tcW w:w="3240" w:type="dxa"/>
            <w:tcBorders>
              <w:top w:val="single" w:sz="4" w:space="0" w:color="auto"/>
              <w:left w:val="single" w:sz="4" w:space="0" w:color="auto"/>
              <w:bottom w:val="single" w:sz="18" w:space="0" w:color="auto"/>
              <w:right w:val="single" w:sz="4" w:space="0" w:color="auto"/>
            </w:tcBorders>
            <w:shd w:val="clear" w:color="auto" w:fill="D9D9D9"/>
            <w:vAlign w:val="center"/>
          </w:tcPr>
          <w:p w:rsidR="00A05CAA" w:rsidRPr="007955F6" w:rsidRDefault="00A05CAA" w:rsidP="00E8674E">
            <w:pPr>
              <w:tabs>
                <w:tab w:val="left" w:pos="244"/>
              </w:tabs>
              <w:spacing w:before="60" w:after="60" w:line="360" w:lineRule="auto"/>
              <w:rPr>
                <w:rFonts w:cs="Arial"/>
              </w:rPr>
            </w:pPr>
            <w:r w:rsidRPr="007955F6">
              <w:rPr>
                <w:rFonts w:cs="Arial"/>
              </w:rPr>
              <w:t>Pontos-chave</w:t>
            </w:r>
          </w:p>
          <w:p w:rsidR="00A05CAA" w:rsidRPr="007955F6" w:rsidRDefault="00A05CAA" w:rsidP="00E8674E">
            <w:pPr>
              <w:tabs>
                <w:tab w:val="left" w:pos="244"/>
              </w:tabs>
              <w:spacing w:before="60" w:after="60" w:line="360" w:lineRule="auto"/>
              <w:rPr>
                <w:rFonts w:cs="Arial"/>
              </w:rPr>
            </w:pPr>
          </w:p>
        </w:tc>
        <w:tc>
          <w:tcPr>
            <w:tcW w:w="3780" w:type="dxa"/>
            <w:tcBorders>
              <w:top w:val="single" w:sz="4" w:space="0" w:color="auto"/>
              <w:left w:val="single" w:sz="4" w:space="0" w:color="auto"/>
              <w:bottom w:val="single" w:sz="18" w:space="0" w:color="auto"/>
              <w:right w:val="single" w:sz="4" w:space="0" w:color="auto"/>
            </w:tcBorders>
            <w:shd w:val="clear" w:color="auto" w:fill="D9D9D9"/>
          </w:tcPr>
          <w:p w:rsidR="00A05CAA" w:rsidRPr="007955F6" w:rsidRDefault="00A05CAA" w:rsidP="00E8674E">
            <w:pPr>
              <w:spacing w:before="60" w:after="60" w:line="360" w:lineRule="auto"/>
              <w:ind w:left="-18" w:firstLine="18"/>
              <w:rPr>
                <w:rFonts w:cs="Arial"/>
              </w:rPr>
            </w:pPr>
          </w:p>
        </w:tc>
        <w:tc>
          <w:tcPr>
            <w:tcW w:w="2430" w:type="dxa"/>
            <w:tcBorders>
              <w:top w:val="single" w:sz="4" w:space="0" w:color="auto"/>
              <w:left w:val="single" w:sz="4" w:space="0" w:color="auto"/>
              <w:bottom w:val="single" w:sz="18" w:space="0" w:color="auto"/>
            </w:tcBorders>
            <w:shd w:val="clear" w:color="auto" w:fill="D9D9D9"/>
          </w:tcPr>
          <w:p w:rsidR="00A05CAA" w:rsidRPr="007955F6" w:rsidRDefault="00A05CAA" w:rsidP="00E8674E">
            <w:pPr>
              <w:spacing w:before="60" w:after="60" w:line="360" w:lineRule="auto"/>
              <w:ind w:left="-18" w:firstLine="18"/>
              <w:jc w:val="right"/>
              <w:rPr>
                <w:rFonts w:cs="Arial"/>
              </w:rPr>
            </w:pPr>
          </w:p>
        </w:tc>
      </w:tr>
    </w:tbl>
    <w:p w:rsidR="00A05CAA" w:rsidRPr="007955F6" w:rsidRDefault="00A05CAA" w:rsidP="00A05CAA">
      <w:pPr>
        <w:tabs>
          <w:tab w:val="left" w:pos="424"/>
        </w:tabs>
        <w:jc w:val="both"/>
        <w:rPr>
          <w:rFonts w:cs="Arial"/>
          <w:b/>
          <w:lang w:val="pt-BR"/>
        </w:rPr>
      </w:pPr>
    </w:p>
    <w:p w:rsidR="00A05CAA" w:rsidRPr="007955F6" w:rsidRDefault="00A05CAA" w:rsidP="00A05CAA">
      <w:pPr>
        <w:tabs>
          <w:tab w:val="left" w:pos="424"/>
        </w:tabs>
        <w:jc w:val="both"/>
        <w:rPr>
          <w:rFonts w:cs="Arial"/>
          <w:b/>
          <w:lang w:val="pt-BR"/>
        </w:rPr>
      </w:pPr>
      <w:r w:rsidRPr="007955F6">
        <w:rPr>
          <w:rFonts w:cs="Arial"/>
          <w:b/>
          <w:lang w:val="pt-BR"/>
        </w:rPr>
        <w:t>Equipamentos e meios audiovisuais necessários:</w:t>
      </w:r>
    </w:p>
    <w:p w:rsidR="00A05CAA" w:rsidRDefault="00A05CAA" w:rsidP="00A05CAA">
      <w:pPr>
        <w:tabs>
          <w:tab w:val="left" w:pos="424"/>
        </w:tabs>
        <w:jc w:val="both"/>
        <w:rPr>
          <w:rFonts w:cs="Arial"/>
          <w:b/>
          <w:lang w:val="pt-BR"/>
        </w:rPr>
      </w:pPr>
    </w:p>
    <w:p w:rsidR="00A05CAA" w:rsidRPr="007955F6" w:rsidRDefault="00A05CAA" w:rsidP="00A05CAA">
      <w:pPr>
        <w:tabs>
          <w:tab w:val="left" w:pos="424"/>
        </w:tabs>
        <w:jc w:val="both"/>
        <w:rPr>
          <w:rFonts w:cs="Arial"/>
          <w:lang w:val="pt-BR"/>
        </w:rPr>
      </w:pPr>
      <w:r w:rsidRPr="007955F6">
        <w:rPr>
          <w:rFonts w:cs="Arial"/>
          <w:b/>
          <w:lang w:val="pt-BR"/>
        </w:rPr>
        <w:t>Trabalhos para casa (TPC), Exercícios e textos para leitura – incluir data a ser entregue:</w:t>
      </w:r>
      <w:r w:rsidRPr="007955F6">
        <w:rPr>
          <w:rFonts w:cs="Arial"/>
          <w:lang w:val="pt-BR"/>
        </w:rPr>
        <w:t xml:space="preserve"> </w:t>
      </w:r>
    </w:p>
    <w:p w:rsidR="00A05CAA" w:rsidRDefault="00A05CAA" w:rsidP="00A05CAA">
      <w:pPr>
        <w:tabs>
          <w:tab w:val="left" w:pos="424"/>
        </w:tabs>
        <w:jc w:val="both"/>
        <w:rPr>
          <w:rFonts w:cs="Arial"/>
          <w:lang w:val="pt-BR"/>
        </w:rPr>
      </w:pPr>
    </w:p>
    <w:p w:rsidR="00F8000A" w:rsidRDefault="00F8000A" w:rsidP="00A05CAA">
      <w:pPr>
        <w:tabs>
          <w:tab w:val="left" w:pos="424"/>
        </w:tabs>
        <w:jc w:val="both"/>
        <w:rPr>
          <w:rFonts w:cs="Arial"/>
          <w:lang w:val="pt-BR"/>
        </w:rPr>
      </w:pPr>
    </w:p>
    <w:p w:rsidR="00A05CAA" w:rsidRPr="007955F6" w:rsidRDefault="00A05CAA" w:rsidP="00A05CAA">
      <w:pPr>
        <w:tabs>
          <w:tab w:val="left" w:pos="424"/>
        </w:tabs>
        <w:jc w:val="both"/>
        <w:rPr>
          <w:rFonts w:cs="Arial"/>
          <w:b/>
          <w:lang w:val="pt-BR"/>
        </w:rPr>
      </w:pPr>
      <w:r w:rsidRPr="007955F6">
        <w:rPr>
          <w:rFonts w:cs="Arial"/>
          <w:b/>
          <w:lang w:val="pt-BR"/>
        </w:rPr>
        <w:t>Bibliografia (referências usadas para o desenvolvimento do conteúdo):</w:t>
      </w:r>
    </w:p>
    <w:p w:rsidR="00A05CAA" w:rsidRPr="007955F6" w:rsidRDefault="00A05CAA" w:rsidP="00A05CAA">
      <w:pPr>
        <w:rPr>
          <w:lang w:val="pt-BR"/>
        </w:rPr>
      </w:pPr>
      <w:r w:rsidRPr="007955F6">
        <w:rPr>
          <w:lang w:val="pt-BR"/>
        </w:rPr>
        <w:t xml:space="preserve">Engelkirk, P.G. Gwendolyn, B. Microbiologia para as Ciências da Saúde. 7ª. Ed. Guanabara Koogan. </w:t>
      </w:r>
    </w:p>
    <w:p w:rsidR="00A05CAA" w:rsidRPr="00F47FAF" w:rsidRDefault="00A05CAA" w:rsidP="00A05CAA">
      <w:pPr>
        <w:rPr>
          <w:lang w:val="pt-BR"/>
        </w:rPr>
      </w:pPr>
      <w:r w:rsidRPr="00A05CAA">
        <w:rPr>
          <w:lang w:val="pt-BR"/>
        </w:rPr>
        <w:t xml:space="preserve">Jawetz, M. Adelberg. Microbiologia Médica. </w:t>
      </w:r>
      <w:r w:rsidRPr="00F47FAF">
        <w:rPr>
          <w:lang w:val="pt-BR"/>
        </w:rPr>
        <w:t>22ª. Ed. McGraw Hill, 2004.</w:t>
      </w:r>
    </w:p>
    <w:p w:rsidR="00A05CAA" w:rsidRPr="00F47FAF" w:rsidRDefault="00A05CAA" w:rsidP="00A05CAA">
      <w:pPr>
        <w:shd w:val="clear" w:color="auto" w:fill="B8CCE4"/>
        <w:tabs>
          <w:tab w:val="left" w:pos="1276"/>
          <w:tab w:val="right" w:pos="8550"/>
        </w:tabs>
        <w:spacing w:before="120" w:after="120"/>
        <w:ind w:right="2"/>
        <w:jc w:val="both"/>
        <w:rPr>
          <w:rFonts w:cs="Arial"/>
          <w:b/>
          <w:lang w:val="pt-BR"/>
        </w:rPr>
      </w:pPr>
      <w:r w:rsidRPr="00F47FAF">
        <w:rPr>
          <w:rFonts w:cs="Arial"/>
          <w:b/>
          <w:lang w:val="pt-BR"/>
        </w:rPr>
        <w:lastRenderedPageBreak/>
        <w:t>BLOCO 1: INTRODUÇÃO À AULA</w:t>
      </w:r>
    </w:p>
    <w:p w:rsidR="00A05CAA" w:rsidRDefault="00A05CAA" w:rsidP="00C52E09">
      <w:pPr>
        <w:pStyle w:val="ListParagraph"/>
        <w:numPr>
          <w:ilvl w:val="1"/>
          <w:numId w:val="72"/>
        </w:numPr>
        <w:spacing w:before="120" w:after="0"/>
        <w:ind w:right="2"/>
        <w:jc w:val="both"/>
        <w:rPr>
          <w:rFonts w:cs="Arial"/>
          <w:lang w:val="pt-BR"/>
        </w:rPr>
      </w:pPr>
      <w:r w:rsidRPr="00A05CAA">
        <w:rPr>
          <w:rFonts w:cs="Arial"/>
          <w:lang w:val="pt-BR"/>
        </w:rPr>
        <w:t>Apresentação do tópico, conteúdos e objectivos de aprendizagem.</w:t>
      </w:r>
    </w:p>
    <w:p w:rsidR="00A05CAA" w:rsidRDefault="00A05CAA" w:rsidP="00C52E09">
      <w:pPr>
        <w:pStyle w:val="ListParagraph"/>
        <w:numPr>
          <w:ilvl w:val="1"/>
          <w:numId w:val="72"/>
        </w:numPr>
        <w:spacing w:before="120" w:after="0"/>
        <w:ind w:right="2"/>
        <w:jc w:val="both"/>
        <w:rPr>
          <w:rFonts w:cs="Arial"/>
          <w:lang w:val="pt-BR"/>
        </w:rPr>
      </w:pPr>
      <w:r w:rsidRPr="00A05CAA">
        <w:rPr>
          <w:rFonts w:cs="Arial"/>
          <w:lang w:val="pt-BR"/>
        </w:rPr>
        <w:t>Apresentação da estrutura da aula.</w:t>
      </w:r>
    </w:p>
    <w:p w:rsidR="00A05CAA" w:rsidRDefault="00A05CAA" w:rsidP="00C52E09">
      <w:pPr>
        <w:pStyle w:val="ListParagraph"/>
        <w:numPr>
          <w:ilvl w:val="1"/>
          <w:numId w:val="72"/>
        </w:numPr>
        <w:spacing w:before="120" w:after="0"/>
        <w:ind w:right="2"/>
        <w:jc w:val="both"/>
        <w:rPr>
          <w:rFonts w:cs="Arial"/>
          <w:lang w:val="pt-BR"/>
        </w:rPr>
      </w:pPr>
      <w:r w:rsidRPr="00A05CAA">
        <w:rPr>
          <w:rFonts w:cs="Arial"/>
          <w:lang w:val="pt-BR"/>
        </w:rPr>
        <w:t>Apresentação da bibliografia que o aluno deverá manejar para ampliar os conhecimentos.</w:t>
      </w:r>
    </w:p>
    <w:p w:rsidR="00F8000A" w:rsidRPr="00A05CAA" w:rsidRDefault="00F8000A" w:rsidP="00506DE0">
      <w:pPr>
        <w:pStyle w:val="ListParagraph"/>
        <w:spacing w:before="120" w:after="0" w:line="240" w:lineRule="auto"/>
        <w:ind w:right="2"/>
        <w:jc w:val="both"/>
        <w:rPr>
          <w:rFonts w:cs="Arial"/>
          <w:lang w:val="pt-BR"/>
        </w:rPr>
      </w:pPr>
    </w:p>
    <w:p w:rsidR="00A05CAA" w:rsidRPr="00F8000A" w:rsidRDefault="00A05CAA" w:rsidP="00A05CAA">
      <w:pPr>
        <w:shd w:val="clear" w:color="auto" w:fill="B8CCE4"/>
        <w:spacing w:before="120" w:after="120"/>
        <w:ind w:right="-43"/>
        <w:jc w:val="both"/>
        <w:rPr>
          <w:rFonts w:cs="Arial"/>
          <w:b/>
          <w:bCs/>
          <w:lang w:val="pt-PT" w:eastAsia="es-ES"/>
        </w:rPr>
      </w:pPr>
      <w:r w:rsidRPr="00F8000A">
        <w:rPr>
          <w:rFonts w:cs="Arial"/>
          <w:b/>
          <w:bCs/>
          <w:lang w:val="pt-PT" w:eastAsia="es-ES"/>
        </w:rPr>
        <w:t>BLOCO 2. CONCEITOS BÁSICOS DE MICROBIOLOGIA</w:t>
      </w:r>
    </w:p>
    <w:p w:rsidR="0070097E" w:rsidRDefault="00A05CAA" w:rsidP="00C52E09">
      <w:pPr>
        <w:pStyle w:val="TM-2n"/>
        <w:numPr>
          <w:ilvl w:val="1"/>
          <w:numId w:val="70"/>
        </w:numPr>
        <w:spacing w:before="120" w:after="0" w:line="276" w:lineRule="auto"/>
        <w:ind w:left="450" w:hanging="450"/>
      </w:pPr>
      <w:r w:rsidRPr="007955F6">
        <w:t xml:space="preserve">A microbiologia é a ciência que estuda os microrganismos, também chamados por micróbios. Os microrganismos são um grande e diverso grupo de organismos microscópicos (não visíveis a olho nú) que existem em células isoladas ou em aglomerados, e estão incluídos vírus (estes não são células), bactérias, protozoários, e algumas algas e fungos. Os microrganismos são ubíquos, quer dizer que, se encontram praticamente em todos os lugares. </w:t>
      </w:r>
    </w:p>
    <w:p w:rsidR="00A05CAA" w:rsidRPr="007955F6" w:rsidRDefault="00A05CAA" w:rsidP="00C52E09">
      <w:pPr>
        <w:pStyle w:val="TM-2n"/>
        <w:numPr>
          <w:ilvl w:val="1"/>
          <w:numId w:val="70"/>
        </w:numPr>
        <w:spacing w:before="120" w:after="0" w:line="276" w:lineRule="auto"/>
        <w:ind w:left="450" w:hanging="450"/>
      </w:pPr>
      <w:r w:rsidRPr="007955F6">
        <w:t>Classificação dos microrganismos</w:t>
      </w:r>
    </w:p>
    <w:p w:rsidR="00A05CAA" w:rsidRPr="007955F6" w:rsidRDefault="00A05CAA" w:rsidP="00C52E09">
      <w:pPr>
        <w:pStyle w:val="TM-2n"/>
        <w:numPr>
          <w:ilvl w:val="2"/>
          <w:numId w:val="70"/>
        </w:numPr>
        <w:spacing w:before="120" w:after="0" w:line="276" w:lineRule="auto"/>
      </w:pPr>
      <w:r w:rsidRPr="007955F6">
        <w:t>Os microrganismos podem ser celulares (compostos por células) ou acelulares (sem células – vírus). Os microrganismos celulares podem se subdividir em procariontes (bactérias) e eucariontes (fungos e parasitas).</w:t>
      </w:r>
    </w:p>
    <w:p w:rsidR="0070097E" w:rsidRDefault="00A05CAA" w:rsidP="00C52E09">
      <w:pPr>
        <w:pStyle w:val="TM-2n"/>
        <w:numPr>
          <w:ilvl w:val="1"/>
          <w:numId w:val="70"/>
        </w:numPr>
        <w:spacing w:before="120" w:after="0" w:line="276" w:lineRule="auto"/>
        <w:ind w:left="540" w:hanging="540"/>
      </w:pPr>
      <w:r w:rsidRPr="007955F6">
        <w:t xml:space="preserve">Para a visualização da maioria dos microrganismos é necessário  o auxílio do microscópio, um instrumento que possui um sistema de lentes que permite ampliar o </w:t>
      </w:r>
      <w:r w:rsidR="0070097E">
        <w:t>tamanho de organismos pequenos.</w:t>
      </w:r>
    </w:p>
    <w:p w:rsidR="00A05CAA" w:rsidRPr="007955F6" w:rsidRDefault="00A05CAA" w:rsidP="00C52E09">
      <w:pPr>
        <w:pStyle w:val="TM-2n"/>
        <w:numPr>
          <w:ilvl w:val="1"/>
          <w:numId w:val="70"/>
        </w:numPr>
        <w:spacing w:before="120" w:after="0" w:line="276" w:lineRule="auto"/>
        <w:ind w:left="540" w:hanging="540"/>
      </w:pPr>
      <w:r w:rsidRPr="007955F6">
        <w:t xml:space="preserve">A visualização dos microrganismos foi possibilitada pelo desenvolvimento dos microscópios ópticos, que são aparelhos dotados de lentes de aumento. Bactérias, protozoários e fungos podem ser visualizados pelo microscópio óptico, porém, os vírus, devido ao seu pequeno tamanho, não são visíveis ao microscópio óptico e são visualizados com auxílio do microscópio electrónico. </w:t>
      </w:r>
    </w:p>
    <w:p w:rsidR="00A05CAA" w:rsidRPr="007955F6" w:rsidRDefault="00A05CAA" w:rsidP="00A05CAA">
      <w:pPr>
        <w:jc w:val="center"/>
        <w:rPr>
          <w:rFonts w:cs="Arial"/>
        </w:rPr>
      </w:pPr>
      <w:r>
        <w:rPr>
          <w:rFonts w:cs="Arial"/>
          <w:noProof/>
          <w:lang w:val="en-ZW" w:eastAsia="en-ZW"/>
        </w:rPr>
        <w:drawing>
          <wp:inline distT="0" distB="0" distL="0" distR="0" wp14:anchorId="252B40A4" wp14:editId="075B9598">
            <wp:extent cx="4254500" cy="3505200"/>
            <wp:effectExtent l="0" t="0" r="0" b="0"/>
            <wp:docPr id="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srcRect/>
                    <a:stretch>
                      <a:fillRect/>
                    </a:stretch>
                  </pic:blipFill>
                  <pic:spPr bwMode="auto">
                    <a:xfrm>
                      <a:off x="0" y="0"/>
                      <a:ext cx="4254500" cy="3505200"/>
                    </a:xfrm>
                    <a:prstGeom prst="rect">
                      <a:avLst/>
                    </a:prstGeom>
                    <a:noFill/>
                    <a:ln w="9525">
                      <a:noFill/>
                      <a:miter lim="800000"/>
                      <a:headEnd/>
                      <a:tailEnd/>
                    </a:ln>
                  </pic:spPr>
                </pic:pic>
              </a:graphicData>
            </a:graphic>
          </wp:inline>
        </w:drawing>
      </w:r>
    </w:p>
    <w:p w:rsidR="00A05CAA" w:rsidRDefault="00A05CAA" w:rsidP="00A05CAA">
      <w:pPr>
        <w:jc w:val="center"/>
        <w:rPr>
          <w:rFonts w:cs="Arial"/>
        </w:rPr>
      </w:pPr>
      <w:proofErr w:type="gramStart"/>
      <w:r w:rsidRPr="007955F6">
        <w:rPr>
          <w:rFonts w:cs="Arial"/>
          <w:b/>
        </w:rPr>
        <w:t>Figura 1.</w:t>
      </w:r>
      <w:proofErr w:type="gramEnd"/>
      <w:r w:rsidRPr="007955F6">
        <w:rPr>
          <w:rFonts w:cs="Arial"/>
          <w:b/>
        </w:rPr>
        <w:t xml:space="preserve"> </w:t>
      </w:r>
      <w:proofErr w:type="gramStart"/>
      <w:r w:rsidRPr="007955F6">
        <w:rPr>
          <w:rFonts w:cs="Arial"/>
        </w:rPr>
        <w:t>Microscópio óptico.</w:t>
      </w:r>
      <w:proofErr w:type="gramEnd"/>
    </w:p>
    <w:p w:rsidR="00A05CAA" w:rsidRPr="007955F6" w:rsidRDefault="00A05CAA" w:rsidP="00A05CAA">
      <w:pPr>
        <w:jc w:val="center"/>
        <w:rPr>
          <w:rFonts w:cs="Arial"/>
        </w:rPr>
      </w:pPr>
      <w:r>
        <w:rPr>
          <w:rFonts w:cs="Arial"/>
        </w:rPr>
        <w:br w:type="page"/>
      </w:r>
    </w:p>
    <w:p w:rsidR="00A05CAA" w:rsidRPr="007955F6" w:rsidRDefault="00A05CAA" w:rsidP="00C52E09">
      <w:pPr>
        <w:pStyle w:val="TM-2n"/>
        <w:numPr>
          <w:ilvl w:val="1"/>
          <w:numId w:val="70"/>
        </w:numPr>
        <w:spacing w:before="120" w:after="0" w:line="276" w:lineRule="auto"/>
        <w:rPr>
          <w:b/>
        </w:rPr>
      </w:pPr>
      <w:r w:rsidRPr="007955F6">
        <w:rPr>
          <w:b/>
        </w:rPr>
        <w:lastRenderedPageBreak/>
        <w:t>Conceitos principais em microbiologia</w:t>
      </w:r>
    </w:p>
    <w:p w:rsidR="00A05CAA" w:rsidRPr="007955F6" w:rsidRDefault="00A05CAA" w:rsidP="00C52E09">
      <w:pPr>
        <w:pStyle w:val="TM-2n"/>
        <w:numPr>
          <w:ilvl w:val="2"/>
          <w:numId w:val="70"/>
        </w:numPr>
        <w:spacing w:before="120" w:after="0" w:line="276" w:lineRule="auto"/>
      </w:pPr>
      <w:r w:rsidRPr="007955F6">
        <w:t>Patógeno - é uma agente biológico (vírus, bactérias, parasitas ou fungos) capaz de causar doença. O termo é sinónimo de agente infeccioso. Só uma pequena percentagem de microrganismos é que são patógenos.</w:t>
      </w:r>
    </w:p>
    <w:p w:rsidR="00A05CAA" w:rsidRPr="007955F6" w:rsidRDefault="00A05CAA" w:rsidP="00C52E09">
      <w:pPr>
        <w:pStyle w:val="TM-2n"/>
        <w:numPr>
          <w:ilvl w:val="2"/>
          <w:numId w:val="70"/>
        </w:numPr>
        <w:spacing w:before="120" w:after="0" w:line="276" w:lineRule="auto"/>
      </w:pPr>
      <w:r w:rsidRPr="007955F6">
        <w:t>Patógeno oportunista – são os patógenos que só causam doença em indivíduos imunodeprimidos ou debilitados.</w:t>
      </w:r>
    </w:p>
    <w:p w:rsidR="00A05CAA" w:rsidRPr="007955F6" w:rsidRDefault="00A05CAA" w:rsidP="00C52E09">
      <w:pPr>
        <w:pStyle w:val="TM-2n"/>
        <w:numPr>
          <w:ilvl w:val="2"/>
          <w:numId w:val="70"/>
        </w:numPr>
        <w:spacing w:before="120" w:after="0" w:line="276" w:lineRule="auto"/>
      </w:pPr>
      <w:r w:rsidRPr="007955F6">
        <w:t>Hospedeiro - é uma pessoa ou animal que proporciona um local adequado para que um agente infeccioso cresça e se multiplique em condições naturais</w:t>
      </w:r>
    </w:p>
    <w:p w:rsidR="00A05CAA" w:rsidRPr="007955F6" w:rsidRDefault="00A05CAA" w:rsidP="00C52E09">
      <w:pPr>
        <w:pStyle w:val="TM-2n"/>
        <w:numPr>
          <w:ilvl w:val="2"/>
          <w:numId w:val="70"/>
        </w:numPr>
        <w:spacing w:before="120" w:after="0" w:line="276" w:lineRule="auto"/>
      </w:pPr>
      <w:r w:rsidRPr="007955F6">
        <w:t>Hospedeiro intermediário – é o hospedeiro que alberga o estagio assexuado ou larva. Exemplo: o hospedeiro intermediário do parasita da malária é o homem.</w:t>
      </w:r>
    </w:p>
    <w:p w:rsidR="00A05CAA" w:rsidRPr="007955F6" w:rsidRDefault="00A05CAA" w:rsidP="00C52E09">
      <w:pPr>
        <w:pStyle w:val="TM-2n"/>
        <w:numPr>
          <w:ilvl w:val="2"/>
          <w:numId w:val="70"/>
        </w:numPr>
        <w:spacing w:before="120" w:after="0" w:line="276" w:lineRule="auto"/>
      </w:pPr>
      <w:r w:rsidRPr="007955F6">
        <w:t>Hospedeiro definitivo – é o hospedeiro que alberga o estagio sexuado ou verme adulto. Por exemplo: o hospedeiro definitivo do parasita da malária é o mosquito.</w:t>
      </w:r>
    </w:p>
    <w:p w:rsidR="00A05CAA" w:rsidRPr="007955F6" w:rsidRDefault="00A05CAA" w:rsidP="00C52E09">
      <w:pPr>
        <w:pStyle w:val="TM-2n"/>
        <w:numPr>
          <w:ilvl w:val="2"/>
          <w:numId w:val="70"/>
        </w:numPr>
        <w:spacing w:before="120" w:after="0" w:line="276" w:lineRule="auto"/>
      </w:pPr>
      <w:r w:rsidRPr="007955F6">
        <w:t>Ciclo de vida – é o conjunto de transformações por que podem passar os indivíduos de uma espéçie para assegurar a sua continuidade/existência.</w:t>
      </w:r>
    </w:p>
    <w:p w:rsidR="00A05CAA" w:rsidRPr="007955F6" w:rsidRDefault="00A05CAA" w:rsidP="00C52E09">
      <w:pPr>
        <w:pStyle w:val="TM-2n"/>
        <w:numPr>
          <w:ilvl w:val="2"/>
          <w:numId w:val="70"/>
        </w:numPr>
        <w:spacing w:before="120" w:after="0" w:line="276" w:lineRule="auto"/>
      </w:pPr>
      <w:r w:rsidRPr="007955F6">
        <w:t>Reservatório - é o habitat natural de um microrganismo e pode incluir humanos, animais e fontes ambientais (planta, solo ou matéria inanimada). No reservatório, o microrganismo normalmente vive, se multiplica ou sobrevive, e é deste que poder de ser transmitido a um hospedeiro susceptível.</w:t>
      </w:r>
    </w:p>
    <w:p w:rsidR="00A05CAA" w:rsidRPr="007955F6" w:rsidRDefault="00A05CAA" w:rsidP="00C52E09">
      <w:pPr>
        <w:pStyle w:val="TM-2n"/>
        <w:numPr>
          <w:ilvl w:val="2"/>
          <w:numId w:val="70"/>
        </w:numPr>
        <w:spacing w:before="120" w:after="0" w:line="276" w:lineRule="auto"/>
      </w:pPr>
      <w:r w:rsidRPr="007955F6">
        <w:t>Veículos - são objectos ou elementos contaminados (roupa, talheres – fómites, água, leite, alimentos, sangue, instrumentos cirúrgicos) que podem transmitir infecção</w:t>
      </w:r>
    </w:p>
    <w:p w:rsidR="00A05CAA" w:rsidRPr="007955F6" w:rsidRDefault="00A05CAA" w:rsidP="00C52E09">
      <w:pPr>
        <w:pStyle w:val="TM-2n"/>
        <w:numPr>
          <w:ilvl w:val="2"/>
          <w:numId w:val="70"/>
        </w:numPr>
        <w:spacing w:before="120" w:after="0" w:line="276" w:lineRule="auto"/>
      </w:pPr>
      <w:r w:rsidRPr="007955F6">
        <w:t>Vectores - são seres vivos que transportam o agente infeccioso desde o reservatório até ao hospedeiro potencial (exemplo: moscas, mosquitos).</w:t>
      </w:r>
    </w:p>
    <w:p w:rsidR="00A05CAA" w:rsidRDefault="00A05CAA" w:rsidP="00C52E09">
      <w:pPr>
        <w:pStyle w:val="TM-2n"/>
        <w:numPr>
          <w:ilvl w:val="2"/>
          <w:numId w:val="70"/>
        </w:numPr>
        <w:spacing w:before="120" w:after="0" w:line="276" w:lineRule="auto"/>
      </w:pPr>
      <w:r w:rsidRPr="007955F6">
        <w:t>Transmissão – é a transferência de um microrganismo (agente infeccioso) de um hospedeiro/reservatório para uma porta de entrada através do qual a infecção pode ocorrer. Quando a transferência é imediata (exemplo: toque, beijo, relação sexual, tossir ou espirrar) fala-se de transmissão directa. Quando a transferência envolve um vector, veículo, fala-se de transmissão indirecta.</w:t>
      </w:r>
    </w:p>
    <w:p w:rsidR="00F8000A" w:rsidRPr="007955F6" w:rsidRDefault="00F8000A" w:rsidP="00506DE0">
      <w:pPr>
        <w:pStyle w:val="TM-2n"/>
        <w:numPr>
          <w:ilvl w:val="0"/>
          <w:numId w:val="0"/>
        </w:numPr>
        <w:spacing w:before="120" w:after="0"/>
        <w:ind w:left="1290"/>
      </w:pPr>
    </w:p>
    <w:p w:rsidR="00A05CAA" w:rsidRPr="00F8000A" w:rsidRDefault="00A05CAA" w:rsidP="00A05CAA">
      <w:pPr>
        <w:shd w:val="clear" w:color="auto" w:fill="B8CCE4"/>
        <w:spacing w:before="120" w:after="120"/>
        <w:ind w:right="-43"/>
        <w:jc w:val="both"/>
        <w:rPr>
          <w:rFonts w:cs="Arial"/>
          <w:b/>
          <w:bCs/>
          <w:lang w:val="pt-PT" w:eastAsia="es-ES"/>
        </w:rPr>
      </w:pPr>
      <w:r w:rsidRPr="00F8000A">
        <w:rPr>
          <w:rFonts w:cs="Arial"/>
          <w:b/>
          <w:bCs/>
          <w:lang w:val="pt-PT" w:eastAsia="es-ES"/>
        </w:rPr>
        <w:t>BLOCO 3. MECANISMOS PATOGÉNICOS NAS INFECÇÕES</w:t>
      </w:r>
    </w:p>
    <w:p w:rsidR="0013594B" w:rsidRDefault="00A05CAA" w:rsidP="00C52E09">
      <w:pPr>
        <w:pStyle w:val="TM-2n"/>
        <w:numPr>
          <w:ilvl w:val="1"/>
          <w:numId w:val="71"/>
        </w:numPr>
        <w:spacing w:before="120" w:after="0" w:line="276" w:lineRule="auto"/>
        <w:ind w:left="450" w:hanging="450"/>
      </w:pPr>
      <w:r w:rsidRPr="007955F6">
        <w:t>Para a ocorrência duma doença infecciosa precisa haver uma interacção entre o agente patogénico (microrganismo) e um hospedeiro. Na prática clínica interessa-nos os hospedeiros humanos onde a doença se manifesta assim como os hospedeiros que funcionam como vectores na transmissão dos agentes patogénicos.</w:t>
      </w:r>
    </w:p>
    <w:p w:rsidR="0013594B" w:rsidRDefault="00A05CAA" w:rsidP="00C52E09">
      <w:pPr>
        <w:pStyle w:val="TM-2n"/>
        <w:numPr>
          <w:ilvl w:val="1"/>
          <w:numId w:val="71"/>
        </w:numPr>
        <w:spacing w:before="120" w:after="0" w:line="276" w:lineRule="auto"/>
        <w:ind w:left="450" w:hanging="450"/>
      </w:pPr>
      <w:r w:rsidRPr="007955F6">
        <w:t>Quando um microrganismo patogénico invade um organismo vivo, este desencadeia vários estímulos ou mecanismos que levam ou não a ocorrência de uma doença. Ao conjunto destes factores que interagem na produção da doença são chamados de mecanismos patogénicos que dependem tanto de factores do hospedeiro como dos factores do próprio agente patogénico.</w:t>
      </w:r>
    </w:p>
    <w:p w:rsidR="0013594B" w:rsidRDefault="00A05CAA" w:rsidP="00C52E09">
      <w:pPr>
        <w:pStyle w:val="TM-2n"/>
        <w:numPr>
          <w:ilvl w:val="1"/>
          <w:numId w:val="71"/>
        </w:numPr>
        <w:spacing w:before="120" w:after="0" w:line="276" w:lineRule="auto"/>
        <w:ind w:left="450" w:hanging="450"/>
      </w:pPr>
      <w:r w:rsidRPr="007955F6">
        <w:t>Alguns microrganismos são patógenos oportunistas, e só produzem doença quando o indivíduo hospedeiro está em condições particulares de fraqueza imunológica.</w:t>
      </w:r>
    </w:p>
    <w:p w:rsidR="00A05CAA" w:rsidRPr="007955F6" w:rsidRDefault="00A05CAA" w:rsidP="00C52E09">
      <w:pPr>
        <w:pStyle w:val="TM-2n"/>
        <w:numPr>
          <w:ilvl w:val="1"/>
          <w:numId w:val="71"/>
        </w:numPr>
        <w:spacing w:before="120" w:after="0" w:line="276" w:lineRule="auto"/>
        <w:ind w:left="450" w:hanging="450"/>
      </w:pPr>
      <w:r w:rsidRPr="007955F6">
        <w:t>Assim, em geral, a patogenia das doenças infecciosas segue a seguinte sequência:</w:t>
      </w:r>
    </w:p>
    <w:p w:rsidR="00A05CAA" w:rsidRPr="007955F6" w:rsidRDefault="00A05CAA" w:rsidP="00C52E09">
      <w:pPr>
        <w:pStyle w:val="TM-2n"/>
        <w:numPr>
          <w:ilvl w:val="2"/>
          <w:numId w:val="71"/>
        </w:numPr>
        <w:spacing w:before="120" w:after="0" w:line="276" w:lineRule="auto"/>
      </w:pPr>
      <w:r w:rsidRPr="007955F6">
        <w:t>Entrada do patógeno no corpo através das várias portas de entrada (penetração pela  pele e  mucosas, inoculação nos tecidos do corpo, inalação, ingestão, introdução no tracto genitourinário ou  directamente no sangue)</w:t>
      </w:r>
    </w:p>
    <w:p w:rsidR="00A05CAA" w:rsidRPr="007955F6" w:rsidRDefault="00A05CAA" w:rsidP="00C52E09">
      <w:pPr>
        <w:pStyle w:val="TM-2n"/>
        <w:numPr>
          <w:ilvl w:val="2"/>
          <w:numId w:val="71"/>
        </w:numPr>
        <w:spacing w:before="120" w:after="0" w:line="276" w:lineRule="auto"/>
      </w:pPr>
      <w:r w:rsidRPr="007955F6">
        <w:lastRenderedPageBreak/>
        <w:t xml:space="preserve">Fixação do patógeno a algum(ns) tecido(s) do corpo </w:t>
      </w:r>
    </w:p>
    <w:p w:rsidR="00A05CAA" w:rsidRPr="007955F6" w:rsidRDefault="00A05CAA" w:rsidP="00C52E09">
      <w:pPr>
        <w:pStyle w:val="TM-2n"/>
        <w:numPr>
          <w:ilvl w:val="2"/>
          <w:numId w:val="71"/>
        </w:numPr>
        <w:spacing w:before="120" w:after="0" w:line="276" w:lineRule="auto"/>
      </w:pPr>
      <w:r w:rsidRPr="007955F6">
        <w:t>Multiplicação do patógeno</w:t>
      </w:r>
    </w:p>
    <w:p w:rsidR="00A05CAA" w:rsidRPr="007955F6" w:rsidRDefault="00A05CAA" w:rsidP="00C52E09">
      <w:pPr>
        <w:pStyle w:val="TM-2n"/>
        <w:numPr>
          <w:ilvl w:val="2"/>
          <w:numId w:val="71"/>
        </w:numPr>
        <w:spacing w:before="120" w:after="0" w:line="276" w:lineRule="auto"/>
      </w:pPr>
      <w:r w:rsidRPr="007955F6">
        <w:t>Invasão/disseminação do patógeno</w:t>
      </w:r>
    </w:p>
    <w:p w:rsidR="00A05CAA" w:rsidRPr="007955F6" w:rsidRDefault="00A05CAA" w:rsidP="00C52E09">
      <w:pPr>
        <w:pStyle w:val="TM-2n"/>
        <w:numPr>
          <w:ilvl w:val="2"/>
          <w:numId w:val="71"/>
        </w:numPr>
        <w:spacing w:before="120" w:after="0" w:line="276" w:lineRule="auto"/>
      </w:pPr>
      <w:r w:rsidRPr="007955F6">
        <w:t>Evasão das defesas do hospedeiro</w:t>
      </w:r>
    </w:p>
    <w:p w:rsidR="00A05CAA" w:rsidRPr="007955F6" w:rsidRDefault="00A05CAA" w:rsidP="00C52E09">
      <w:pPr>
        <w:pStyle w:val="TM-2n"/>
        <w:numPr>
          <w:ilvl w:val="2"/>
          <w:numId w:val="71"/>
        </w:numPr>
        <w:spacing w:before="120" w:after="0" w:line="276" w:lineRule="auto"/>
      </w:pPr>
      <w:r w:rsidRPr="007955F6">
        <w:t>Dano ao(s) tecido(s) do hospedeiro</w:t>
      </w:r>
    </w:p>
    <w:p w:rsidR="00A05CAA" w:rsidRPr="007955F6" w:rsidRDefault="00A05CAA" w:rsidP="00C52E09">
      <w:pPr>
        <w:pStyle w:val="TM-2n"/>
        <w:numPr>
          <w:ilvl w:val="1"/>
          <w:numId w:val="71"/>
        </w:numPr>
        <w:tabs>
          <w:tab w:val="left" w:pos="270"/>
          <w:tab w:val="left" w:pos="540"/>
        </w:tabs>
        <w:spacing w:before="120" w:after="0" w:line="276" w:lineRule="auto"/>
        <w:ind w:left="360"/>
      </w:pPr>
      <w:r w:rsidRPr="007955F6">
        <w:t>Existem factores associados ao hospedeiro e ao agente patogénico na patogenia das doenças infecciosas:</w:t>
      </w:r>
    </w:p>
    <w:p w:rsidR="00A05CAA" w:rsidRPr="007955F6" w:rsidRDefault="00A05CAA" w:rsidP="00C52E09">
      <w:pPr>
        <w:pStyle w:val="TM-3n"/>
        <w:numPr>
          <w:ilvl w:val="2"/>
          <w:numId w:val="71"/>
        </w:numPr>
        <w:tabs>
          <w:tab w:val="clear" w:pos="1276"/>
          <w:tab w:val="left" w:pos="1440"/>
        </w:tabs>
        <w:spacing w:before="120" w:after="0" w:line="276" w:lineRule="auto"/>
        <w:ind w:left="1440"/>
      </w:pPr>
      <w:r w:rsidRPr="007955F6">
        <w:rPr>
          <w:b/>
        </w:rPr>
        <w:t>Factores do hospedeiro</w:t>
      </w:r>
      <w:r w:rsidRPr="007955F6">
        <w:t xml:space="preserve">: O hospedeiro pode ser </w:t>
      </w:r>
      <w:r w:rsidRPr="007955F6">
        <w:rPr>
          <w:i/>
        </w:rPr>
        <w:t xml:space="preserve">susceptível </w:t>
      </w:r>
      <w:r w:rsidRPr="007955F6">
        <w:t>(quando o agente patogénico provoca doença) ou portador (quando aloja o agente patogénico sem lhe provocar a doença). Vários factores influenciam na probabilidade do hospedeiro adquirir uma doença, tais como: a idade; o estado imunológico, nutricional, fisiológico (gravidez), etc.</w:t>
      </w:r>
    </w:p>
    <w:p w:rsidR="00A05CAA" w:rsidRPr="007955F6" w:rsidRDefault="00A05CAA" w:rsidP="00C52E09">
      <w:pPr>
        <w:pStyle w:val="TM-3n"/>
        <w:numPr>
          <w:ilvl w:val="2"/>
          <w:numId w:val="66"/>
        </w:numPr>
        <w:tabs>
          <w:tab w:val="clear" w:pos="1276"/>
        </w:tabs>
        <w:spacing w:before="120" w:after="0" w:line="276" w:lineRule="auto"/>
        <w:ind w:left="1800" w:hanging="360"/>
      </w:pPr>
      <w:r w:rsidRPr="007955F6">
        <w:rPr>
          <w:i/>
        </w:rPr>
        <w:t>A resposta imunológica do hospedeiro</w:t>
      </w:r>
      <w:r w:rsidRPr="007955F6">
        <w:t xml:space="preserve"> é um factor extremamente importante na patogenese das doenças infecciosas, pois é importante na interrupção do processo infeccioso, mas também constitui a causa da manifestação da doença (sinais e sintomas).</w:t>
      </w:r>
    </w:p>
    <w:p w:rsidR="00A05CAA" w:rsidRPr="007955F6" w:rsidRDefault="00A05CAA" w:rsidP="00C52E09">
      <w:pPr>
        <w:pStyle w:val="TM-3n"/>
        <w:numPr>
          <w:ilvl w:val="2"/>
          <w:numId w:val="66"/>
        </w:numPr>
        <w:tabs>
          <w:tab w:val="clear" w:pos="1276"/>
        </w:tabs>
        <w:spacing w:before="120" w:after="0" w:line="276" w:lineRule="auto"/>
        <w:ind w:left="1800" w:hanging="360"/>
      </w:pPr>
      <w:r w:rsidRPr="007955F6">
        <w:t>O hospedeiro susceptível geralmente manifesta a doença em forma de sinais e sintomas (hospedeiro sintomático). Os hospedeiros assintomáticos geralmente são chamados de portadores, eles alojam os agentes patogénicos sem que a doença se manifeste.</w:t>
      </w:r>
    </w:p>
    <w:p w:rsidR="00A05CAA" w:rsidRPr="007955F6" w:rsidRDefault="00A05CAA" w:rsidP="00C52E09">
      <w:pPr>
        <w:pStyle w:val="TM-3n"/>
        <w:numPr>
          <w:ilvl w:val="2"/>
          <w:numId w:val="71"/>
        </w:numPr>
        <w:tabs>
          <w:tab w:val="clear" w:pos="1276"/>
          <w:tab w:val="left" w:pos="1440"/>
        </w:tabs>
        <w:spacing w:before="120" w:after="0" w:line="276" w:lineRule="auto"/>
        <w:ind w:left="1440"/>
      </w:pPr>
      <w:r w:rsidRPr="007955F6">
        <w:rPr>
          <w:b/>
        </w:rPr>
        <w:t xml:space="preserve">Factores do agente patogénico: </w:t>
      </w:r>
      <w:r w:rsidRPr="007955F6">
        <w:t>o agente patogénico para provocar a doença deve ter a capacidade de vencer todas as barreiras protectoras do organismo hospedeiro (1ª, 2ª e 3ª linhas de defesa). As características mais importantes do agente infeccioso para causar doença são:</w:t>
      </w:r>
    </w:p>
    <w:p w:rsidR="00A05CAA" w:rsidRPr="007955F6" w:rsidRDefault="00A05CAA" w:rsidP="00C52E09">
      <w:pPr>
        <w:pStyle w:val="TM-3n"/>
        <w:numPr>
          <w:ilvl w:val="0"/>
          <w:numId w:val="67"/>
        </w:numPr>
        <w:tabs>
          <w:tab w:val="clear" w:pos="1276"/>
          <w:tab w:val="left" w:pos="1440"/>
        </w:tabs>
        <w:spacing w:before="120" w:after="0" w:line="276" w:lineRule="auto"/>
      </w:pPr>
      <w:r w:rsidRPr="007955F6">
        <w:rPr>
          <w:b/>
        </w:rPr>
        <w:t xml:space="preserve">Patogenicidade - </w:t>
      </w:r>
      <w:r w:rsidRPr="007955F6">
        <w:t>é a capacidade do agente infeccioso de produzir doença clínica (sinais e sintomas). Exemplo: alta patogenicidade do vírus do sarampo e baixa patogenicidade do vírus da poliomielite</w:t>
      </w:r>
    </w:p>
    <w:p w:rsidR="00A05CAA" w:rsidRPr="007955F6" w:rsidRDefault="00A05CAA" w:rsidP="00C52E09">
      <w:pPr>
        <w:pStyle w:val="TM-3n"/>
        <w:numPr>
          <w:ilvl w:val="0"/>
          <w:numId w:val="67"/>
        </w:numPr>
        <w:tabs>
          <w:tab w:val="clear" w:pos="1276"/>
          <w:tab w:val="left" w:pos="1440"/>
        </w:tabs>
        <w:spacing w:before="120" w:after="0" w:line="276" w:lineRule="auto"/>
      </w:pPr>
      <w:r w:rsidRPr="007955F6">
        <w:rPr>
          <w:b/>
        </w:rPr>
        <w:t xml:space="preserve">Virulência - </w:t>
      </w:r>
      <w:r w:rsidRPr="007955F6">
        <w:t>é a capacidade do agente de produzir efeitos graves ou fatais. Exemplo: alta virulência do vírus da raiva e HIV e baixa virulência do vírus da gripe ou do resfriado</w:t>
      </w:r>
    </w:p>
    <w:p w:rsidR="00A05CAA" w:rsidRPr="007955F6" w:rsidRDefault="00A05CAA" w:rsidP="00C52E09">
      <w:pPr>
        <w:pStyle w:val="TM-3n"/>
        <w:numPr>
          <w:ilvl w:val="0"/>
          <w:numId w:val="67"/>
        </w:numPr>
        <w:tabs>
          <w:tab w:val="clear" w:pos="1276"/>
          <w:tab w:val="left" w:pos="1440"/>
        </w:tabs>
        <w:spacing w:before="120" w:after="0" w:line="276" w:lineRule="auto"/>
      </w:pPr>
      <w:r w:rsidRPr="007955F6">
        <w:rPr>
          <w:b/>
        </w:rPr>
        <w:t xml:space="preserve">Dose infectiva - </w:t>
      </w:r>
      <w:r w:rsidRPr="007955F6">
        <w:t>é a quantidade do agente requerida para causar infecção em um indivíduo susceptível. Quanto maior for a dose infectiva necessária para causar infecção, menor é a probabilidade da infecção e da doença clínica ocorrerem</w:t>
      </w:r>
    </w:p>
    <w:p w:rsidR="00A05CAA" w:rsidRPr="007955F6" w:rsidRDefault="0013594B" w:rsidP="00D76085">
      <w:pPr>
        <w:pStyle w:val="TM-3n"/>
        <w:numPr>
          <w:ilvl w:val="0"/>
          <w:numId w:val="0"/>
        </w:numPr>
        <w:tabs>
          <w:tab w:val="clear" w:pos="1276"/>
          <w:tab w:val="left" w:pos="90"/>
          <w:tab w:val="left" w:pos="1440"/>
        </w:tabs>
        <w:spacing w:before="120" w:after="0" w:line="276" w:lineRule="auto"/>
      </w:pPr>
      <w:r w:rsidRPr="0013594B">
        <w:rPr>
          <w:b/>
        </w:rPr>
        <w:t>3.6</w:t>
      </w:r>
      <w:r>
        <w:t xml:space="preserve"> </w:t>
      </w:r>
      <w:r w:rsidR="00A05CAA" w:rsidRPr="007955F6">
        <w:t>No entanto, o desenvolvimento de uma doença e seu desfecho tem vários períodos a saber:</w:t>
      </w:r>
    </w:p>
    <w:p w:rsidR="00A05CAA" w:rsidRPr="00A05CAA" w:rsidRDefault="00A05CAA" w:rsidP="00C52E09">
      <w:pPr>
        <w:numPr>
          <w:ilvl w:val="0"/>
          <w:numId w:val="69"/>
        </w:numPr>
        <w:spacing w:before="120" w:after="0"/>
        <w:jc w:val="both"/>
        <w:rPr>
          <w:rFonts w:cs="Arial"/>
          <w:lang w:val="pt-BR"/>
        </w:rPr>
      </w:pPr>
      <w:r w:rsidRPr="00A05CAA">
        <w:rPr>
          <w:rFonts w:cs="Arial"/>
          <w:b/>
          <w:lang w:val="pt-BR"/>
        </w:rPr>
        <w:t>Período de incubação</w:t>
      </w:r>
      <w:r w:rsidRPr="00A05CAA">
        <w:rPr>
          <w:rFonts w:cs="Arial"/>
          <w:lang w:val="pt-BR"/>
        </w:rPr>
        <w:t xml:space="preserve"> – é o tempo que decorre entre a entrada do agente infeccioso no hospedeiro e o aparecimento de doença clínica (sinais e sintomas). Vários factores influenciam a duração do período de incubação tais como:</w:t>
      </w:r>
    </w:p>
    <w:p w:rsidR="00A05CAA" w:rsidRPr="007955F6" w:rsidRDefault="00A05CAA" w:rsidP="00C52E09">
      <w:pPr>
        <w:numPr>
          <w:ilvl w:val="1"/>
          <w:numId w:val="69"/>
        </w:numPr>
        <w:spacing w:before="120" w:after="0"/>
        <w:jc w:val="both"/>
        <w:rPr>
          <w:rFonts w:cs="Arial"/>
        </w:rPr>
      </w:pPr>
      <w:r w:rsidRPr="007955F6">
        <w:rPr>
          <w:rFonts w:cs="Arial"/>
        </w:rPr>
        <w:t>Estado de imunidade do hospedeiro</w:t>
      </w:r>
    </w:p>
    <w:p w:rsidR="00A05CAA" w:rsidRPr="007955F6" w:rsidRDefault="00A05CAA" w:rsidP="00C52E09">
      <w:pPr>
        <w:numPr>
          <w:ilvl w:val="1"/>
          <w:numId w:val="69"/>
        </w:numPr>
        <w:spacing w:before="120" w:after="0"/>
        <w:jc w:val="both"/>
        <w:rPr>
          <w:rFonts w:cs="Arial"/>
        </w:rPr>
      </w:pPr>
      <w:r w:rsidRPr="007955F6">
        <w:rPr>
          <w:rFonts w:cs="Arial"/>
        </w:rPr>
        <w:t>Estado nutricional</w:t>
      </w:r>
    </w:p>
    <w:p w:rsidR="00A05CAA" w:rsidRPr="007955F6" w:rsidRDefault="00A05CAA" w:rsidP="00C52E09">
      <w:pPr>
        <w:numPr>
          <w:ilvl w:val="1"/>
          <w:numId w:val="69"/>
        </w:numPr>
        <w:spacing w:before="120" w:after="0"/>
        <w:jc w:val="both"/>
        <w:rPr>
          <w:rFonts w:cs="Arial"/>
        </w:rPr>
      </w:pPr>
      <w:r w:rsidRPr="007955F6">
        <w:rPr>
          <w:rFonts w:cs="Arial"/>
        </w:rPr>
        <w:t>Virulência do agente infeccioso</w:t>
      </w:r>
    </w:p>
    <w:p w:rsidR="00A05CAA" w:rsidRPr="007955F6" w:rsidRDefault="00A05CAA" w:rsidP="00C52E09">
      <w:pPr>
        <w:numPr>
          <w:ilvl w:val="1"/>
          <w:numId w:val="69"/>
        </w:numPr>
        <w:spacing w:before="120" w:after="0"/>
        <w:jc w:val="both"/>
        <w:rPr>
          <w:rFonts w:cs="Arial"/>
        </w:rPr>
      </w:pPr>
      <w:r w:rsidRPr="007955F6">
        <w:rPr>
          <w:rFonts w:cs="Arial"/>
        </w:rPr>
        <w:t>Dose infectiva</w:t>
      </w:r>
    </w:p>
    <w:p w:rsidR="00A05CAA" w:rsidRPr="00A05CAA" w:rsidRDefault="00A05CAA" w:rsidP="00C52E09">
      <w:pPr>
        <w:numPr>
          <w:ilvl w:val="0"/>
          <w:numId w:val="68"/>
        </w:numPr>
        <w:spacing w:before="120" w:after="0"/>
        <w:jc w:val="both"/>
        <w:rPr>
          <w:rFonts w:cs="Arial"/>
          <w:lang w:val="pt-BR"/>
        </w:rPr>
      </w:pPr>
      <w:r w:rsidRPr="00A05CAA">
        <w:rPr>
          <w:rFonts w:cs="Arial"/>
          <w:lang w:val="pt-BR"/>
        </w:rPr>
        <w:lastRenderedPageBreak/>
        <w:t>Este tipo de influência tem uma relação proporcional com a duração do período de incubação. Por exemplo: quanto menor for o estado imunológico, o estado nutricional do hospedeiro, menor é o período de incubação. Do mesmo modo, quanto maior for a virulência e dose infectiva  do agente infeccioso, menor será o período de incubação</w:t>
      </w:r>
    </w:p>
    <w:p w:rsidR="00A05CAA" w:rsidRPr="00A05CAA" w:rsidRDefault="00A05CAA" w:rsidP="00C52E09">
      <w:pPr>
        <w:numPr>
          <w:ilvl w:val="0"/>
          <w:numId w:val="68"/>
        </w:numPr>
        <w:spacing w:before="120" w:after="0"/>
        <w:jc w:val="both"/>
        <w:rPr>
          <w:rFonts w:cs="Arial"/>
          <w:lang w:val="pt-BR"/>
        </w:rPr>
      </w:pPr>
      <w:r w:rsidRPr="00A05CAA">
        <w:rPr>
          <w:rFonts w:cs="Arial"/>
          <w:b/>
          <w:lang w:val="pt-BR"/>
        </w:rPr>
        <w:t>Período prodrómico</w:t>
      </w:r>
      <w:r w:rsidRPr="00A05CAA">
        <w:rPr>
          <w:rFonts w:cs="Arial"/>
          <w:lang w:val="pt-BR"/>
        </w:rPr>
        <w:t xml:space="preserve"> – é o período durante o qual o paciente se encontra “indisposto” mas ainda não está com os sinais e sintomas típicos da doença causada pelo agente infeccioso</w:t>
      </w:r>
    </w:p>
    <w:p w:rsidR="00A05CAA" w:rsidRPr="00A05CAA" w:rsidRDefault="00A05CAA" w:rsidP="00C52E09">
      <w:pPr>
        <w:numPr>
          <w:ilvl w:val="0"/>
          <w:numId w:val="68"/>
        </w:numPr>
        <w:spacing w:before="120" w:after="0"/>
        <w:jc w:val="both"/>
        <w:rPr>
          <w:rFonts w:cs="Arial"/>
          <w:lang w:val="pt-BR"/>
        </w:rPr>
      </w:pPr>
      <w:r w:rsidRPr="00A05CAA">
        <w:rPr>
          <w:rFonts w:cs="Arial"/>
          <w:b/>
          <w:lang w:val="pt-BR"/>
        </w:rPr>
        <w:t>Período de doença</w:t>
      </w:r>
      <w:r w:rsidRPr="00A05CAA">
        <w:rPr>
          <w:rFonts w:cs="Arial"/>
          <w:lang w:val="pt-BR"/>
        </w:rPr>
        <w:t xml:space="preserve"> – é o período em que o paciente apresenta os sinais e sintomas típicos da doença ocasionada por determinado agente infeccioso (doença clínica).</w:t>
      </w:r>
    </w:p>
    <w:p w:rsidR="00A05CAA" w:rsidRPr="007955F6" w:rsidRDefault="00A05CAA" w:rsidP="00C52E09">
      <w:pPr>
        <w:pStyle w:val="TM-3n"/>
        <w:numPr>
          <w:ilvl w:val="0"/>
          <w:numId w:val="68"/>
        </w:numPr>
        <w:tabs>
          <w:tab w:val="clear" w:pos="1276"/>
          <w:tab w:val="left" w:pos="1440"/>
        </w:tabs>
        <w:spacing w:before="120" w:after="0" w:line="276" w:lineRule="auto"/>
      </w:pPr>
      <w:r w:rsidRPr="007955F6">
        <w:rPr>
          <w:b/>
        </w:rPr>
        <w:t>Período de convalescência</w:t>
      </w:r>
      <w:r w:rsidRPr="007955F6">
        <w:t xml:space="preserve"> – é o período em que o paciente se recupera. Essa recuperação pode ser completa ou com incapacidades (surdez depois de uma infecção do ouvido, paralisia após a poliomielite, lesão cerebral após encefalite ou meningite).</w:t>
      </w:r>
    </w:p>
    <w:p w:rsidR="00A05CAA" w:rsidRPr="007955F6" w:rsidRDefault="00A05CAA" w:rsidP="00A05CAA">
      <w:pPr>
        <w:pStyle w:val="TM-3n"/>
        <w:numPr>
          <w:ilvl w:val="0"/>
          <w:numId w:val="0"/>
        </w:numPr>
        <w:tabs>
          <w:tab w:val="clear" w:pos="1276"/>
          <w:tab w:val="left" w:pos="1440"/>
        </w:tabs>
        <w:spacing w:before="120" w:after="0" w:line="276" w:lineRule="auto"/>
        <w:ind w:left="851" w:hanging="284"/>
        <w:jc w:val="center"/>
        <w:rPr>
          <w:noProof/>
          <w:lang w:val="en-GB" w:eastAsia="en-GB"/>
        </w:rPr>
      </w:pPr>
      <w:r>
        <w:rPr>
          <w:noProof/>
          <w:lang w:val="en-ZW" w:eastAsia="en-ZW"/>
        </w:rPr>
        <w:drawing>
          <wp:inline distT="0" distB="0" distL="0" distR="0" wp14:anchorId="5F869CAB" wp14:editId="4A352BA8">
            <wp:extent cx="5942937" cy="1963973"/>
            <wp:effectExtent l="76200" t="38100" r="77470" b="74930"/>
            <wp:docPr id="68" name="Diagram 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5" r:lo="rId56" r:qs="rId57" r:cs="rId58"/>
              </a:graphicData>
            </a:graphic>
          </wp:inline>
        </w:drawing>
      </w:r>
    </w:p>
    <w:p w:rsidR="00A05CAA" w:rsidRPr="007955F6" w:rsidRDefault="00A05CAA" w:rsidP="00A05CAA">
      <w:pPr>
        <w:pStyle w:val="TM-3n"/>
        <w:numPr>
          <w:ilvl w:val="0"/>
          <w:numId w:val="0"/>
        </w:numPr>
        <w:tabs>
          <w:tab w:val="clear" w:pos="1276"/>
          <w:tab w:val="left" w:pos="1440"/>
        </w:tabs>
        <w:spacing w:before="120" w:after="0" w:line="276" w:lineRule="auto"/>
        <w:ind w:left="851" w:hanging="284"/>
        <w:jc w:val="center"/>
        <w:rPr>
          <w:noProof/>
          <w:lang w:val="pt-BR" w:eastAsia="en-GB"/>
        </w:rPr>
      </w:pPr>
      <w:r w:rsidRPr="00506DE0">
        <w:rPr>
          <w:b/>
          <w:noProof/>
          <w:lang w:val="pt-BR" w:eastAsia="en-GB"/>
        </w:rPr>
        <w:t>Figura 2:</w:t>
      </w:r>
      <w:r w:rsidRPr="007955F6">
        <w:rPr>
          <w:noProof/>
          <w:lang w:val="pt-BR" w:eastAsia="en-GB"/>
        </w:rPr>
        <w:t xml:space="preserve"> Períodos de uma doença infecciosa</w:t>
      </w:r>
    </w:p>
    <w:p w:rsidR="00A05CAA" w:rsidRPr="007955F6" w:rsidRDefault="00A05CAA" w:rsidP="00A05CAA">
      <w:pPr>
        <w:pStyle w:val="TM-3n"/>
        <w:numPr>
          <w:ilvl w:val="0"/>
          <w:numId w:val="0"/>
        </w:numPr>
        <w:tabs>
          <w:tab w:val="clear" w:pos="1276"/>
          <w:tab w:val="left" w:pos="1440"/>
        </w:tabs>
        <w:spacing w:before="120" w:after="0" w:line="276" w:lineRule="auto"/>
        <w:ind w:left="851" w:hanging="284"/>
        <w:jc w:val="center"/>
        <w:rPr>
          <w:lang w:val="pt-BR"/>
        </w:rPr>
      </w:pPr>
    </w:p>
    <w:p w:rsidR="00A05CAA" w:rsidRPr="007955F6" w:rsidRDefault="0013594B" w:rsidP="0013594B">
      <w:pPr>
        <w:pStyle w:val="TM-2n"/>
        <w:numPr>
          <w:ilvl w:val="0"/>
          <w:numId w:val="0"/>
        </w:numPr>
        <w:spacing w:before="120" w:after="0" w:line="276" w:lineRule="auto"/>
        <w:ind w:left="284" w:hanging="284"/>
      </w:pPr>
      <w:r w:rsidRPr="0013594B">
        <w:rPr>
          <w:b/>
          <w:lang w:val="pt-BR"/>
        </w:rPr>
        <w:t>3.7</w:t>
      </w:r>
      <w:r>
        <w:rPr>
          <w:lang w:val="pt-BR"/>
        </w:rPr>
        <w:t xml:space="preserve"> </w:t>
      </w:r>
      <w:r w:rsidR="00A05CAA" w:rsidRPr="007955F6">
        <w:t>A infecção ou doença infecciosa se produz quando um microrganismo patógeno invade o organismo, provocando distúrbios no funcionamento de algum órgão ou grupo de órgãos. A infecção implica a multiplicação do agente infeccioso no corpo.</w:t>
      </w:r>
    </w:p>
    <w:p w:rsidR="00A05CAA" w:rsidRPr="007955F6" w:rsidRDefault="00A05CAA" w:rsidP="00C52E09">
      <w:pPr>
        <w:pStyle w:val="TM-2n"/>
        <w:numPr>
          <w:ilvl w:val="1"/>
          <w:numId w:val="60"/>
        </w:numPr>
        <w:spacing w:before="120" w:after="0" w:line="276" w:lineRule="auto"/>
        <w:ind w:left="90" w:firstLine="0"/>
      </w:pPr>
      <w:r w:rsidRPr="007955F6">
        <w:t>Os agentes patogénicos adaptam-se ao ambiente em que vivem. Desta maneira, asseguram a sua sobrevida e aumentam a possibilidade de transmissão entre indivíduos. A maior parte dos patógenos que provocam doença residem primariamente em animais e infectam incidentalmente os seres humanos.</w:t>
      </w:r>
    </w:p>
    <w:p w:rsidR="00A05CAA" w:rsidRPr="007955F6" w:rsidRDefault="00A05CAA" w:rsidP="00C52E09">
      <w:pPr>
        <w:pStyle w:val="TM-2n"/>
        <w:numPr>
          <w:ilvl w:val="1"/>
          <w:numId w:val="60"/>
        </w:numPr>
        <w:spacing w:before="120" w:after="0" w:line="276" w:lineRule="auto"/>
        <w:ind w:left="90" w:firstLine="0"/>
      </w:pPr>
      <w:r w:rsidRPr="007955F6">
        <w:t>As manifestações clínicas que aparecem no decurso duma doença infecciosa tal como a diarreia, tosse ou corrimento genital, frequentemente promovem a disseminação e a transmissão dos patógenos no ambiente e entre os indivíduos, tal como ocorre na cólera, tuberculose e gonorreia respectivamente.</w:t>
      </w:r>
    </w:p>
    <w:p w:rsidR="00A05CAA" w:rsidRPr="007955F6" w:rsidRDefault="00A05CAA" w:rsidP="00C52E09">
      <w:pPr>
        <w:pStyle w:val="TM-2n"/>
        <w:numPr>
          <w:ilvl w:val="1"/>
          <w:numId w:val="60"/>
        </w:numPr>
        <w:spacing w:before="120" w:after="0" w:line="276" w:lineRule="auto"/>
        <w:ind w:left="90" w:firstLine="0"/>
      </w:pPr>
      <w:r w:rsidRPr="007955F6">
        <w:rPr>
          <w:b/>
        </w:rPr>
        <w:t>Vias de transmissão dos patógenos</w:t>
      </w:r>
      <w:r w:rsidRPr="007955F6">
        <w:t xml:space="preserve">: </w:t>
      </w:r>
    </w:p>
    <w:p w:rsidR="00A05CAA" w:rsidRPr="007955F6" w:rsidRDefault="00A05CAA" w:rsidP="00C52E09">
      <w:pPr>
        <w:pStyle w:val="TM-3n"/>
        <w:numPr>
          <w:ilvl w:val="2"/>
          <w:numId w:val="60"/>
        </w:numPr>
        <w:tabs>
          <w:tab w:val="clear" w:pos="1276"/>
          <w:tab w:val="left" w:pos="1440"/>
        </w:tabs>
        <w:spacing w:before="120" w:after="0" w:line="276" w:lineRule="auto"/>
        <w:ind w:left="1440"/>
      </w:pPr>
      <w:r w:rsidRPr="007955F6">
        <w:t>Muitas bactérias são transmitidas de uma pessoa para outra por meio das mãos (transmissão directa). Isto é muito importante no ambiente hospitalar, onde muitos patógenos oportunistas são transmitidos de um paciente para outro por meio das mãos do pessoal de saúde, mas também ao nível da comunidade as mãos estão implicadas na transmissão das infecções de pessoa para pessoa ou durante a manipulação ou o manuseio dos alimentos levando a contaminação dos alimentos ingeridos (transmissão indirecta). Portanto, a lavagem das mãos constitui um componente essencial no controlo das infecções. As diarreias de origem infecciosa constituem exemplos comuns no nosso meio de doenças transmitidas pelas mãos.</w:t>
      </w:r>
    </w:p>
    <w:p w:rsidR="00A05CAA" w:rsidRPr="007955F6" w:rsidRDefault="00A05CAA" w:rsidP="00C52E09">
      <w:pPr>
        <w:pStyle w:val="TM-3n"/>
        <w:numPr>
          <w:ilvl w:val="2"/>
          <w:numId w:val="60"/>
        </w:numPr>
        <w:tabs>
          <w:tab w:val="clear" w:pos="1276"/>
          <w:tab w:val="left" w:pos="1440"/>
        </w:tabs>
        <w:spacing w:before="120" w:after="0" w:line="276" w:lineRule="auto"/>
        <w:ind w:left="1440"/>
      </w:pPr>
      <w:r w:rsidRPr="007955F6">
        <w:lastRenderedPageBreak/>
        <w:t xml:space="preserve">O ar constitui uma importante via de transmissão dos patógenos que se transmitem por meio de aerossóis que são expelidos para o ambiente através da fala, tosse ou espirro (transmissão directa). A maior parte dos vírus transmitidos pela via aérea provocam as gripes e no nosso país a tuberculose é uma doença frequente que se transmite por esta via. </w:t>
      </w:r>
    </w:p>
    <w:p w:rsidR="00A05CAA" w:rsidRDefault="00A05CAA" w:rsidP="00C52E09">
      <w:pPr>
        <w:pStyle w:val="TM-3n"/>
        <w:numPr>
          <w:ilvl w:val="2"/>
          <w:numId w:val="60"/>
        </w:numPr>
        <w:tabs>
          <w:tab w:val="clear" w:pos="1276"/>
          <w:tab w:val="left" w:pos="1440"/>
        </w:tabs>
        <w:spacing w:before="120" w:after="0" w:line="276" w:lineRule="auto"/>
        <w:ind w:left="1440"/>
      </w:pPr>
      <w:r w:rsidRPr="007955F6">
        <w:t>A via sexual (transmissão directa) está relacionada com a transmissão duma variedade de patógenos e no nosso meio várias doenças infecciosas são transmitidas por relações sexuais, tais como: a gonorreia, sífilis e HIV/SIDA.</w:t>
      </w:r>
    </w:p>
    <w:p w:rsidR="00F8000A" w:rsidRPr="007955F6" w:rsidRDefault="00F8000A" w:rsidP="00F8000A">
      <w:pPr>
        <w:pStyle w:val="TM-3n"/>
        <w:numPr>
          <w:ilvl w:val="0"/>
          <w:numId w:val="0"/>
        </w:numPr>
        <w:tabs>
          <w:tab w:val="clear" w:pos="1276"/>
          <w:tab w:val="left" w:pos="1440"/>
        </w:tabs>
        <w:spacing w:before="120" w:after="0" w:line="276" w:lineRule="auto"/>
        <w:ind w:left="1440"/>
      </w:pPr>
    </w:p>
    <w:p w:rsidR="00A05CAA" w:rsidRPr="00A05CAA" w:rsidRDefault="00A05CAA" w:rsidP="00A05CAA">
      <w:pPr>
        <w:shd w:val="clear" w:color="auto" w:fill="B8CCE4"/>
        <w:tabs>
          <w:tab w:val="left" w:pos="1276"/>
          <w:tab w:val="right" w:pos="8550"/>
        </w:tabs>
        <w:spacing w:before="120" w:after="120"/>
        <w:ind w:right="-43"/>
        <w:jc w:val="both"/>
        <w:rPr>
          <w:rFonts w:cs="Arial"/>
          <w:b/>
          <w:lang w:val="pt-BR"/>
        </w:rPr>
      </w:pPr>
      <w:r w:rsidRPr="00A05CAA">
        <w:rPr>
          <w:rFonts w:cs="Arial"/>
          <w:b/>
          <w:lang w:val="pt-BR"/>
        </w:rPr>
        <w:t>BLOCO 4. PONTOS-CHAVE</w:t>
      </w:r>
    </w:p>
    <w:p w:rsidR="00A05CAA" w:rsidRPr="00A05CAA" w:rsidRDefault="00A05CAA" w:rsidP="00A05CAA">
      <w:pPr>
        <w:rPr>
          <w:rFonts w:cs="Arial"/>
          <w:lang w:val="pt-BR"/>
        </w:rPr>
      </w:pPr>
      <w:r w:rsidRPr="00A05CAA">
        <w:rPr>
          <w:rFonts w:cs="Arial"/>
          <w:lang w:val="pt-BR"/>
        </w:rPr>
        <w:t>4.1 Os microrganismos podem se dividir em acelulares (vírus) e celulares procariontes (bactérias) e celulares eucariontes (fungos e parasitas). Pequena parte dos microrganismos são patógenos, isto é, produzem doença.</w:t>
      </w:r>
    </w:p>
    <w:p w:rsidR="00A05CAA" w:rsidRPr="00A05CAA" w:rsidRDefault="00A05CAA" w:rsidP="00A05CAA">
      <w:pPr>
        <w:rPr>
          <w:rFonts w:cs="Arial"/>
          <w:lang w:val="pt-BR"/>
        </w:rPr>
      </w:pPr>
      <w:r w:rsidRPr="00A05CAA">
        <w:rPr>
          <w:rFonts w:cs="Arial"/>
          <w:lang w:val="pt-BR"/>
        </w:rPr>
        <w:t>4.2 A infecção se produz quando um microorganismo patógeno entra no organismo (vencendo a 1ª, 2ª e 3ª linhas de defesa) e provoca alterações no funcionamento de algum órgão ou grupo de órgãos.</w:t>
      </w:r>
    </w:p>
    <w:p w:rsidR="00A05CAA" w:rsidRPr="00A05CAA" w:rsidRDefault="00A05CAA" w:rsidP="00A05CAA">
      <w:pPr>
        <w:rPr>
          <w:rFonts w:cs="Arial"/>
          <w:lang w:val="pt-BR"/>
        </w:rPr>
      </w:pPr>
      <w:r w:rsidRPr="00A05CAA">
        <w:rPr>
          <w:rFonts w:cs="Arial"/>
          <w:lang w:val="pt-BR"/>
        </w:rPr>
        <w:t>4.3 A transmissão dos agentes infecciosos (patógenos) se faz por transmissão directa ou indirecta.</w:t>
      </w:r>
    </w:p>
    <w:p w:rsidR="00A05CAA" w:rsidRPr="00A05CAA" w:rsidRDefault="00A05CAA" w:rsidP="00A05CAA">
      <w:pPr>
        <w:rPr>
          <w:rFonts w:cs="Arial"/>
          <w:lang w:val="pt-BR"/>
        </w:rPr>
      </w:pPr>
      <w:r w:rsidRPr="00A05CAA">
        <w:rPr>
          <w:rFonts w:cs="Arial"/>
          <w:lang w:val="pt-BR"/>
        </w:rPr>
        <w:t>4.4 Factores dos patógenos como a patogenicidade, virulência e dose infectiva são determinantes para causar doença clínica.</w:t>
      </w:r>
    </w:p>
    <w:p w:rsidR="00A05CAA" w:rsidRPr="00A05CAA" w:rsidRDefault="00A05CAA" w:rsidP="00A05CAA">
      <w:pPr>
        <w:rPr>
          <w:rFonts w:cs="Arial"/>
          <w:lang w:val="pt-BR"/>
        </w:rPr>
      </w:pPr>
      <w:r w:rsidRPr="00A05CAA">
        <w:rPr>
          <w:rFonts w:cs="Arial"/>
          <w:lang w:val="pt-BR"/>
        </w:rPr>
        <w:t xml:space="preserve">4.5 Após a exposição ao agente infeccioso, existem vários períodos de doença a saber: período de incubação, período prodrómico, período de doença e convalescência (com ou sem sequelas) ou morte. </w:t>
      </w:r>
    </w:p>
    <w:p w:rsidR="00F8000A" w:rsidRDefault="00F8000A">
      <w:pPr>
        <w:rPr>
          <w:rFonts w:eastAsia="Times New Roman" w:cs="Arial"/>
          <w:szCs w:val="20"/>
          <w:lang w:val="pt-PT" w:eastAsia="es-ES"/>
        </w:rPr>
      </w:pPr>
      <w:r w:rsidRPr="00850CFC">
        <w:rPr>
          <w:lang w:val="pt-PT"/>
        </w:rPr>
        <w:br w:type="page"/>
      </w:r>
    </w:p>
    <w:tbl>
      <w:tblPr>
        <w:tblW w:w="10150" w:type="dxa"/>
        <w:tblLayout w:type="fixed"/>
        <w:tblCellMar>
          <w:left w:w="70" w:type="dxa"/>
          <w:right w:w="70" w:type="dxa"/>
        </w:tblCellMar>
        <w:tblLook w:val="0020" w:firstRow="1" w:lastRow="0" w:firstColumn="0" w:lastColumn="0" w:noHBand="0" w:noVBand="0"/>
      </w:tblPr>
      <w:tblGrid>
        <w:gridCol w:w="1418"/>
        <w:gridCol w:w="4502"/>
        <w:gridCol w:w="1710"/>
        <w:gridCol w:w="2520"/>
      </w:tblGrid>
      <w:tr w:rsidR="00070E4E" w:rsidRPr="006C1308" w:rsidTr="00FC6E81">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070E4E" w:rsidRPr="006C1308" w:rsidRDefault="00070E4E" w:rsidP="00E8674E">
            <w:pPr>
              <w:spacing w:line="240" w:lineRule="auto"/>
              <w:rPr>
                <w:rFonts w:cs="Arial"/>
                <w:b/>
              </w:rPr>
            </w:pPr>
            <w:r w:rsidRPr="006C1308">
              <w:rPr>
                <w:rFonts w:cs="Arial"/>
                <w:b/>
              </w:rPr>
              <w:lastRenderedPageBreak/>
              <w:t>Disciplina</w:t>
            </w:r>
          </w:p>
        </w:tc>
        <w:tc>
          <w:tcPr>
            <w:tcW w:w="4502" w:type="dxa"/>
            <w:tcBorders>
              <w:top w:val="single" w:sz="6" w:space="0" w:color="000000"/>
              <w:left w:val="single" w:sz="6" w:space="0" w:color="000000"/>
              <w:bottom w:val="single" w:sz="6" w:space="0" w:color="000000"/>
              <w:right w:val="single" w:sz="6" w:space="0" w:color="000000"/>
            </w:tcBorders>
            <w:vAlign w:val="center"/>
          </w:tcPr>
          <w:p w:rsidR="00070E4E" w:rsidRPr="006C1308" w:rsidRDefault="00070E4E" w:rsidP="00E8674E">
            <w:pPr>
              <w:spacing w:line="240" w:lineRule="auto"/>
              <w:rPr>
                <w:rFonts w:cs="Arial"/>
              </w:rPr>
            </w:pPr>
            <w:r w:rsidRPr="006C1308">
              <w:rPr>
                <w:rFonts w:cs="Arial"/>
              </w:rPr>
              <w:t>Introdução às Ciências Médicas</w:t>
            </w:r>
          </w:p>
        </w:tc>
        <w:tc>
          <w:tcPr>
            <w:tcW w:w="1710" w:type="dxa"/>
            <w:tcBorders>
              <w:top w:val="single" w:sz="6" w:space="0" w:color="000000"/>
              <w:left w:val="single" w:sz="6" w:space="0" w:color="000000"/>
              <w:bottom w:val="single" w:sz="6" w:space="0" w:color="000000"/>
              <w:right w:val="single" w:sz="6" w:space="0" w:color="000000"/>
            </w:tcBorders>
            <w:vAlign w:val="center"/>
          </w:tcPr>
          <w:p w:rsidR="00070E4E" w:rsidRPr="006C1308" w:rsidRDefault="00070E4E" w:rsidP="00E8674E">
            <w:pPr>
              <w:spacing w:line="240" w:lineRule="auto"/>
              <w:rPr>
                <w:rFonts w:cs="Arial"/>
                <w:b/>
              </w:rPr>
            </w:pPr>
            <w:r w:rsidRPr="006C1308">
              <w:rPr>
                <w:rFonts w:cs="Arial"/>
                <w:b/>
              </w:rPr>
              <w:t xml:space="preserve">N° da Aula </w:t>
            </w:r>
          </w:p>
        </w:tc>
        <w:tc>
          <w:tcPr>
            <w:tcW w:w="2520" w:type="dxa"/>
            <w:tcBorders>
              <w:top w:val="single" w:sz="6" w:space="0" w:color="000000"/>
              <w:left w:val="single" w:sz="6" w:space="0" w:color="000000"/>
              <w:bottom w:val="single" w:sz="6" w:space="0" w:color="000000"/>
              <w:right w:val="single" w:sz="6" w:space="0" w:color="000000"/>
            </w:tcBorders>
            <w:vAlign w:val="center"/>
          </w:tcPr>
          <w:p w:rsidR="00070E4E" w:rsidRPr="0013594B" w:rsidRDefault="00070E4E" w:rsidP="00E8674E">
            <w:pPr>
              <w:spacing w:line="240" w:lineRule="auto"/>
              <w:jc w:val="center"/>
              <w:rPr>
                <w:rFonts w:cs="Arial"/>
              </w:rPr>
            </w:pPr>
            <w:r w:rsidRPr="0013594B">
              <w:rPr>
                <w:rFonts w:cs="Arial"/>
              </w:rPr>
              <w:t>8</w:t>
            </w:r>
          </w:p>
        </w:tc>
      </w:tr>
      <w:tr w:rsidR="00070E4E" w:rsidRPr="006C1308" w:rsidTr="00FC6E81">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070E4E" w:rsidRPr="006C1308" w:rsidRDefault="00070E4E" w:rsidP="00E8674E">
            <w:pPr>
              <w:spacing w:line="240" w:lineRule="auto"/>
              <w:rPr>
                <w:rFonts w:cs="Arial"/>
                <w:b/>
              </w:rPr>
            </w:pPr>
            <w:r w:rsidRPr="006C1308">
              <w:rPr>
                <w:rFonts w:cs="Arial"/>
                <w:b/>
              </w:rPr>
              <w:t>Tópico</w:t>
            </w:r>
          </w:p>
        </w:tc>
        <w:tc>
          <w:tcPr>
            <w:tcW w:w="4502" w:type="dxa"/>
            <w:tcBorders>
              <w:top w:val="single" w:sz="6" w:space="0" w:color="000000"/>
              <w:left w:val="single" w:sz="6" w:space="0" w:color="000000"/>
              <w:bottom w:val="single" w:sz="6" w:space="0" w:color="000000"/>
              <w:right w:val="single" w:sz="6" w:space="0" w:color="000000"/>
            </w:tcBorders>
            <w:vAlign w:val="center"/>
          </w:tcPr>
          <w:p w:rsidR="00070E4E" w:rsidRPr="006C1308" w:rsidRDefault="00070E4E" w:rsidP="00E8674E">
            <w:pPr>
              <w:spacing w:line="240" w:lineRule="auto"/>
              <w:rPr>
                <w:rFonts w:cs="Arial"/>
              </w:rPr>
            </w:pPr>
            <w:r w:rsidRPr="006C1308">
              <w:rPr>
                <w:rFonts w:cs="Arial"/>
              </w:rPr>
              <w:t>Microbiologia (2)</w:t>
            </w:r>
          </w:p>
        </w:tc>
        <w:tc>
          <w:tcPr>
            <w:tcW w:w="1710" w:type="dxa"/>
            <w:tcBorders>
              <w:top w:val="single" w:sz="6" w:space="0" w:color="000000"/>
              <w:left w:val="single" w:sz="6" w:space="0" w:color="000000"/>
              <w:bottom w:val="single" w:sz="6" w:space="0" w:color="000000"/>
              <w:right w:val="single" w:sz="6" w:space="0" w:color="000000"/>
            </w:tcBorders>
            <w:vAlign w:val="center"/>
          </w:tcPr>
          <w:p w:rsidR="00070E4E" w:rsidRPr="006C1308" w:rsidRDefault="00070E4E" w:rsidP="00E8674E">
            <w:pPr>
              <w:spacing w:line="240" w:lineRule="auto"/>
              <w:rPr>
                <w:rFonts w:cs="Arial"/>
                <w:b/>
              </w:rPr>
            </w:pPr>
            <w:r w:rsidRPr="006C1308">
              <w:rPr>
                <w:rFonts w:cs="Arial"/>
                <w:b/>
              </w:rPr>
              <w:t xml:space="preserve">Tipo </w:t>
            </w:r>
          </w:p>
        </w:tc>
        <w:tc>
          <w:tcPr>
            <w:tcW w:w="2520" w:type="dxa"/>
            <w:tcBorders>
              <w:top w:val="single" w:sz="6" w:space="0" w:color="000000"/>
              <w:left w:val="single" w:sz="6" w:space="0" w:color="000000"/>
              <w:bottom w:val="single" w:sz="6" w:space="0" w:color="000000"/>
              <w:right w:val="single" w:sz="6" w:space="0" w:color="000000"/>
            </w:tcBorders>
            <w:vAlign w:val="center"/>
          </w:tcPr>
          <w:p w:rsidR="00070E4E" w:rsidRPr="0013594B" w:rsidRDefault="00070E4E" w:rsidP="00E8674E">
            <w:pPr>
              <w:spacing w:line="240" w:lineRule="auto"/>
              <w:jc w:val="center"/>
              <w:rPr>
                <w:rFonts w:cs="Arial"/>
              </w:rPr>
            </w:pPr>
            <w:r w:rsidRPr="0013594B">
              <w:rPr>
                <w:rFonts w:cs="Arial"/>
              </w:rPr>
              <w:t>Teórica</w:t>
            </w:r>
          </w:p>
        </w:tc>
      </w:tr>
      <w:tr w:rsidR="00070E4E" w:rsidRPr="006C1308" w:rsidTr="00FC6E81">
        <w:trPr>
          <w:cantSplit/>
          <w:trHeight w:val="414"/>
        </w:trPr>
        <w:tc>
          <w:tcPr>
            <w:tcW w:w="1418" w:type="dxa"/>
            <w:tcBorders>
              <w:top w:val="single" w:sz="6" w:space="0" w:color="000000"/>
              <w:left w:val="single" w:sz="6" w:space="0" w:color="000000"/>
              <w:bottom w:val="single" w:sz="6" w:space="0" w:color="000000"/>
              <w:right w:val="single" w:sz="6" w:space="0" w:color="000000"/>
            </w:tcBorders>
            <w:vAlign w:val="center"/>
          </w:tcPr>
          <w:p w:rsidR="00070E4E" w:rsidRPr="006C1308" w:rsidRDefault="00070E4E" w:rsidP="00E8674E">
            <w:pPr>
              <w:spacing w:line="240" w:lineRule="auto"/>
              <w:rPr>
                <w:rFonts w:cs="Arial"/>
                <w:b/>
              </w:rPr>
            </w:pPr>
            <w:r w:rsidRPr="006C1308">
              <w:rPr>
                <w:rFonts w:cs="Arial"/>
                <w:b/>
              </w:rPr>
              <w:t>Conteúdos</w:t>
            </w:r>
          </w:p>
        </w:tc>
        <w:tc>
          <w:tcPr>
            <w:tcW w:w="4502" w:type="dxa"/>
            <w:tcBorders>
              <w:top w:val="single" w:sz="6" w:space="0" w:color="000000"/>
              <w:left w:val="single" w:sz="6" w:space="0" w:color="000000"/>
              <w:bottom w:val="single" w:sz="6" w:space="0" w:color="000000"/>
              <w:right w:val="single" w:sz="6" w:space="0" w:color="000000"/>
            </w:tcBorders>
            <w:vAlign w:val="center"/>
          </w:tcPr>
          <w:p w:rsidR="00070E4E" w:rsidRPr="00F8000A" w:rsidRDefault="00070E4E" w:rsidP="00070E4E">
            <w:pPr>
              <w:pStyle w:val="Heading1"/>
              <w:rPr>
                <w:b w:val="0"/>
                <w:sz w:val="22"/>
                <w:szCs w:val="22"/>
                <w:lang w:val="pt-BR"/>
              </w:rPr>
            </w:pPr>
            <w:bookmarkStart w:id="13" w:name="_Toc329099756"/>
            <w:r w:rsidRPr="00F8000A">
              <w:rPr>
                <w:b w:val="0"/>
                <w:sz w:val="22"/>
                <w:szCs w:val="22"/>
                <w:lang w:val="pt-BR"/>
              </w:rPr>
              <w:t>Bactérias Patogénicas</w:t>
            </w:r>
            <w:bookmarkEnd w:id="13"/>
          </w:p>
        </w:tc>
        <w:tc>
          <w:tcPr>
            <w:tcW w:w="1710" w:type="dxa"/>
            <w:tcBorders>
              <w:top w:val="single" w:sz="6" w:space="0" w:color="000000"/>
              <w:left w:val="single" w:sz="6" w:space="0" w:color="000000"/>
              <w:bottom w:val="single" w:sz="6" w:space="0" w:color="000000"/>
              <w:right w:val="single" w:sz="6" w:space="0" w:color="000000"/>
            </w:tcBorders>
            <w:vAlign w:val="center"/>
          </w:tcPr>
          <w:p w:rsidR="00070E4E" w:rsidRPr="006C1308" w:rsidRDefault="00070E4E" w:rsidP="00E8674E">
            <w:pPr>
              <w:spacing w:line="240" w:lineRule="auto"/>
              <w:rPr>
                <w:rFonts w:cs="Arial"/>
                <w:b/>
              </w:rPr>
            </w:pPr>
            <w:r w:rsidRPr="006C1308">
              <w:rPr>
                <w:rFonts w:cs="Arial"/>
                <w:b/>
              </w:rPr>
              <w:t>Duração</w:t>
            </w:r>
          </w:p>
        </w:tc>
        <w:tc>
          <w:tcPr>
            <w:tcW w:w="2520" w:type="dxa"/>
            <w:tcBorders>
              <w:top w:val="single" w:sz="6" w:space="0" w:color="000000"/>
              <w:left w:val="single" w:sz="6" w:space="0" w:color="000000"/>
              <w:bottom w:val="single" w:sz="6" w:space="0" w:color="000000"/>
              <w:right w:val="single" w:sz="6" w:space="0" w:color="000000"/>
            </w:tcBorders>
            <w:vAlign w:val="center"/>
          </w:tcPr>
          <w:p w:rsidR="00070E4E" w:rsidRPr="0013594B" w:rsidRDefault="00070E4E" w:rsidP="00E8674E">
            <w:pPr>
              <w:spacing w:line="240" w:lineRule="auto"/>
              <w:jc w:val="center"/>
              <w:rPr>
                <w:rFonts w:cs="Arial"/>
              </w:rPr>
            </w:pPr>
            <w:r w:rsidRPr="0013594B">
              <w:rPr>
                <w:rFonts w:cs="Arial"/>
              </w:rPr>
              <w:t>2 h</w:t>
            </w:r>
          </w:p>
        </w:tc>
      </w:tr>
    </w:tbl>
    <w:p w:rsidR="00070E4E" w:rsidRPr="006C1308" w:rsidRDefault="00070E4E" w:rsidP="00506DE0">
      <w:pPr>
        <w:spacing w:after="0" w:line="240" w:lineRule="atLeast"/>
        <w:outlineLvl w:val="0"/>
        <w:rPr>
          <w:rFonts w:cs="Arial"/>
          <w:b/>
          <w:bCs/>
          <w:lang w:val="pt-PT"/>
        </w:rPr>
      </w:pPr>
    </w:p>
    <w:p w:rsidR="00070E4E" w:rsidRPr="0052785B" w:rsidRDefault="00070E4E" w:rsidP="0052785B">
      <w:pPr>
        <w:rPr>
          <w:b/>
          <w:lang w:val="pt-PT"/>
        </w:rPr>
      </w:pPr>
      <w:r w:rsidRPr="0052785B">
        <w:rPr>
          <w:b/>
          <w:lang w:val="pt-PT"/>
        </w:rPr>
        <w:t>Objectivos de Aprendizagem:</w:t>
      </w:r>
    </w:p>
    <w:p w:rsidR="00070E4E" w:rsidRPr="006C1308" w:rsidRDefault="00070E4E" w:rsidP="00070E4E">
      <w:pPr>
        <w:spacing w:before="60"/>
        <w:rPr>
          <w:rFonts w:cs="Arial"/>
          <w:lang w:val="pt-PT"/>
        </w:rPr>
      </w:pPr>
      <w:r w:rsidRPr="006C1308">
        <w:rPr>
          <w:rFonts w:cs="Arial"/>
          <w:lang w:val="pt-PT"/>
        </w:rPr>
        <w:t>Até ao fim da aula os alunos devem ser capazes de:</w:t>
      </w:r>
    </w:p>
    <w:p w:rsidR="00070E4E" w:rsidRPr="006C1308" w:rsidRDefault="00070E4E" w:rsidP="00C52E09">
      <w:pPr>
        <w:numPr>
          <w:ilvl w:val="0"/>
          <w:numId w:val="73"/>
        </w:numPr>
        <w:spacing w:before="60" w:after="0"/>
        <w:rPr>
          <w:rFonts w:cs="Arial"/>
          <w:lang w:val="pt-PT"/>
        </w:rPr>
      </w:pPr>
      <w:r w:rsidRPr="006C1308">
        <w:rPr>
          <w:rFonts w:cs="Arial"/>
          <w:lang w:val="pt-PT"/>
        </w:rPr>
        <w:t>Definir e classificar as bactérias patogénicas</w:t>
      </w:r>
    </w:p>
    <w:p w:rsidR="00070E4E" w:rsidRPr="006C1308" w:rsidRDefault="00070E4E" w:rsidP="00C52E09">
      <w:pPr>
        <w:numPr>
          <w:ilvl w:val="0"/>
          <w:numId w:val="73"/>
        </w:numPr>
        <w:spacing w:before="60" w:after="0"/>
        <w:rPr>
          <w:rFonts w:cs="Arial"/>
          <w:lang w:val="pt-PT"/>
        </w:rPr>
      </w:pPr>
      <w:r w:rsidRPr="006C1308">
        <w:rPr>
          <w:rFonts w:cs="Arial"/>
          <w:lang w:val="pt-PT"/>
        </w:rPr>
        <w:t>Descrever a morfologia bacteriana</w:t>
      </w:r>
    </w:p>
    <w:p w:rsidR="00070E4E" w:rsidRPr="006C1308" w:rsidRDefault="00070E4E" w:rsidP="00C52E09">
      <w:pPr>
        <w:numPr>
          <w:ilvl w:val="0"/>
          <w:numId w:val="73"/>
        </w:numPr>
        <w:spacing w:before="60" w:after="0"/>
        <w:rPr>
          <w:rFonts w:cs="Arial"/>
          <w:lang w:val="pt-PT"/>
        </w:rPr>
      </w:pPr>
      <w:r w:rsidRPr="006C1308">
        <w:rPr>
          <w:rFonts w:cs="Arial"/>
          <w:lang w:val="pt-PT"/>
        </w:rPr>
        <w:t>Explicar a patogenia da infecção bacteriana</w:t>
      </w:r>
    </w:p>
    <w:p w:rsidR="00070E4E" w:rsidRPr="006C1308" w:rsidRDefault="00070E4E" w:rsidP="00070E4E">
      <w:pPr>
        <w:tabs>
          <w:tab w:val="left" w:pos="244"/>
        </w:tabs>
        <w:spacing w:line="240" w:lineRule="auto"/>
        <w:rPr>
          <w:rFonts w:cs="Arial"/>
          <w:lang w:val="pt-PT"/>
        </w:rPr>
      </w:pPr>
    </w:p>
    <w:p w:rsidR="00070E4E" w:rsidRPr="0052785B" w:rsidRDefault="00070E4E" w:rsidP="0052785B">
      <w:pPr>
        <w:rPr>
          <w:b/>
        </w:rPr>
      </w:pPr>
      <w:r w:rsidRPr="0052785B">
        <w:rPr>
          <w:b/>
        </w:rPr>
        <w:t>Estrutura da Aula</w:t>
      </w:r>
    </w:p>
    <w:tbl>
      <w:tblPr>
        <w:tblW w:w="10188" w:type="dxa"/>
        <w:tblBorders>
          <w:top w:val="single" w:sz="18" w:space="0" w:color="auto"/>
          <w:bottom w:val="single" w:sz="18" w:space="0" w:color="auto"/>
        </w:tblBorders>
        <w:tblLayout w:type="fixed"/>
        <w:tblLook w:val="0400" w:firstRow="0" w:lastRow="0" w:firstColumn="0" w:lastColumn="0" w:noHBand="0" w:noVBand="1"/>
      </w:tblPr>
      <w:tblGrid>
        <w:gridCol w:w="738"/>
        <w:gridCol w:w="3240"/>
        <w:gridCol w:w="3780"/>
        <w:gridCol w:w="2430"/>
      </w:tblGrid>
      <w:tr w:rsidR="00070E4E" w:rsidRPr="006C1308" w:rsidTr="00FC6E81">
        <w:trPr>
          <w:trHeight w:val="490"/>
        </w:trPr>
        <w:tc>
          <w:tcPr>
            <w:tcW w:w="738" w:type="dxa"/>
            <w:tcBorders>
              <w:top w:val="single" w:sz="18" w:space="0" w:color="auto"/>
              <w:bottom w:val="single" w:sz="18" w:space="0" w:color="auto"/>
              <w:right w:val="single" w:sz="4" w:space="0" w:color="auto"/>
            </w:tcBorders>
            <w:shd w:val="clear" w:color="auto" w:fill="B8CCE4"/>
          </w:tcPr>
          <w:p w:rsidR="00070E4E" w:rsidRPr="006C1308" w:rsidRDefault="00070E4E" w:rsidP="00E8674E">
            <w:pPr>
              <w:spacing w:line="240" w:lineRule="auto"/>
              <w:ind w:left="-110" w:right="-108"/>
              <w:jc w:val="center"/>
              <w:rPr>
                <w:rFonts w:cs="Arial"/>
                <w:b/>
              </w:rPr>
            </w:pPr>
            <w:r w:rsidRPr="006C1308">
              <w:rPr>
                <w:rFonts w:cs="Arial"/>
                <w:b/>
              </w:rPr>
              <w:t>Bloco</w:t>
            </w:r>
          </w:p>
        </w:tc>
        <w:tc>
          <w:tcPr>
            <w:tcW w:w="3240" w:type="dxa"/>
            <w:tcBorders>
              <w:top w:val="single" w:sz="18" w:space="0" w:color="auto"/>
              <w:left w:val="single" w:sz="4" w:space="0" w:color="auto"/>
              <w:bottom w:val="single" w:sz="18" w:space="0" w:color="auto"/>
              <w:right w:val="single" w:sz="4" w:space="0" w:color="auto"/>
            </w:tcBorders>
            <w:shd w:val="clear" w:color="auto" w:fill="B8CCE4"/>
          </w:tcPr>
          <w:p w:rsidR="00070E4E" w:rsidRPr="006C1308" w:rsidRDefault="00070E4E" w:rsidP="00E8674E">
            <w:pPr>
              <w:spacing w:line="240" w:lineRule="auto"/>
              <w:jc w:val="center"/>
              <w:rPr>
                <w:rFonts w:cs="Arial"/>
                <w:b/>
              </w:rPr>
            </w:pPr>
            <w:r w:rsidRPr="006C1308">
              <w:rPr>
                <w:rFonts w:cs="Arial"/>
                <w:b/>
              </w:rPr>
              <w:t>Título do Bloco</w:t>
            </w:r>
          </w:p>
        </w:tc>
        <w:tc>
          <w:tcPr>
            <w:tcW w:w="3780" w:type="dxa"/>
            <w:tcBorders>
              <w:top w:val="single" w:sz="18" w:space="0" w:color="auto"/>
              <w:left w:val="single" w:sz="4" w:space="0" w:color="auto"/>
              <w:bottom w:val="single" w:sz="18" w:space="0" w:color="auto"/>
              <w:right w:val="single" w:sz="4" w:space="0" w:color="auto"/>
            </w:tcBorders>
            <w:shd w:val="clear" w:color="auto" w:fill="B8CCE4"/>
          </w:tcPr>
          <w:p w:rsidR="00070E4E" w:rsidRPr="006C1308" w:rsidRDefault="00070E4E" w:rsidP="00E8674E">
            <w:pPr>
              <w:tabs>
                <w:tab w:val="left" w:pos="244"/>
              </w:tabs>
              <w:spacing w:line="240" w:lineRule="auto"/>
              <w:jc w:val="center"/>
              <w:rPr>
                <w:rFonts w:cs="Arial"/>
                <w:b/>
                <w:lang w:val="pt-BR"/>
              </w:rPr>
            </w:pPr>
            <w:r w:rsidRPr="006C1308">
              <w:rPr>
                <w:rFonts w:cs="Arial"/>
                <w:b/>
              </w:rPr>
              <w:t>M</w:t>
            </w:r>
            <w:r w:rsidRPr="006C1308">
              <w:rPr>
                <w:rFonts w:cs="Arial"/>
                <w:b/>
                <w:lang w:val="pt-BR"/>
              </w:rPr>
              <w:t>étodo de Ensino</w:t>
            </w:r>
          </w:p>
        </w:tc>
        <w:tc>
          <w:tcPr>
            <w:tcW w:w="2430" w:type="dxa"/>
            <w:tcBorders>
              <w:top w:val="single" w:sz="18" w:space="0" w:color="auto"/>
              <w:left w:val="single" w:sz="4" w:space="0" w:color="auto"/>
              <w:bottom w:val="single" w:sz="18" w:space="0" w:color="auto"/>
            </w:tcBorders>
            <w:shd w:val="clear" w:color="auto" w:fill="B8CCE4"/>
          </w:tcPr>
          <w:p w:rsidR="00070E4E" w:rsidRPr="006C1308" w:rsidRDefault="00070E4E" w:rsidP="00E8674E">
            <w:pPr>
              <w:tabs>
                <w:tab w:val="left" w:pos="244"/>
              </w:tabs>
              <w:spacing w:line="240" w:lineRule="auto"/>
              <w:jc w:val="center"/>
              <w:rPr>
                <w:rFonts w:cs="Arial"/>
                <w:b/>
                <w:lang w:val="pt-BR"/>
              </w:rPr>
            </w:pPr>
            <w:r w:rsidRPr="006C1308">
              <w:rPr>
                <w:rFonts w:cs="Arial"/>
                <w:b/>
              </w:rPr>
              <w:t>Duração</w:t>
            </w:r>
          </w:p>
        </w:tc>
      </w:tr>
      <w:tr w:rsidR="00070E4E" w:rsidRPr="006C1308" w:rsidTr="00FC6E81">
        <w:tc>
          <w:tcPr>
            <w:tcW w:w="738" w:type="dxa"/>
            <w:tcBorders>
              <w:top w:val="single" w:sz="18" w:space="0" w:color="auto"/>
              <w:bottom w:val="single" w:sz="4" w:space="0" w:color="auto"/>
              <w:right w:val="single" w:sz="4" w:space="0" w:color="auto"/>
            </w:tcBorders>
          </w:tcPr>
          <w:p w:rsidR="00070E4E" w:rsidRPr="006C1308" w:rsidRDefault="00070E4E" w:rsidP="00E8674E">
            <w:pPr>
              <w:spacing w:before="60" w:after="60" w:line="360" w:lineRule="auto"/>
              <w:ind w:left="-110" w:right="-108"/>
              <w:jc w:val="center"/>
              <w:rPr>
                <w:rFonts w:cs="Arial"/>
              </w:rPr>
            </w:pPr>
            <w:r w:rsidRPr="006C1308">
              <w:rPr>
                <w:rFonts w:cs="Arial"/>
              </w:rPr>
              <w:t>1</w:t>
            </w:r>
          </w:p>
        </w:tc>
        <w:tc>
          <w:tcPr>
            <w:tcW w:w="3240" w:type="dxa"/>
            <w:tcBorders>
              <w:top w:val="single" w:sz="18" w:space="0" w:color="auto"/>
              <w:left w:val="single" w:sz="4" w:space="0" w:color="auto"/>
              <w:bottom w:val="single" w:sz="4" w:space="0" w:color="auto"/>
              <w:right w:val="single" w:sz="4" w:space="0" w:color="auto"/>
            </w:tcBorders>
            <w:vAlign w:val="center"/>
          </w:tcPr>
          <w:p w:rsidR="00070E4E" w:rsidRPr="006C1308" w:rsidRDefault="00070E4E" w:rsidP="00E8674E">
            <w:pPr>
              <w:tabs>
                <w:tab w:val="left" w:pos="244"/>
              </w:tabs>
              <w:spacing w:before="60" w:after="60" w:line="360" w:lineRule="auto"/>
              <w:rPr>
                <w:rFonts w:cs="Arial"/>
              </w:rPr>
            </w:pPr>
            <w:r w:rsidRPr="006C1308">
              <w:rPr>
                <w:rFonts w:cs="Arial"/>
              </w:rPr>
              <w:t>Introdução à Aula</w:t>
            </w:r>
          </w:p>
        </w:tc>
        <w:tc>
          <w:tcPr>
            <w:tcW w:w="3780" w:type="dxa"/>
            <w:tcBorders>
              <w:top w:val="single" w:sz="18" w:space="0" w:color="auto"/>
              <w:left w:val="single" w:sz="4" w:space="0" w:color="auto"/>
              <w:bottom w:val="single" w:sz="4" w:space="0" w:color="auto"/>
              <w:right w:val="single" w:sz="4" w:space="0" w:color="auto"/>
            </w:tcBorders>
          </w:tcPr>
          <w:p w:rsidR="00070E4E" w:rsidRPr="006C1308" w:rsidRDefault="00070E4E" w:rsidP="00E8674E">
            <w:pPr>
              <w:tabs>
                <w:tab w:val="left" w:pos="244"/>
              </w:tabs>
              <w:spacing w:before="60" w:after="60" w:line="360" w:lineRule="auto"/>
              <w:rPr>
                <w:rFonts w:cs="Arial"/>
              </w:rPr>
            </w:pPr>
          </w:p>
        </w:tc>
        <w:tc>
          <w:tcPr>
            <w:tcW w:w="2430" w:type="dxa"/>
            <w:tcBorders>
              <w:top w:val="single" w:sz="18" w:space="0" w:color="auto"/>
              <w:left w:val="single" w:sz="4" w:space="0" w:color="auto"/>
              <w:bottom w:val="single" w:sz="4" w:space="0" w:color="auto"/>
            </w:tcBorders>
          </w:tcPr>
          <w:p w:rsidR="00070E4E" w:rsidRPr="006C1308" w:rsidRDefault="00070E4E" w:rsidP="00E8674E">
            <w:pPr>
              <w:tabs>
                <w:tab w:val="left" w:pos="244"/>
              </w:tabs>
              <w:spacing w:before="60" w:after="60" w:line="360" w:lineRule="auto"/>
              <w:jc w:val="right"/>
              <w:rPr>
                <w:rFonts w:cs="Arial"/>
              </w:rPr>
            </w:pPr>
          </w:p>
        </w:tc>
      </w:tr>
      <w:tr w:rsidR="00070E4E" w:rsidRPr="006C1308" w:rsidTr="00FC6E81">
        <w:tc>
          <w:tcPr>
            <w:tcW w:w="738" w:type="dxa"/>
            <w:tcBorders>
              <w:top w:val="single" w:sz="4" w:space="0" w:color="auto"/>
              <w:bottom w:val="single" w:sz="4" w:space="0" w:color="auto"/>
              <w:right w:val="single" w:sz="4" w:space="0" w:color="auto"/>
            </w:tcBorders>
            <w:shd w:val="clear" w:color="auto" w:fill="D9D9D9"/>
          </w:tcPr>
          <w:p w:rsidR="00070E4E" w:rsidRPr="006C1308" w:rsidRDefault="00070E4E" w:rsidP="00E8674E">
            <w:pPr>
              <w:spacing w:before="60" w:after="60" w:line="360" w:lineRule="auto"/>
              <w:ind w:left="-110" w:right="-108"/>
              <w:jc w:val="center"/>
              <w:rPr>
                <w:rFonts w:cs="Arial"/>
              </w:rPr>
            </w:pPr>
            <w:r w:rsidRPr="006C1308">
              <w:rPr>
                <w:rFonts w:cs="Arial"/>
              </w:rPr>
              <w:t>2</w:t>
            </w:r>
          </w:p>
        </w:tc>
        <w:tc>
          <w:tcPr>
            <w:tcW w:w="3240" w:type="dxa"/>
            <w:tcBorders>
              <w:top w:val="single" w:sz="4" w:space="0" w:color="auto"/>
              <w:left w:val="single" w:sz="4" w:space="0" w:color="auto"/>
              <w:bottom w:val="single" w:sz="4" w:space="0" w:color="auto"/>
              <w:right w:val="single" w:sz="4" w:space="0" w:color="auto"/>
            </w:tcBorders>
            <w:shd w:val="clear" w:color="auto" w:fill="D9D9D9"/>
          </w:tcPr>
          <w:p w:rsidR="00070E4E" w:rsidRPr="006C1308" w:rsidRDefault="00070E4E" w:rsidP="00E8674E">
            <w:pPr>
              <w:tabs>
                <w:tab w:val="left" w:pos="244"/>
              </w:tabs>
              <w:spacing w:before="60" w:after="60" w:line="360" w:lineRule="auto"/>
              <w:rPr>
                <w:rFonts w:cs="Arial"/>
              </w:rPr>
            </w:pPr>
            <w:r w:rsidRPr="006C1308">
              <w:rPr>
                <w:rFonts w:cs="Arial"/>
              </w:rPr>
              <w:t>Classificação das Bactérias</w:t>
            </w:r>
          </w:p>
        </w:tc>
        <w:tc>
          <w:tcPr>
            <w:tcW w:w="3780" w:type="dxa"/>
            <w:tcBorders>
              <w:top w:val="single" w:sz="4" w:space="0" w:color="auto"/>
              <w:left w:val="single" w:sz="4" w:space="0" w:color="auto"/>
              <w:bottom w:val="single" w:sz="4" w:space="0" w:color="auto"/>
              <w:right w:val="single" w:sz="4" w:space="0" w:color="auto"/>
            </w:tcBorders>
            <w:shd w:val="clear" w:color="auto" w:fill="D9D9D9"/>
          </w:tcPr>
          <w:p w:rsidR="00070E4E" w:rsidRPr="006C1308" w:rsidRDefault="00070E4E" w:rsidP="00E8674E">
            <w:pPr>
              <w:tabs>
                <w:tab w:val="left" w:pos="244"/>
              </w:tabs>
              <w:spacing w:before="60" w:after="60" w:line="360" w:lineRule="auto"/>
              <w:rPr>
                <w:rFonts w:cs="Arial"/>
              </w:rPr>
            </w:pPr>
          </w:p>
        </w:tc>
        <w:tc>
          <w:tcPr>
            <w:tcW w:w="2430" w:type="dxa"/>
            <w:tcBorders>
              <w:top w:val="single" w:sz="4" w:space="0" w:color="auto"/>
              <w:left w:val="single" w:sz="4" w:space="0" w:color="auto"/>
              <w:bottom w:val="single" w:sz="4" w:space="0" w:color="auto"/>
            </w:tcBorders>
            <w:shd w:val="clear" w:color="auto" w:fill="D9D9D9"/>
          </w:tcPr>
          <w:p w:rsidR="00070E4E" w:rsidRPr="006C1308" w:rsidRDefault="00070E4E" w:rsidP="00E8674E">
            <w:pPr>
              <w:tabs>
                <w:tab w:val="left" w:pos="244"/>
              </w:tabs>
              <w:spacing w:before="60" w:after="60" w:line="360" w:lineRule="auto"/>
              <w:jc w:val="right"/>
              <w:rPr>
                <w:rFonts w:cs="Arial"/>
              </w:rPr>
            </w:pPr>
          </w:p>
        </w:tc>
      </w:tr>
      <w:tr w:rsidR="00070E4E" w:rsidRPr="00FC6E81" w:rsidTr="00FC6E81">
        <w:tc>
          <w:tcPr>
            <w:tcW w:w="738" w:type="dxa"/>
            <w:tcBorders>
              <w:top w:val="single" w:sz="4" w:space="0" w:color="auto"/>
              <w:bottom w:val="single" w:sz="4" w:space="0" w:color="auto"/>
              <w:right w:val="single" w:sz="4" w:space="0" w:color="auto"/>
            </w:tcBorders>
          </w:tcPr>
          <w:p w:rsidR="00070E4E" w:rsidRPr="006C1308" w:rsidRDefault="00070E4E" w:rsidP="00E8674E">
            <w:pPr>
              <w:spacing w:before="60" w:after="60" w:line="360" w:lineRule="auto"/>
              <w:ind w:left="-110" w:right="-108"/>
              <w:jc w:val="center"/>
              <w:rPr>
                <w:rFonts w:cs="Arial"/>
              </w:rPr>
            </w:pPr>
            <w:r w:rsidRPr="006C1308">
              <w:rPr>
                <w:rFonts w:cs="Arial"/>
              </w:rPr>
              <w:t>3</w:t>
            </w:r>
          </w:p>
        </w:tc>
        <w:tc>
          <w:tcPr>
            <w:tcW w:w="3240" w:type="dxa"/>
            <w:tcBorders>
              <w:top w:val="single" w:sz="4" w:space="0" w:color="auto"/>
              <w:left w:val="single" w:sz="4" w:space="0" w:color="auto"/>
              <w:bottom w:val="single" w:sz="4" w:space="0" w:color="auto"/>
              <w:right w:val="single" w:sz="4" w:space="0" w:color="auto"/>
            </w:tcBorders>
          </w:tcPr>
          <w:p w:rsidR="00070E4E" w:rsidRPr="006C1308" w:rsidRDefault="00070E4E" w:rsidP="00E8674E">
            <w:pPr>
              <w:tabs>
                <w:tab w:val="left" w:pos="244"/>
              </w:tabs>
              <w:spacing w:before="60" w:after="60" w:line="360" w:lineRule="auto"/>
              <w:rPr>
                <w:rFonts w:cs="Arial"/>
                <w:lang w:val="pt-BR"/>
              </w:rPr>
            </w:pPr>
            <w:r w:rsidRPr="006C1308">
              <w:rPr>
                <w:rFonts w:cs="Arial"/>
                <w:lang w:val="pt-BR"/>
              </w:rPr>
              <w:t>Principais Categorias e Grupos de Bactérias</w:t>
            </w:r>
          </w:p>
        </w:tc>
        <w:tc>
          <w:tcPr>
            <w:tcW w:w="3780" w:type="dxa"/>
            <w:tcBorders>
              <w:top w:val="single" w:sz="4" w:space="0" w:color="auto"/>
              <w:left w:val="single" w:sz="4" w:space="0" w:color="auto"/>
              <w:bottom w:val="single" w:sz="4" w:space="0" w:color="auto"/>
              <w:right w:val="single" w:sz="4" w:space="0" w:color="auto"/>
            </w:tcBorders>
          </w:tcPr>
          <w:p w:rsidR="00070E4E" w:rsidRPr="006C1308" w:rsidRDefault="00070E4E" w:rsidP="00E8674E">
            <w:pPr>
              <w:spacing w:before="60" w:after="60" w:line="360" w:lineRule="auto"/>
              <w:ind w:left="-18" w:firstLine="18"/>
              <w:rPr>
                <w:rFonts w:cs="Arial"/>
                <w:lang w:val="pt-BR"/>
              </w:rPr>
            </w:pPr>
          </w:p>
        </w:tc>
        <w:tc>
          <w:tcPr>
            <w:tcW w:w="2430" w:type="dxa"/>
            <w:tcBorders>
              <w:top w:val="single" w:sz="4" w:space="0" w:color="auto"/>
              <w:left w:val="single" w:sz="4" w:space="0" w:color="auto"/>
              <w:bottom w:val="single" w:sz="4" w:space="0" w:color="auto"/>
            </w:tcBorders>
          </w:tcPr>
          <w:p w:rsidR="00070E4E" w:rsidRPr="006C1308" w:rsidRDefault="00070E4E" w:rsidP="00E8674E">
            <w:pPr>
              <w:spacing w:before="60" w:after="60" w:line="360" w:lineRule="auto"/>
              <w:ind w:left="-18" w:firstLine="18"/>
              <w:jc w:val="right"/>
              <w:rPr>
                <w:rFonts w:cs="Arial"/>
                <w:lang w:val="pt-BR"/>
              </w:rPr>
            </w:pPr>
          </w:p>
        </w:tc>
      </w:tr>
      <w:tr w:rsidR="00070E4E" w:rsidRPr="006C1308" w:rsidTr="00FC6E81">
        <w:tc>
          <w:tcPr>
            <w:tcW w:w="738" w:type="dxa"/>
            <w:tcBorders>
              <w:top w:val="single" w:sz="4" w:space="0" w:color="auto"/>
              <w:bottom w:val="single" w:sz="4" w:space="0" w:color="auto"/>
              <w:right w:val="single" w:sz="4" w:space="0" w:color="auto"/>
            </w:tcBorders>
            <w:shd w:val="clear" w:color="auto" w:fill="D9D9D9"/>
          </w:tcPr>
          <w:p w:rsidR="00070E4E" w:rsidRPr="006C1308" w:rsidRDefault="00070E4E" w:rsidP="00E8674E">
            <w:pPr>
              <w:spacing w:before="60" w:after="60" w:line="360" w:lineRule="auto"/>
              <w:ind w:left="-110" w:right="-108"/>
              <w:jc w:val="center"/>
              <w:rPr>
                <w:rFonts w:cs="Arial"/>
              </w:rPr>
            </w:pPr>
            <w:r w:rsidRPr="006C1308">
              <w:rPr>
                <w:rFonts w:cs="Arial"/>
              </w:rPr>
              <w:t>4</w:t>
            </w:r>
          </w:p>
        </w:tc>
        <w:tc>
          <w:tcPr>
            <w:tcW w:w="3240" w:type="dxa"/>
            <w:tcBorders>
              <w:top w:val="single" w:sz="4" w:space="0" w:color="auto"/>
              <w:left w:val="single" w:sz="4" w:space="0" w:color="auto"/>
              <w:bottom w:val="single" w:sz="4" w:space="0" w:color="auto"/>
              <w:right w:val="single" w:sz="4" w:space="0" w:color="auto"/>
            </w:tcBorders>
            <w:shd w:val="clear" w:color="auto" w:fill="D9D9D9"/>
          </w:tcPr>
          <w:p w:rsidR="00070E4E" w:rsidRPr="006C1308" w:rsidRDefault="00070E4E" w:rsidP="00E8674E">
            <w:pPr>
              <w:tabs>
                <w:tab w:val="left" w:pos="244"/>
              </w:tabs>
              <w:spacing w:before="60" w:after="60" w:line="360" w:lineRule="auto"/>
              <w:rPr>
                <w:rFonts w:cs="Arial"/>
              </w:rPr>
            </w:pPr>
            <w:r w:rsidRPr="006C1308">
              <w:rPr>
                <w:rFonts w:cs="Arial"/>
              </w:rPr>
              <w:t>Patogenia da Infecção Bacteriana</w:t>
            </w:r>
          </w:p>
        </w:tc>
        <w:tc>
          <w:tcPr>
            <w:tcW w:w="3780" w:type="dxa"/>
            <w:tcBorders>
              <w:top w:val="single" w:sz="4" w:space="0" w:color="auto"/>
              <w:left w:val="single" w:sz="4" w:space="0" w:color="auto"/>
              <w:bottom w:val="single" w:sz="4" w:space="0" w:color="auto"/>
              <w:right w:val="single" w:sz="4" w:space="0" w:color="auto"/>
            </w:tcBorders>
            <w:shd w:val="clear" w:color="auto" w:fill="D9D9D9"/>
          </w:tcPr>
          <w:p w:rsidR="00070E4E" w:rsidRPr="006C1308" w:rsidRDefault="00070E4E" w:rsidP="00E8674E">
            <w:pPr>
              <w:spacing w:before="60" w:after="60" w:line="360" w:lineRule="auto"/>
              <w:ind w:left="-18" w:firstLine="18"/>
              <w:rPr>
                <w:rFonts w:cs="Arial"/>
                <w:lang w:val="pt-BR"/>
              </w:rPr>
            </w:pPr>
          </w:p>
        </w:tc>
        <w:tc>
          <w:tcPr>
            <w:tcW w:w="2430" w:type="dxa"/>
            <w:tcBorders>
              <w:top w:val="single" w:sz="4" w:space="0" w:color="auto"/>
              <w:left w:val="single" w:sz="4" w:space="0" w:color="auto"/>
              <w:bottom w:val="single" w:sz="4" w:space="0" w:color="auto"/>
            </w:tcBorders>
            <w:shd w:val="clear" w:color="auto" w:fill="D9D9D9"/>
          </w:tcPr>
          <w:p w:rsidR="00070E4E" w:rsidRPr="006C1308" w:rsidRDefault="00070E4E" w:rsidP="00E8674E">
            <w:pPr>
              <w:spacing w:before="60" w:after="60" w:line="360" w:lineRule="auto"/>
              <w:ind w:left="-18" w:firstLine="18"/>
              <w:jc w:val="right"/>
              <w:rPr>
                <w:rFonts w:cs="Arial"/>
                <w:lang w:val="pt-BR"/>
              </w:rPr>
            </w:pPr>
          </w:p>
        </w:tc>
      </w:tr>
      <w:tr w:rsidR="00070E4E" w:rsidRPr="006C1308" w:rsidTr="00FC6E81">
        <w:tc>
          <w:tcPr>
            <w:tcW w:w="738" w:type="dxa"/>
            <w:tcBorders>
              <w:top w:val="single" w:sz="4" w:space="0" w:color="auto"/>
              <w:bottom w:val="single" w:sz="18" w:space="0" w:color="auto"/>
              <w:right w:val="single" w:sz="4" w:space="0" w:color="auto"/>
            </w:tcBorders>
            <w:shd w:val="clear" w:color="auto" w:fill="FFFFFF"/>
          </w:tcPr>
          <w:p w:rsidR="00070E4E" w:rsidRPr="006C1308" w:rsidRDefault="00070E4E" w:rsidP="00E8674E">
            <w:pPr>
              <w:spacing w:before="60" w:after="60" w:line="360" w:lineRule="auto"/>
              <w:ind w:left="-110" w:right="-108"/>
              <w:jc w:val="center"/>
              <w:rPr>
                <w:rFonts w:cs="Arial"/>
              </w:rPr>
            </w:pPr>
            <w:r w:rsidRPr="006C1308">
              <w:rPr>
                <w:rFonts w:cs="Arial"/>
              </w:rPr>
              <w:t>5</w:t>
            </w:r>
          </w:p>
        </w:tc>
        <w:tc>
          <w:tcPr>
            <w:tcW w:w="3240" w:type="dxa"/>
            <w:tcBorders>
              <w:top w:val="single" w:sz="4" w:space="0" w:color="auto"/>
              <w:left w:val="single" w:sz="4" w:space="0" w:color="auto"/>
              <w:bottom w:val="single" w:sz="18" w:space="0" w:color="auto"/>
              <w:right w:val="single" w:sz="4" w:space="0" w:color="auto"/>
            </w:tcBorders>
            <w:shd w:val="clear" w:color="auto" w:fill="FFFFFF"/>
            <w:vAlign w:val="center"/>
          </w:tcPr>
          <w:p w:rsidR="00070E4E" w:rsidRPr="006C1308" w:rsidRDefault="00070E4E" w:rsidP="00E8674E">
            <w:pPr>
              <w:tabs>
                <w:tab w:val="left" w:pos="244"/>
              </w:tabs>
              <w:spacing w:before="60" w:after="60" w:line="360" w:lineRule="auto"/>
              <w:rPr>
                <w:rFonts w:cs="Arial"/>
              </w:rPr>
            </w:pPr>
            <w:r w:rsidRPr="006C1308">
              <w:rPr>
                <w:rFonts w:cs="Arial"/>
              </w:rPr>
              <w:t>Pontos-chave</w:t>
            </w:r>
          </w:p>
        </w:tc>
        <w:tc>
          <w:tcPr>
            <w:tcW w:w="3780" w:type="dxa"/>
            <w:tcBorders>
              <w:top w:val="single" w:sz="4" w:space="0" w:color="auto"/>
              <w:left w:val="single" w:sz="4" w:space="0" w:color="auto"/>
              <w:bottom w:val="single" w:sz="18" w:space="0" w:color="auto"/>
              <w:right w:val="single" w:sz="4" w:space="0" w:color="auto"/>
            </w:tcBorders>
            <w:shd w:val="clear" w:color="auto" w:fill="FFFFFF"/>
          </w:tcPr>
          <w:p w:rsidR="00070E4E" w:rsidRPr="006C1308" w:rsidRDefault="00070E4E" w:rsidP="00E8674E">
            <w:pPr>
              <w:spacing w:before="60" w:after="60" w:line="360" w:lineRule="auto"/>
              <w:ind w:left="-18" w:firstLine="18"/>
              <w:rPr>
                <w:rFonts w:cs="Arial"/>
              </w:rPr>
            </w:pPr>
          </w:p>
        </w:tc>
        <w:tc>
          <w:tcPr>
            <w:tcW w:w="2430" w:type="dxa"/>
            <w:tcBorders>
              <w:top w:val="single" w:sz="4" w:space="0" w:color="auto"/>
              <w:left w:val="single" w:sz="4" w:space="0" w:color="auto"/>
              <w:bottom w:val="single" w:sz="18" w:space="0" w:color="auto"/>
            </w:tcBorders>
            <w:shd w:val="clear" w:color="auto" w:fill="FFFFFF"/>
          </w:tcPr>
          <w:p w:rsidR="00070E4E" w:rsidRPr="006C1308" w:rsidRDefault="00070E4E" w:rsidP="00E8674E">
            <w:pPr>
              <w:spacing w:before="60" w:after="60" w:line="360" w:lineRule="auto"/>
              <w:ind w:left="-18" w:firstLine="18"/>
              <w:jc w:val="right"/>
              <w:rPr>
                <w:rFonts w:cs="Arial"/>
              </w:rPr>
            </w:pPr>
          </w:p>
        </w:tc>
      </w:tr>
    </w:tbl>
    <w:p w:rsidR="00070E4E" w:rsidRPr="006C1308" w:rsidRDefault="00070E4E" w:rsidP="00070E4E">
      <w:pPr>
        <w:tabs>
          <w:tab w:val="left" w:pos="244"/>
        </w:tabs>
        <w:spacing w:line="240" w:lineRule="auto"/>
        <w:rPr>
          <w:rFonts w:cs="Arial"/>
          <w:lang w:val="pt-PT"/>
        </w:rPr>
      </w:pPr>
    </w:p>
    <w:p w:rsidR="00070E4E" w:rsidRPr="006C1308" w:rsidRDefault="00070E4E" w:rsidP="00070E4E">
      <w:pPr>
        <w:tabs>
          <w:tab w:val="left" w:pos="424"/>
        </w:tabs>
        <w:jc w:val="both"/>
        <w:rPr>
          <w:rFonts w:cs="Arial"/>
          <w:b/>
          <w:lang w:val="pt-BR"/>
        </w:rPr>
      </w:pPr>
      <w:r w:rsidRPr="006C1308">
        <w:rPr>
          <w:rFonts w:cs="Arial"/>
          <w:b/>
          <w:lang w:val="pt-BR"/>
        </w:rPr>
        <w:t>Equipamentos e meios audiovisuais necessários:</w:t>
      </w:r>
    </w:p>
    <w:p w:rsidR="00070E4E" w:rsidRPr="006C1308" w:rsidRDefault="00070E4E" w:rsidP="00070E4E">
      <w:pPr>
        <w:tabs>
          <w:tab w:val="left" w:pos="424"/>
        </w:tabs>
        <w:jc w:val="both"/>
        <w:rPr>
          <w:rFonts w:cs="Arial"/>
          <w:lang w:val="pt-BR"/>
        </w:rPr>
      </w:pPr>
    </w:p>
    <w:p w:rsidR="00070E4E" w:rsidRPr="006C1308" w:rsidRDefault="00070E4E" w:rsidP="00070E4E">
      <w:pPr>
        <w:tabs>
          <w:tab w:val="left" w:pos="424"/>
        </w:tabs>
        <w:jc w:val="both"/>
        <w:rPr>
          <w:rFonts w:cs="Arial"/>
          <w:lang w:val="pt-BR"/>
        </w:rPr>
      </w:pPr>
    </w:p>
    <w:p w:rsidR="00070E4E" w:rsidRPr="006C1308" w:rsidRDefault="00070E4E" w:rsidP="00070E4E">
      <w:pPr>
        <w:tabs>
          <w:tab w:val="left" w:pos="424"/>
        </w:tabs>
        <w:jc w:val="both"/>
        <w:rPr>
          <w:rFonts w:cs="Arial"/>
          <w:lang w:val="pt-BR"/>
        </w:rPr>
      </w:pPr>
      <w:r w:rsidRPr="006C1308">
        <w:rPr>
          <w:rFonts w:cs="Arial"/>
          <w:b/>
          <w:lang w:val="pt-BR"/>
        </w:rPr>
        <w:t>Trabalhos para casa (TPC), Exercícios e textos para leitura – incluir data a ser entregue:</w:t>
      </w:r>
      <w:r w:rsidRPr="006C1308">
        <w:rPr>
          <w:rFonts w:cs="Arial"/>
          <w:lang w:val="pt-BR"/>
        </w:rPr>
        <w:t xml:space="preserve"> </w:t>
      </w:r>
    </w:p>
    <w:p w:rsidR="00070E4E" w:rsidRPr="006C1308" w:rsidRDefault="00070E4E" w:rsidP="00070E4E">
      <w:pPr>
        <w:tabs>
          <w:tab w:val="left" w:pos="424"/>
        </w:tabs>
        <w:jc w:val="both"/>
        <w:rPr>
          <w:rFonts w:cs="Arial"/>
          <w:lang w:val="pt-BR"/>
        </w:rPr>
      </w:pPr>
    </w:p>
    <w:p w:rsidR="00070E4E" w:rsidRDefault="00070E4E" w:rsidP="00070E4E">
      <w:pPr>
        <w:tabs>
          <w:tab w:val="left" w:pos="424"/>
        </w:tabs>
        <w:jc w:val="both"/>
        <w:rPr>
          <w:rFonts w:cs="Arial"/>
          <w:lang w:val="pt-BR"/>
        </w:rPr>
      </w:pPr>
    </w:p>
    <w:p w:rsidR="00070E4E" w:rsidRPr="006C1308" w:rsidRDefault="00070E4E" w:rsidP="00070E4E">
      <w:pPr>
        <w:tabs>
          <w:tab w:val="left" w:pos="424"/>
        </w:tabs>
        <w:jc w:val="both"/>
        <w:rPr>
          <w:rFonts w:cs="Arial"/>
          <w:lang w:val="pt-BR"/>
        </w:rPr>
      </w:pPr>
    </w:p>
    <w:p w:rsidR="00070E4E" w:rsidRPr="006C1308" w:rsidRDefault="00070E4E" w:rsidP="00070E4E">
      <w:pPr>
        <w:tabs>
          <w:tab w:val="left" w:pos="424"/>
        </w:tabs>
        <w:jc w:val="both"/>
        <w:rPr>
          <w:rFonts w:cs="Arial"/>
          <w:lang w:val="pt-BR"/>
        </w:rPr>
      </w:pPr>
    </w:p>
    <w:p w:rsidR="00070E4E" w:rsidRPr="006C1308" w:rsidRDefault="00070E4E" w:rsidP="00070E4E">
      <w:pPr>
        <w:tabs>
          <w:tab w:val="left" w:pos="424"/>
        </w:tabs>
        <w:jc w:val="both"/>
        <w:rPr>
          <w:rFonts w:cs="Arial"/>
          <w:b/>
          <w:lang w:val="pt-BR"/>
        </w:rPr>
      </w:pPr>
      <w:r w:rsidRPr="006C1308">
        <w:rPr>
          <w:rFonts w:cs="Arial"/>
          <w:b/>
          <w:lang w:val="pt-BR"/>
        </w:rPr>
        <w:t>Bibliografia (referências usadas para o desenvolvimento do conteúdo):</w:t>
      </w:r>
    </w:p>
    <w:p w:rsidR="00070E4E" w:rsidRPr="006C1308" w:rsidRDefault="00070E4E" w:rsidP="00070E4E">
      <w:pPr>
        <w:rPr>
          <w:lang w:val="pt-BR"/>
        </w:rPr>
      </w:pPr>
      <w:r w:rsidRPr="006C1308">
        <w:rPr>
          <w:lang w:val="pt-BR"/>
        </w:rPr>
        <w:t xml:space="preserve">Engelkirk, P.G. Gwendolyn, B. Microbiologia para as Ciências da Saúde. 7ª. Ed. Guanabara Koogan. </w:t>
      </w:r>
    </w:p>
    <w:p w:rsidR="00070E4E" w:rsidRDefault="00070E4E" w:rsidP="00070E4E">
      <w:pPr>
        <w:rPr>
          <w:lang w:val="pt-PT"/>
        </w:rPr>
      </w:pPr>
      <w:r w:rsidRPr="006C1308">
        <w:rPr>
          <w:lang w:val="pt-PT"/>
        </w:rPr>
        <w:t>Jawetz, M. Adelberg. Microbiologia Médica. 22ª. Ed. McGraw Hill, 2004.</w:t>
      </w:r>
    </w:p>
    <w:p w:rsidR="0013594B" w:rsidRDefault="0013594B" w:rsidP="00070E4E">
      <w:pPr>
        <w:rPr>
          <w:lang w:val="pt-PT"/>
        </w:rPr>
      </w:pPr>
    </w:p>
    <w:p w:rsidR="00070E4E" w:rsidRPr="00F47FAF" w:rsidRDefault="00070E4E" w:rsidP="00070E4E">
      <w:pPr>
        <w:shd w:val="clear" w:color="auto" w:fill="B8CCE4"/>
        <w:tabs>
          <w:tab w:val="left" w:pos="1276"/>
          <w:tab w:val="right" w:pos="8550"/>
        </w:tabs>
        <w:spacing w:before="120" w:after="120"/>
        <w:ind w:right="2"/>
        <w:jc w:val="both"/>
        <w:rPr>
          <w:rFonts w:cs="Arial"/>
          <w:b/>
          <w:lang w:val="pt-BR"/>
        </w:rPr>
      </w:pPr>
      <w:r w:rsidRPr="006C1308">
        <w:rPr>
          <w:rFonts w:cs="Arial"/>
          <w:b/>
          <w:lang w:val="pt-PT"/>
        </w:rPr>
        <w:lastRenderedPageBreak/>
        <w:t>BLOCO 1: INTRODUÇÃO À AULA</w:t>
      </w:r>
    </w:p>
    <w:p w:rsidR="00070E4E" w:rsidRDefault="00070E4E" w:rsidP="00C52E09">
      <w:pPr>
        <w:pStyle w:val="ListParagraph"/>
        <w:numPr>
          <w:ilvl w:val="1"/>
          <w:numId w:val="77"/>
        </w:numPr>
        <w:spacing w:before="120" w:after="0"/>
        <w:ind w:right="2"/>
        <w:jc w:val="both"/>
        <w:rPr>
          <w:rFonts w:cs="Arial"/>
          <w:lang w:val="pt-BR"/>
        </w:rPr>
      </w:pPr>
      <w:r w:rsidRPr="00070E4E">
        <w:rPr>
          <w:rFonts w:cs="Arial"/>
          <w:lang w:val="pt-BR"/>
        </w:rPr>
        <w:t>Apresentação do tópico, conteúdos e objectivos de aprendizagem.</w:t>
      </w:r>
    </w:p>
    <w:p w:rsidR="00070E4E" w:rsidRDefault="00070E4E" w:rsidP="00C52E09">
      <w:pPr>
        <w:pStyle w:val="ListParagraph"/>
        <w:numPr>
          <w:ilvl w:val="1"/>
          <w:numId w:val="77"/>
        </w:numPr>
        <w:spacing w:before="120" w:after="0"/>
        <w:ind w:right="2"/>
        <w:jc w:val="both"/>
        <w:rPr>
          <w:rFonts w:cs="Arial"/>
          <w:lang w:val="pt-BR"/>
        </w:rPr>
      </w:pPr>
      <w:r w:rsidRPr="00070E4E">
        <w:rPr>
          <w:rFonts w:cs="Arial"/>
          <w:lang w:val="pt-BR"/>
        </w:rPr>
        <w:t>Apresentação da estrutura da aula.</w:t>
      </w:r>
    </w:p>
    <w:p w:rsidR="00070E4E" w:rsidRDefault="00070E4E" w:rsidP="00C52E09">
      <w:pPr>
        <w:pStyle w:val="ListParagraph"/>
        <w:numPr>
          <w:ilvl w:val="1"/>
          <w:numId w:val="77"/>
        </w:numPr>
        <w:spacing w:before="120" w:after="0"/>
        <w:ind w:right="2"/>
        <w:jc w:val="both"/>
        <w:rPr>
          <w:rFonts w:cs="Arial"/>
          <w:lang w:val="pt-BR"/>
        </w:rPr>
      </w:pPr>
      <w:r>
        <w:rPr>
          <w:rFonts w:cs="Arial"/>
          <w:lang w:val="pt-BR"/>
        </w:rPr>
        <w:t>A</w:t>
      </w:r>
      <w:r w:rsidRPr="00070E4E">
        <w:rPr>
          <w:rFonts w:cs="Arial"/>
          <w:lang w:val="pt-BR"/>
        </w:rPr>
        <w:t>presentação da bibliografia que o aluno deverá manejar para ampliar os conhecimentos.</w:t>
      </w:r>
    </w:p>
    <w:p w:rsidR="00F8000A" w:rsidRPr="00070E4E" w:rsidRDefault="00F8000A" w:rsidP="0013594B">
      <w:pPr>
        <w:pStyle w:val="ListParagraph"/>
        <w:spacing w:after="0" w:line="240" w:lineRule="auto"/>
        <w:ind w:right="2"/>
        <w:jc w:val="both"/>
        <w:rPr>
          <w:rFonts w:cs="Arial"/>
          <w:lang w:val="pt-BR"/>
        </w:rPr>
      </w:pPr>
    </w:p>
    <w:p w:rsidR="00070E4E" w:rsidRPr="006C1308" w:rsidRDefault="00070E4E" w:rsidP="00070E4E">
      <w:pPr>
        <w:shd w:val="clear" w:color="auto" w:fill="B8CCE4"/>
        <w:spacing w:before="120" w:after="120"/>
        <w:ind w:right="-43"/>
        <w:jc w:val="both"/>
        <w:rPr>
          <w:rFonts w:cs="Arial"/>
          <w:lang w:val="pt-BR"/>
        </w:rPr>
      </w:pPr>
      <w:r w:rsidRPr="006C1308">
        <w:rPr>
          <w:rFonts w:eastAsia="Times New Roman" w:cs="Arial"/>
          <w:b/>
          <w:bCs/>
          <w:lang w:val="pt-PT" w:eastAsia="es-ES"/>
        </w:rPr>
        <w:t>BLOCO 2. CLASSIFICAÇÃO DAS BACTÉRIAS</w:t>
      </w:r>
      <w:r w:rsidRPr="006C1308">
        <w:rPr>
          <w:rFonts w:cs="Arial"/>
          <w:lang w:val="pt-BR"/>
        </w:rPr>
        <w:tab/>
      </w:r>
    </w:p>
    <w:p w:rsidR="00070E4E" w:rsidRPr="006C1308" w:rsidRDefault="00070E4E" w:rsidP="00C52E09">
      <w:pPr>
        <w:pStyle w:val="TM-2n"/>
        <w:numPr>
          <w:ilvl w:val="1"/>
          <w:numId w:val="78"/>
        </w:numPr>
        <w:spacing w:before="120" w:after="0" w:line="276" w:lineRule="auto"/>
        <w:ind w:left="540" w:hanging="540"/>
      </w:pPr>
      <w:r w:rsidRPr="006C1308">
        <w:t>As bactérias são organismos unicelulares procariontes geralmente de tamanho microscópico. Elas têm um único cromossoma.. As bactérias podem viver amplamente no ambiente, devido à sua grande capacidade de adaptação. As bactérias que entram em relação com o ser humano são apenas uma minoria do total de bactérias existentes.</w:t>
      </w:r>
    </w:p>
    <w:p w:rsidR="00070E4E" w:rsidRPr="006C1308" w:rsidRDefault="00070E4E" w:rsidP="00C52E09">
      <w:pPr>
        <w:pStyle w:val="TM-2n"/>
        <w:numPr>
          <w:ilvl w:val="1"/>
          <w:numId w:val="78"/>
        </w:numPr>
        <w:spacing w:before="120" w:after="0" w:line="276" w:lineRule="auto"/>
        <w:ind w:left="540" w:hanging="540"/>
      </w:pPr>
      <w:r w:rsidRPr="006C1308">
        <w:t>Estrutura das bactérias</w:t>
      </w:r>
    </w:p>
    <w:p w:rsidR="00070E4E" w:rsidRPr="006C1308" w:rsidRDefault="00070E4E" w:rsidP="00C52E09">
      <w:pPr>
        <w:pStyle w:val="TM-2n"/>
        <w:numPr>
          <w:ilvl w:val="2"/>
          <w:numId w:val="78"/>
        </w:numPr>
        <w:spacing w:before="120" w:after="0" w:line="276" w:lineRule="auto"/>
        <w:ind w:firstLine="0"/>
      </w:pPr>
      <w:r w:rsidRPr="006C1308">
        <w:rPr>
          <w:lang w:val="pt-BR"/>
        </w:rPr>
        <w:t xml:space="preserve">Uma célula bacteriana típica possui parede celular, membrana citoplasmática, citoplasma com ribossomas (polissomos), mesossomas 9invaginações da membrana citoplasmática),  núcleo sem membrana nuclear e organelos (flagelo e </w:t>
      </w:r>
      <w:r w:rsidRPr="006C1308">
        <w:rPr>
          <w:i/>
          <w:lang w:val="pt-BR"/>
        </w:rPr>
        <w:t>pili</w:t>
      </w:r>
      <w:r w:rsidRPr="006C1308">
        <w:rPr>
          <w:lang w:val="pt-BR"/>
        </w:rPr>
        <w:t>). Algumas bactérias além destas estruturas, possuem cápsula.</w:t>
      </w:r>
    </w:p>
    <w:p w:rsidR="00070E4E" w:rsidRPr="006C1308" w:rsidRDefault="00070E4E" w:rsidP="00070E4E">
      <w:pPr>
        <w:pStyle w:val="TM-2n"/>
        <w:numPr>
          <w:ilvl w:val="0"/>
          <w:numId w:val="0"/>
        </w:numPr>
        <w:spacing w:before="120" w:after="0" w:line="276" w:lineRule="auto"/>
        <w:ind w:left="360"/>
        <w:jc w:val="center"/>
        <w:rPr>
          <w:color w:val="FF0000"/>
          <w:lang w:val="pt-BR"/>
        </w:rPr>
      </w:pPr>
      <w:r>
        <w:rPr>
          <w:noProof/>
          <w:color w:val="FF0000"/>
          <w:lang w:val="en-ZW" w:eastAsia="en-ZW"/>
        </w:rPr>
        <w:drawing>
          <wp:inline distT="0" distB="0" distL="0" distR="0" wp14:anchorId="74D89635" wp14:editId="340768B7">
            <wp:extent cx="3352800" cy="2590800"/>
            <wp:effectExtent l="19050" t="0" r="0" b="0"/>
            <wp:docPr id="7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0" cstate="print"/>
                    <a:srcRect/>
                    <a:stretch>
                      <a:fillRect/>
                    </a:stretch>
                  </pic:blipFill>
                  <pic:spPr bwMode="auto">
                    <a:xfrm>
                      <a:off x="0" y="0"/>
                      <a:ext cx="3352800" cy="2590800"/>
                    </a:xfrm>
                    <a:prstGeom prst="rect">
                      <a:avLst/>
                    </a:prstGeom>
                    <a:noFill/>
                    <a:ln w="9525">
                      <a:noFill/>
                      <a:miter lim="800000"/>
                      <a:headEnd/>
                      <a:tailEnd/>
                    </a:ln>
                  </pic:spPr>
                </pic:pic>
              </a:graphicData>
            </a:graphic>
          </wp:inline>
        </w:drawing>
      </w:r>
    </w:p>
    <w:p w:rsidR="00070E4E" w:rsidRPr="006C1308" w:rsidRDefault="00070E4E" w:rsidP="00070E4E">
      <w:pPr>
        <w:pStyle w:val="TM-2n"/>
        <w:numPr>
          <w:ilvl w:val="0"/>
          <w:numId w:val="0"/>
        </w:numPr>
        <w:spacing w:before="120" w:after="0" w:line="276" w:lineRule="auto"/>
        <w:ind w:left="360"/>
        <w:jc w:val="center"/>
      </w:pPr>
      <w:r w:rsidRPr="00506DE0">
        <w:rPr>
          <w:b/>
          <w:lang w:val="pt-BR"/>
        </w:rPr>
        <w:t>Figura 1:</w:t>
      </w:r>
      <w:r w:rsidRPr="006C1308">
        <w:rPr>
          <w:lang w:val="pt-BR"/>
        </w:rPr>
        <w:t xml:space="preserve"> Estrutura de uma bactéria</w:t>
      </w:r>
    </w:p>
    <w:p w:rsidR="00070E4E" w:rsidRPr="006C1308" w:rsidRDefault="00070E4E" w:rsidP="00C52E09">
      <w:pPr>
        <w:pStyle w:val="TM-2n"/>
        <w:numPr>
          <w:ilvl w:val="1"/>
          <w:numId w:val="78"/>
        </w:numPr>
        <w:spacing w:before="120" w:after="0" w:line="276" w:lineRule="auto"/>
        <w:ind w:left="540" w:hanging="540"/>
      </w:pPr>
      <w:r w:rsidRPr="006C1308">
        <w:t>As bactérias dividem-se em arqueobactérias e eubactérias. Dentro das eubactérias se incluem as bactérias mais comuns, incluindo as chamadas bactérias patógenas, que são aquelas que podem provocar doença no ser humano. Entretanto, outras bactérias podem viver em simbiose (interacção a longo prazo entre duas espécies biológicas diferentes) com o organismo humano, como as que vivem no intestino ajudando à digestão e impedindo as infecções por bactérias patogénicas.</w:t>
      </w:r>
    </w:p>
    <w:p w:rsidR="00070E4E" w:rsidRPr="006C1308" w:rsidRDefault="00070E4E" w:rsidP="00C52E09">
      <w:pPr>
        <w:pStyle w:val="TM-2n"/>
        <w:numPr>
          <w:ilvl w:val="1"/>
          <w:numId w:val="78"/>
        </w:numPr>
        <w:spacing w:before="120" w:after="0" w:line="276" w:lineRule="auto"/>
        <w:ind w:left="540" w:hanging="540"/>
      </w:pPr>
      <w:r w:rsidRPr="006C1308">
        <w:t>O uso prático da classificação das bactérias permite identificar as bactérias para:</w:t>
      </w:r>
    </w:p>
    <w:p w:rsidR="00070E4E" w:rsidRPr="006C1308" w:rsidRDefault="00070E4E" w:rsidP="00C52E09">
      <w:pPr>
        <w:pStyle w:val="TM-3n"/>
        <w:numPr>
          <w:ilvl w:val="2"/>
          <w:numId w:val="78"/>
        </w:numPr>
        <w:tabs>
          <w:tab w:val="clear" w:pos="1276"/>
          <w:tab w:val="left" w:pos="1350"/>
        </w:tabs>
        <w:spacing w:before="120" w:after="0" w:line="276" w:lineRule="auto"/>
        <w:ind w:left="1350"/>
      </w:pPr>
      <w:r w:rsidRPr="006C1308">
        <w:t>Distinguir as bactérias não desejáveis.</w:t>
      </w:r>
    </w:p>
    <w:p w:rsidR="00070E4E" w:rsidRPr="006C1308" w:rsidRDefault="00070E4E" w:rsidP="00C52E09">
      <w:pPr>
        <w:pStyle w:val="TM-3n"/>
        <w:numPr>
          <w:ilvl w:val="2"/>
          <w:numId w:val="78"/>
        </w:numPr>
        <w:tabs>
          <w:tab w:val="clear" w:pos="1276"/>
          <w:tab w:val="left" w:pos="1350"/>
        </w:tabs>
        <w:spacing w:before="120" w:after="0" w:line="276" w:lineRule="auto"/>
        <w:ind w:left="1350"/>
      </w:pPr>
      <w:r w:rsidRPr="006C1308">
        <w:t>Isolar e identificar o agente etiológico de uma determinada doença.</w:t>
      </w:r>
    </w:p>
    <w:p w:rsidR="00070E4E" w:rsidRPr="006C1308" w:rsidRDefault="00070E4E" w:rsidP="00C52E09">
      <w:pPr>
        <w:pStyle w:val="TM-3n"/>
        <w:numPr>
          <w:ilvl w:val="2"/>
          <w:numId w:val="78"/>
        </w:numPr>
        <w:tabs>
          <w:tab w:val="clear" w:pos="1276"/>
          <w:tab w:val="left" w:pos="1350"/>
        </w:tabs>
        <w:spacing w:before="120" w:after="0" w:line="276" w:lineRule="auto"/>
        <w:ind w:left="1350"/>
      </w:pPr>
      <w:r w:rsidRPr="006C1308">
        <w:t>Seleccionar um tratamento farmacológico (medicamento) orientado para sua destruição no organismo.</w:t>
      </w:r>
    </w:p>
    <w:p w:rsidR="00070E4E" w:rsidRPr="006C1308" w:rsidRDefault="00070E4E" w:rsidP="00C52E09">
      <w:pPr>
        <w:pStyle w:val="TM-2n"/>
        <w:numPr>
          <w:ilvl w:val="1"/>
          <w:numId w:val="78"/>
        </w:numPr>
        <w:spacing w:before="120" w:after="0" w:line="276" w:lineRule="auto"/>
        <w:ind w:left="540" w:hanging="540"/>
      </w:pPr>
      <w:r w:rsidRPr="006C1308">
        <w:t>Os esquemas de classificação das bactérias utilizam critérios muito variados, tais como: propriedades bioquímicas, fisiológicas, genéticas e morfológicas que as permitem diferenciar.</w:t>
      </w:r>
    </w:p>
    <w:p w:rsidR="00070E4E" w:rsidRPr="006C1308" w:rsidRDefault="00070E4E" w:rsidP="00C52E09">
      <w:pPr>
        <w:pStyle w:val="TM-3n"/>
        <w:numPr>
          <w:ilvl w:val="2"/>
          <w:numId w:val="78"/>
        </w:numPr>
        <w:tabs>
          <w:tab w:val="clear" w:pos="1276"/>
          <w:tab w:val="left" w:pos="1350"/>
          <w:tab w:val="num" w:pos="1559"/>
        </w:tabs>
        <w:spacing w:before="120" w:after="0" w:line="276" w:lineRule="auto"/>
        <w:ind w:left="1350"/>
      </w:pPr>
      <w:r w:rsidRPr="006C1308">
        <w:rPr>
          <w:b/>
        </w:rPr>
        <w:t>Critérios bioquímicos</w:t>
      </w:r>
      <w:r w:rsidRPr="006C1308">
        <w:t>, por exemplo: a produção de pigmentos característicos por algumas bactérias, ou a actividade enzimática específica;</w:t>
      </w:r>
    </w:p>
    <w:p w:rsidR="00070E4E" w:rsidRPr="006C1308" w:rsidRDefault="00070E4E" w:rsidP="00C52E09">
      <w:pPr>
        <w:pStyle w:val="TM-3n"/>
        <w:numPr>
          <w:ilvl w:val="2"/>
          <w:numId w:val="78"/>
        </w:numPr>
        <w:tabs>
          <w:tab w:val="clear" w:pos="1276"/>
          <w:tab w:val="left" w:pos="1350"/>
          <w:tab w:val="num" w:pos="1559"/>
        </w:tabs>
        <w:spacing w:before="120" w:after="0" w:line="276" w:lineRule="auto"/>
        <w:ind w:left="1350"/>
      </w:pPr>
      <w:r w:rsidRPr="006C1308">
        <w:rPr>
          <w:b/>
        </w:rPr>
        <w:lastRenderedPageBreak/>
        <w:t>Critérios fisiológicos</w:t>
      </w:r>
      <w:r w:rsidRPr="006C1308">
        <w:t>, por exemplo, a sensibilidade a antibióticos dos diferentes microrganismos</w:t>
      </w:r>
    </w:p>
    <w:p w:rsidR="00070E4E" w:rsidRPr="006C1308" w:rsidRDefault="00070E4E" w:rsidP="00C52E09">
      <w:pPr>
        <w:pStyle w:val="TM-3n"/>
        <w:numPr>
          <w:ilvl w:val="2"/>
          <w:numId w:val="78"/>
        </w:numPr>
        <w:tabs>
          <w:tab w:val="clear" w:pos="1276"/>
          <w:tab w:val="left" w:pos="1350"/>
          <w:tab w:val="num" w:pos="1559"/>
        </w:tabs>
        <w:spacing w:before="120" w:after="0" w:line="276" w:lineRule="auto"/>
        <w:ind w:left="1350"/>
      </w:pPr>
      <w:r w:rsidRPr="006C1308">
        <w:rPr>
          <w:b/>
        </w:rPr>
        <w:t>Os critérios genéticos</w:t>
      </w:r>
      <w:r w:rsidRPr="006C1308">
        <w:t xml:space="preserve"> consistem na sequência genómica de cada bactéria, e tem adquirido muita importância com o desenvolvimento das técnicas de biologia molecular</w:t>
      </w:r>
    </w:p>
    <w:p w:rsidR="00070E4E" w:rsidRPr="006C1308" w:rsidRDefault="00070E4E" w:rsidP="00C52E09">
      <w:pPr>
        <w:pStyle w:val="TM-3n"/>
        <w:numPr>
          <w:ilvl w:val="2"/>
          <w:numId w:val="78"/>
        </w:numPr>
        <w:tabs>
          <w:tab w:val="clear" w:pos="1276"/>
          <w:tab w:val="left" w:pos="1350"/>
          <w:tab w:val="num" w:pos="1559"/>
        </w:tabs>
        <w:spacing w:before="120" w:after="0" w:line="276" w:lineRule="auto"/>
        <w:ind w:left="1350"/>
      </w:pPr>
      <w:r w:rsidRPr="006C1308">
        <w:rPr>
          <w:b/>
        </w:rPr>
        <w:t>Critérios morfológicos</w:t>
      </w:r>
      <w:r w:rsidRPr="006C1308">
        <w:t xml:space="preserve"> são a forma e a presença ou ausência de estruturas especializadas, como esporos e flagelos</w:t>
      </w:r>
    </w:p>
    <w:p w:rsidR="00070E4E" w:rsidRPr="006C1308" w:rsidRDefault="00070E4E" w:rsidP="00C52E09">
      <w:pPr>
        <w:pStyle w:val="TM-2n"/>
        <w:numPr>
          <w:ilvl w:val="1"/>
          <w:numId w:val="78"/>
        </w:numPr>
        <w:spacing w:before="120" w:after="0" w:line="276" w:lineRule="auto"/>
        <w:ind w:left="540" w:hanging="540"/>
      </w:pPr>
      <w:r w:rsidRPr="006C1308">
        <w:t>Em quanto a sua morfologia celular, podem-se considerar três formas básicas das bactérias:</w:t>
      </w:r>
    </w:p>
    <w:p w:rsidR="00070E4E" w:rsidRPr="006C1308" w:rsidRDefault="00070E4E" w:rsidP="00070E4E">
      <w:pPr>
        <w:jc w:val="center"/>
        <w:rPr>
          <w:rFonts w:cs="Arial"/>
        </w:rPr>
      </w:pPr>
      <w:r>
        <w:rPr>
          <w:rFonts w:cs="Arial"/>
          <w:noProof/>
          <w:lang w:val="en-ZW" w:eastAsia="en-ZW"/>
        </w:rPr>
        <w:drawing>
          <wp:inline distT="0" distB="0" distL="0" distR="0" wp14:anchorId="1B48F8E4" wp14:editId="59811672">
            <wp:extent cx="4889500" cy="2209800"/>
            <wp:effectExtent l="19050" t="0" r="6350" b="0"/>
            <wp:docPr id="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cstate="print"/>
                    <a:srcRect/>
                    <a:stretch>
                      <a:fillRect/>
                    </a:stretch>
                  </pic:blipFill>
                  <pic:spPr bwMode="auto">
                    <a:xfrm>
                      <a:off x="0" y="0"/>
                      <a:ext cx="4889500" cy="2209800"/>
                    </a:xfrm>
                    <a:prstGeom prst="rect">
                      <a:avLst/>
                    </a:prstGeom>
                    <a:noFill/>
                    <a:ln w="9525">
                      <a:noFill/>
                      <a:miter lim="800000"/>
                      <a:headEnd/>
                      <a:tailEnd/>
                    </a:ln>
                  </pic:spPr>
                </pic:pic>
              </a:graphicData>
            </a:graphic>
          </wp:inline>
        </w:drawing>
      </w:r>
    </w:p>
    <w:p w:rsidR="00070E4E" w:rsidRPr="006C1308" w:rsidRDefault="00070E4E" w:rsidP="00070E4E">
      <w:pPr>
        <w:jc w:val="center"/>
        <w:rPr>
          <w:rFonts w:cs="Arial"/>
        </w:rPr>
      </w:pPr>
      <w:r w:rsidRPr="006C1308">
        <w:rPr>
          <w:rFonts w:cs="Arial"/>
          <w:b/>
        </w:rPr>
        <w:t>Figura 2</w:t>
      </w:r>
      <w:r w:rsidR="00506DE0">
        <w:rPr>
          <w:rFonts w:cs="Arial"/>
          <w:b/>
        </w:rPr>
        <w:t>:</w:t>
      </w:r>
      <w:r w:rsidRPr="006C1308">
        <w:rPr>
          <w:rFonts w:cs="Arial"/>
        </w:rPr>
        <w:t xml:space="preserve"> Morfologias bacterianas.</w:t>
      </w:r>
    </w:p>
    <w:p w:rsidR="00070E4E" w:rsidRPr="006C1308" w:rsidRDefault="00070E4E" w:rsidP="00C52E09">
      <w:pPr>
        <w:pStyle w:val="TM-3n"/>
        <w:numPr>
          <w:ilvl w:val="2"/>
          <w:numId w:val="78"/>
        </w:numPr>
        <w:tabs>
          <w:tab w:val="clear" w:pos="1276"/>
          <w:tab w:val="left" w:pos="1350"/>
        </w:tabs>
        <w:spacing w:before="120" w:after="0" w:line="276" w:lineRule="auto"/>
        <w:ind w:left="1350"/>
      </w:pPr>
      <w:r w:rsidRPr="006C1308">
        <w:rPr>
          <w:b/>
        </w:rPr>
        <w:t>Cocos</w:t>
      </w:r>
      <w:r w:rsidRPr="006C1308">
        <w:t xml:space="preserve">, são bactérias arredondadas ou esféricas. Os cocos podem ser vistos em </w:t>
      </w:r>
      <w:r w:rsidRPr="006C1308">
        <w:rPr>
          <w:u w:val="single"/>
        </w:rPr>
        <w:t>grupos de dois (diplococos)</w:t>
      </w:r>
      <w:r w:rsidRPr="006C1308">
        <w:t xml:space="preserve">, como a Neisseria gonorreae, responsável pela gonorreia, </w:t>
      </w:r>
      <w:r w:rsidRPr="006C1308">
        <w:rPr>
          <w:u w:val="single"/>
        </w:rPr>
        <w:t>cadeias (estreptococos)</w:t>
      </w:r>
      <w:r w:rsidRPr="006C1308">
        <w:t xml:space="preserve">, por exemplo o Streptococcus pyogenes, responsável por muitas faringites, ou </w:t>
      </w:r>
      <w:r w:rsidRPr="006C1308">
        <w:rPr>
          <w:u w:val="single"/>
        </w:rPr>
        <w:t>em cacho de uva (estafilococos)</w:t>
      </w:r>
      <w:r w:rsidRPr="006C1308">
        <w:t>, como o Staphylococcus aureus, responsável por pneumonias e outras infecções.</w:t>
      </w:r>
    </w:p>
    <w:p w:rsidR="00070E4E" w:rsidRPr="006C1308" w:rsidRDefault="00070E4E" w:rsidP="00C52E09">
      <w:pPr>
        <w:pStyle w:val="TM-3n"/>
        <w:numPr>
          <w:ilvl w:val="2"/>
          <w:numId w:val="78"/>
        </w:numPr>
        <w:tabs>
          <w:tab w:val="clear" w:pos="1276"/>
          <w:tab w:val="left" w:pos="1350"/>
        </w:tabs>
        <w:spacing w:before="120" w:after="0" w:line="276" w:lineRule="auto"/>
        <w:ind w:left="1350"/>
      </w:pPr>
      <w:r w:rsidRPr="006C1308">
        <w:rPr>
          <w:b/>
        </w:rPr>
        <w:t>Bacilos</w:t>
      </w:r>
      <w:r w:rsidRPr="006C1308">
        <w:t>, são bactérias de forma rectangular ou de bastão. Podem ser vistos como pares (diplobacilos), e em cadeias (estreptobacilos).</w:t>
      </w:r>
    </w:p>
    <w:p w:rsidR="00070E4E" w:rsidRPr="006C1308" w:rsidRDefault="00070E4E" w:rsidP="00C52E09">
      <w:pPr>
        <w:pStyle w:val="TM-3n"/>
        <w:numPr>
          <w:ilvl w:val="2"/>
          <w:numId w:val="78"/>
        </w:numPr>
        <w:tabs>
          <w:tab w:val="clear" w:pos="1276"/>
          <w:tab w:val="left" w:pos="1350"/>
        </w:tabs>
        <w:spacing w:before="120" w:after="0" w:line="276" w:lineRule="auto"/>
        <w:ind w:left="1350"/>
      </w:pPr>
      <w:r w:rsidRPr="006C1308">
        <w:rPr>
          <w:b/>
        </w:rPr>
        <w:t>Espirilos</w:t>
      </w:r>
      <w:r w:rsidRPr="006C1308">
        <w:t>, com forma curvada ou espiral. Normalmente aparecem isolados.</w:t>
      </w:r>
    </w:p>
    <w:p w:rsidR="00070E4E" w:rsidRPr="006C1308" w:rsidRDefault="00070E4E" w:rsidP="00C52E09">
      <w:pPr>
        <w:pStyle w:val="TM-2n"/>
        <w:numPr>
          <w:ilvl w:val="1"/>
          <w:numId w:val="78"/>
        </w:numPr>
        <w:spacing w:before="120" w:after="0" w:line="276" w:lineRule="auto"/>
        <w:ind w:left="540" w:hanging="540"/>
      </w:pPr>
      <w:r w:rsidRPr="006C1308">
        <w:t>Enquanto às suas necessidades de oxigénio, as bactérias podem ser classificadas nos seguintes grupos:</w:t>
      </w:r>
    </w:p>
    <w:p w:rsidR="00070E4E" w:rsidRPr="006C1308" w:rsidRDefault="00070E4E" w:rsidP="00C52E09">
      <w:pPr>
        <w:pStyle w:val="TM-3n"/>
        <w:numPr>
          <w:ilvl w:val="2"/>
          <w:numId w:val="78"/>
        </w:numPr>
        <w:tabs>
          <w:tab w:val="clear" w:pos="1276"/>
          <w:tab w:val="left" w:pos="1350"/>
        </w:tabs>
        <w:spacing w:before="120" w:after="0" w:line="276" w:lineRule="auto"/>
        <w:ind w:left="1350"/>
      </w:pPr>
      <w:r w:rsidRPr="006C1308">
        <w:rPr>
          <w:b/>
        </w:rPr>
        <w:t>Bactérias aeróbias</w:t>
      </w:r>
      <w:r w:rsidRPr="006C1308">
        <w:t>, que precisam de oxigénio em concentrações similares as encontradas na atmosfera para sua sobrevivência.</w:t>
      </w:r>
    </w:p>
    <w:p w:rsidR="00070E4E" w:rsidRPr="006C1308" w:rsidRDefault="00070E4E" w:rsidP="00C52E09">
      <w:pPr>
        <w:pStyle w:val="TM-3n"/>
        <w:numPr>
          <w:ilvl w:val="2"/>
          <w:numId w:val="78"/>
        </w:numPr>
        <w:tabs>
          <w:tab w:val="clear" w:pos="1276"/>
          <w:tab w:val="left" w:pos="1350"/>
        </w:tabs>
        <w:spacing w:before="120" w:after="0" w:line="276" w:lineRule="auto"/>
        <w:ind w:left="1350"/>
      </w:pPr>
      <w:r w:rsidRPr="006C1308">
        <w:rPr>
          <w:b/>
        </w:rPr>
        <w:t>Bactérias anaeróbias</w:t>
      </w:r>
      <w:r w:rsidRPr="006C1308">
        <w:t>, que crescem apenas em ambientes sem oxigénio.</w:t>
      </w:r>
    </w:p>
    <w:p w:rsidR="00070E4E" w:rsidRPr="006C1308" w:rsidRDefault="00070E4E" w:rsidP="00C52E09">
      <w:pPr>
        <w:pStyle w:val="TM-3n"/>
        <w:numPr>
          <w:ilvl w:val="2"/>
          <w:numId w:val="78"/>
        </w:numPr>
        <w:tabs>
          <w:tab w:val="clear" w:pos="1276"/>
          <w:tab w:val="left" w:pos="1350"/>
        </w:tabs>
        <w:spacing w:before="120" w:after="0" w:line="276" w:lineRule="auto"/>
        <w:ind w:left="1350"/>
      </w:pPr>
      <w:r w:rsidRPr="006C1308">
        <w:t xml:space="preserve">Entretanto, existem bactérias que podem sobreviver na presença ou na ausência de oxigénio, que são chamadas </w:t>
      </w:r>
      <w:r w:rsidRPr="006C1308">
        <w:rPr>
          <w:b/>
        </w:rPr>
        <w:t>anaeróbios facultativos</w:t>
      </w:r>
      <w:r w:rsidRPr="006C1308">
        <w:t>.</w:t>
      </w:r>
    </w:p>
    <w:p w:rsidR="00070E4E" w:rsidRPr="006C1308" w:rsidRDefault="00070E4E" w:rsidP="00C52E09">
      <w:pPr>
        <w:pStyle w:val="TM-3n"/>
        <w:numPr>
          <w:ilvl w:val="2"/>
          <w:numId w:val="78"/>
        </w:numPr>
        <w:tabs>
          <w:tab w:val="clear" w:pos="1276"/>
          <w:tab w:val="left" w:pos="1350"/>
        </w:tabs>
        <w:spacing w:before="120" w:after="0" w:line="276" w:lineRule="auto"/>
        <w:ind w:left="1350"/>
      </w:pPr>
      <w:r w:rsidRPr="006C1308">
        <w:t>Normalmente, a maior parte das bactérias isoladas de amostras clínicas são anaeróbios facultativos. Como exemplo, muitas enterobactérias (bactérias que colonizam os intestinos), estreptococos e estafilococos pertencem a esta categoria.</w:t>
      </w:r>
    </w:p>
    <w:p w:rsidR="00070E4E" w:rsidRPr="006C1308" w:rsidRDefault="00070E4E" w:rsidP="00C52E09">
      <w:pPr>
        <w:pStyle w:val="TM-2n"/>
        <w:numPr>
          <w:ilvl w:val="1"/>
          <w:numId w:val="78"/>
        </w:numPr>
        <w:spacing w:before="120" w:after="0" w:line="276" w:lineRule="auto"/>
        <w:ind w:left="540" w:hanging="540"/>
      </w:pPr>
      <w:r w:rsidRPr="006C1308">
        <w:t>As bactérias podem ser também classificadas segundo a sua capacidade de absorverem o corante nos preparados químicos e laboratoriais. As colorações mais utilizadas são:</w:t>
      </w:r>
    </w:p>
    <w:p w:rsidR="00070E4E" w:rsidRPr="006C1308" w:rsidRDefault="00070E4E" w:rsidP="00C52E09">
      <w:pPr>
        <w:pStyle w:val="TM-3n"/>
        <w:numPr>
          <w:ilvl w:val="2"/>
          <w:numId w:val="78"/>
        </w:numPr>
        <w:tabs>
          <w:tab w:val="clear" w:pos="1276"/>
          <w:tab w:val="left" w:pos="1350"/>
        </w:tabs>
        <w:spacing w:before="120" w:after="0" w:line="276" w:lineRule="auto"/>
        <w:ind w:left="1350"/>
      </w:pPr>
      <w:r w:rsidRPr="006C1308">
        <w:rPr>
          <w:b/>
        </w:rPr>
        <w:t>Coloração de Gram</w:t>
      </w:r>
      <w:r w:rsidRPr="006C1308">
        <w:t xml:space="preserve">. Diferencia as bactérias pela composição em peptideoglicanos (glicoproteina) da sua parede celular. Esta diferenciação é muito importante, já que está correlacionada com muitas outras características morfológicas das bactérias. </w:t>
      </w:r>
      <w:r w:rsidRPr="006C1308">
        <w:rPr>
          <w:b/>
        </w:rPr>
        <w:t xml:space="preserve">De esta maneira, as bactérias podem ser Gram-positivas (espessa camada de </w:t>
      </w:r>
      <w:r w:rsidRPr="006C1308">
        <w:rPr>
          <w:b/>
        </w:rPr>
        <w:lastRenderedPageBreak/>
        <w:t>peptideoglicano na parede celular) ou Gram-negativas (camada muita mais fina de peptideoglicano)</w:t>
      </w:r>
      <w:r w:rsidRPr="006C1308">
        <w:t>. Na prática, a classificação mais utilizada das bactérias toma em conta a sua capacidade para se corar pela técnica de Gram.</w:t>
      </w:r>
    </w:p>
    <w:p w:rsidR="00070E4E" w:rsidRPr="006C1308" w:rsidRDefault="00070E4E" w:rsidP="00070E4E">
      <w:pPr>
        <w:jc w:val="center"/>
        <w:rPr>
          <w:rFonts w:cs="Arial"/>
        </w:rPr>
      </w:pPr>
      <w:r>
        <w:rPr>
          <w:rFonts w:cs="Arial"/>
          <w:noProof/>
          <w:lang w:val="en-ZW" w:eastAsia="en-ZW"/>
        </w:rPr>
        <w:drawing>
          <wp:inline distT="0" distB="0" distL="0" distR="0" wp14:anchorId="48470887" wp14:editId="681EF935">
            <wp:extent cx="4756416" cy="1993900"/>
            <wp:effectExtent l="6084" t="0" r="0" b="0"/>
            <wp:docPr id="77" name="Object 10"/>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762500" cy="1991499"/>
                      <a:chOff x="2209800" y="3380601"/>
                      <a:chExt cx="4762500" cy="1991499"/>
                    </a:xfrm>
                  </a:grpSpPr>
                  <a:grpSp>
                    <a:nvGrpSpPr>
                      <a:cNvPr id="11" name="Group 10"/>
                      <a:cNvGrpSpPr/>
                    </a:nvGrpSpPr>
                    <a:grpSpPr>
                      <a:xfrm>
                        <a:off x="2209800" y="3380601"/>
                        <a:ext cx="4762500" cy="1991499"/>
                        <a:chOff x="2209800" y="3380601"/>
                        <a:chExt cx="4762500" cy="1991499"/>
                      </a:xfrm>
                    </a:grpSpPr>
                    <a:pic>
                      <a:nvPicPr>
                        <a:cNvPr id="8" name="Picture 7"/>
                        <a:cNvPicPr/>
                      </a:nvPicPr>
                      <a:blipFill>
                        <a:blip r:embed="rId62"/>
                        <a:srcRect t="18182"/>
                        <a:stretch>
                          <a:fillRect/>
                        </a:stretch>
                      </a:blipFill>
                      <a:spPr bwMode="auto">
                        <a:xfrm>
                          <a:off x="2209800" y="3657600"/>
                          <a:ext cx="4762500" cy="1714500"/>
                        </a:xfrm>
                        <a:prstGeom prst="rect">
                          <a:avLst/>
                        </a:prstGeom>
                        <a:noFill/>
                        <a:ln w="9525">
                          <a:noFill/>
                          <a:miter lim="800000"/>
                          <a:headEnd/>
                          <a:tailEnd/>
                        </a:ln>
                      </a:spPr>
                    </a:pic>
                    <a:sp>
                      <a:nvSpPr>
                        <a:cNvPr id="9" name="TextBox 8"/>
                        <a:cNvSpPr txBox="1"/>
                      </a:nvSpPr>
                      <a:spPr>
                        <a:xfrm>
                          <a:off x="2819400" y="3380601"/>
                          <a:ext cx="1144031"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b="1" dirty="0" smtClean="0"/>
                              <a:t>Gram-</a:t>
                            </a:r>
                            <a:r>
                              <a:rPr lang="en-US" sz="1200" b="1" dirty="0" err="1" smtClean="0"/>
                              <a:t>positivas</a:t>
                            </a:r>
                            <a:endParaRPr lang="en-US" sz="1200" b="1" dirty="0"/>
                          </a:p>
                        </a:txBody>
                        <a:useSpRect/>
                      </a:txSp>
                    </a:sp>
                    <a:sp>
                      <a:nvSpPr>
                        <a:cNvPr id="10" name="TextBox 9"/>
                        <a:cNvSpPr txBox="1"/>
                      </a:nvSpPr>
                      <a:spPr>
                        <a:xfrm>
                          <a:off x="5181600" y="3429000"/>
                          <a:ext cx="1183273"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b="1" dirty="0" smtClean="0"/>
                              <a:t>Gram-</a:t>
                            </a:r>
                            <a:r>
                              <a:rPr lang="en-US" sz="1200" b="1" dirty="0" err="1" smtClean="0"/>
                              <a:t>negativas</a:t>
                            </a:r>
                            <a:endParaRPr lang="en-US" sz="1200" b="1" dirty="0"/>
                          </a:p>
                        </a:txBody>
                        <a:useSpRect/>
                      </a:txSp>
                    </a:sp>
                  </a:grpSp>
                </lc:lockedCanvas>
              </a:graphicData>
            </a:graphic>
          </wp:inline>
        </w:drawing>
      </w:r>
    </w:p>
    <w:p w:rsidR="00070E4E" w:rsidRPr="006C1308" w:rsidRDefault="00070E4E" w:rsidP="00070E4E">
      <w:pPr>
        <w:jc w:val="center"/>
        <w:rPr>
          <w:rFonts w:cs="Arial"/>
          <w:lang w:val="pt-PT"/>
        </w:rPr>
      </w:pPr>
      <w:r w:rsidRPr="006C1308">
        <w:rPr>
          <w:rFonts w:cs="Arial"/>
          <w:b/>
          <w:lang w:val="pt-PT"/>
        </w:rPr>
        <w:t>Figura 3</w:t>
      </w:r>
      <w:r w:rsidR="00506DE0">
        <w:rPr>
          <w:rFonts w:cs="Arial"/>
          <w:b/>
          <w:lang w:val="pt-PT"/>
        </w:rPr>
        <w:t>:</w:t>
      </w:r>
      <w:r w:rsidRPr="006C1308">
        <w:rPr>
          <w:rFonts w:cs="Arial"/>
          <w:lang w:val="pt-PT"/>
        </w:rPr>
        <w:t xml:space="preserve"> Bactérias Gram-positivas e Gram-negativas.</w:t>
      </w:r>
    </w:p>
    <w:p w:rsidR="00070E4E" w:rsidRPr="006C1308" w:rsidRDefault="00070E4E" w:rsidP="00C52E09">
      <w:pPr>
        <w:pStyle w:val="TM-3n"/>
        <w:numPr>
          <w:ilvl w:val="2"/>
          <w:numId w:val="78"/>
        </w:numPr>
        <w:tabs>
          <w:tab w:val="clear" w:pos="1276"/>
          <w:tab w:val="left" w:pos="1350"/>
        </w:tabs>
        <w:spacing w:before="120" w:after="0" w:line="276" w:lineRule="auto"/>
        <w:ind w:left="1350"/>
      </w:pPr>
      <w:r w:rsidRPr="006C1308">
        <w:t>Coloração em álcool-ácido-resistente. Este é um método de coloração utilizado para identificar micobactérias, entre elas a micobactéria que causa a tuberculose.</w:t>
      </w:r>
    </w:p>
    <w:p w:rsidR="00070E4E" w:rsidRPr="006C1308" w:rsidRDefault="00070E4E" w:rsidP="00506DE0">
      <w:pPr>
        <w:pStyle w:val="TM-0"/>
      </w:pPr>
    </w:p>
    <w:p w:rsidR="00070E4E" w:rsidRPr="006C1308" w:rsidRDefault="00070E4E" w:rsidP="00070E4E">
      <w:pPr>
        <w:shd w:val="clear" w:color="auto" w:fill="B8CCE4"/>
        <w:spacing w:before="120" w:after="120"/>
        <w:ind w:right="-43"/>
        <w:jc w:val="both"/>
        <w:rPr>
          <w:rFonts w:eastAsia="Times New Roman" w:cs="Arial"/>
          <w:b/>
          <w:bCs/>
          <w:lang w:val="pt-PT" w:eastAsia="es-ES"/>
        </w:rPr>
      </w:pPr>
      <w:r w:rsidRPr="006C1308">
        <w:rPr>
          <w:rFonts w:eastAsia="Times New Roman" w:cs="Arial"/>
          <w:b/>
          <w:bCs/>
          <w:lang w:val="pt-PT" w:eastAsia="es-ES"/>
        </w:rPr>
        <w:t>BLOCO 3. PRINCIPAIS CATEGORIAS E GRUPOS DE BACTÉRIAS</w:t>
      </w:r>
    </w:p>
    <w:p w:rsidR="00070E4E" w:rsidRPr="006C1308" w:rsidRDefault="00070E4E" w:rsidP="00C52E09">
      <w:pPr>
        <w:pStyle w:val="TM-2n"/>
        <w:numPr>
          <w:ilvl w:val="1"/>
          <w:numId w:val="73"/>
        </w:numPr>
        <w:spacing w:before="120" w:after="0" w:line="276" w:lineRule="auto"/>
        <w:ind w:left="540" w:hanging="540"/>
      </w:pPr>
      <w:r w:rsidRPr="006C1308">
        <w:t>Com fins práticos, e atendendo as características da parede celular, as bactérias podem se dividir em quatro categorias principais:</w:t>
      </w:r>
    </w:p>
    <w:p w:rsidR="00070E4E" w:rsidRPr="006C1308" w:rsidRDefault="00070E4E" w:rsidP="00C52E09">
      <w:pPr>
        <w:pStyle w:val="TM-3n"/>
        <w:numPr>
          <w:ilvl w:val="2"/>
          <w:numId w:val="73"/>
        </w:numPr>
        <w:tabs>
          <w:tab w:val="clear" w:pos="1276"/>
          <w:tab w:val="left" w:pos="1350"/>
        </w:tabs>
        <w:spacing w:before="120" w:after="0" w:line="276" w:lineRule="auto"/>
        <w:ind w:left="1350" w:hanging="810"/>
      </w:pPr>
      <w:r w:rsidRPr="006C1308">
        <w:rPr>
          <w:b/>
        </w:rPr>
        <w:t>Eubactérias Gram-negativas</w:t>
      </w:r>
      <w:r w:rsidRPr="006C1308">
        <w:t>, com parede celular. São um grupo muito heterogéneo de bactérias. Tem formas diversas, assim como diferentes requerimentos de oxigénio. Entre elas estão as bactérias patógenas seguintes:</w:t>
      </w:r>
    </w:p>
    <w:p w:rsidR="00070E4E" w:rsidRPr="006C1308" w:rsidRDefault="00070E4E" w:rsidP="00C52E09">
      <w:pPr>
        <w:pStyle w:val="TM-4n"/>
        <w:numPr>
          <w:ilvl w:val="0"/>
          <w:numId w:val="74"/>
        </w:numPr>
        <w:tabs>
          <w:tab w:val="clear" w:pos="720"/>
          <w:tab w:val="clear" w:pos="1134"/>
        </w:tabs>
        <w:spacing w:before="120" w:after="0" w:line="276" w:lineRule="auto"/>
        <w:ind w:left="1800"/>
      </w:pPr>
      <w:r w:rsidRPr="006C1308">
        <w:rPr>
          <w:b/>
        </w:rPr>
        <w:t>Espiroquetas</w:t>
      </w:r>
      <w:r w:rsidRPr="006C1308">
        <w:t>, como Treponema e Borrelia</w:t>
      </w:r>
    </w:p>
    <w:p w:rsidR="00070E4E" w:rsidRPr="006C1308" w:rsidRDefault="00070E4E" w:rsidP="00C52E09">
      <w:pPr>
        <w:pStyle w:val="TM-4n"/>
        <w:numPr>
          <w:ilvl w:val="0"/>
          <w:numId w:val="74"/>
        </w:numPr>
        <w:tabs>
          <w:tab w:val="clear" w:pos="720"/>
          <w:tab w:val="clear" w:pos="1134"/>
        </w:tabs>
        <w:spacing w:before="120" w:after="0" w:line="276" w:lineRule="auto"/>
        <w:ind w:left="1800"/>
      </w:pPr>
      <w:r w:rsidRPr="006C1308">
        <w:rPr>
          <w:b/>
        </w:rPr>
        <w:t>Proteobactérias</w:t>
      </w:r>
      <w:r w:rsidRPr="006C1308">
        <w:t>, como Neisseria, Pseudomonas, Salmonella, Shigella, Yersinia, Vibrio, Haemophilus, Rickettsia, e Clamidia.</w:t>
      </w:r>
    </w:p>
    <w:p w:rsidR="00070E4E" w:rsidRPr="006C1308" w:rsidRDefault="00070E4E" w:rsidP="00C52E09">
      <w:pPr>
        <w:pStyle w:val="TM-3n"/>
        <w:numPr>
          <w:ilvl w:val="2"/>
          <w:numId w:val="73"/>
        </w:numPr>
        <w:tabs>
          <w:tab w:val="clear" w:pos="1276"/>
          <w:tab w:val="left" w:pos="1350"/>
        </w:tabs>
        <w:spacing w:before="120" w:after="0" w:line="276" w:lineRule="auto"/>
        <w:ind w:left="1350" w:hanging="810"/>
      </w:pPr>
      <w:r w:rsidRPr="006C1308">
        <w:rPr>
          <w:b/>
        </w:rPr>
        <w:t xml:space="preserve">Eubactérias Gram-positivas, </w:t>
      </w:r>
      <w:r w:rsidRPr="006C1308">
        <w:t>com parede celular. Neste grupo se encontram os patógenos seguintes.</w:t>
      </w:r>
    </w:p>
    <w:p w:rsidR="00070E4E" w:rsidRPr="006C1308" w:rsidRDefault="00070E4E" w:rsidP="00070E4E">
      <w:pPr>
        <w:pStyle w:val="TM-4n"/>
        <w:tabs>
          <w:tab w:val="clear" w:pos="458"/>
          <w:tab w:val="clear" w:pos="1134"/>
          <w:tab w:val="left" w:pos="1559"/>
        </w:tabs>
        <w:spacing w:before="120" w:after="0" w:line="276" w:lineRule="auto"/>
        <w:ind w:left="1276" w:firstLine="0"/>
      </w:pPr>
      <w:r w:rsidRPr="006C1308">
        <w:t>Enterococos</w:t>
      </w:r>
    </w:p>
    <w:p w:rsidR="00070E4E" w:rsidRPr="006C1308" w:rsidRDefault="00070E4E" w:rsidP="00070E4E">
      <w:pPr>
        <w:pStyle w:val="TM-4n"/>
        <w:tabs>
          <w:tab w:val="clear" w:pos="458"/>
          <w:tab w:val="clear" w:pos="1134"/>
          <w:tab w:val="left" w:pos="1559"/>
        </w:tabs>
        <w:spacing w:before="120" w:after="0" w:line="276" w:lineRule="auto"/>
        <w:ind w:left="1276" w:firstLine="0"/>
      </w:pPr>
      <w:r w:rsidRPr="006C1308">
        <w:t>Estreptococos</w:t>
      </w:r>
    </w:p>
    <w:p w:rsidR="00070E4E" w:rsidRPr="006C1308" w:rsidRDefault="00070E4E" w:rsidP="00070E4E">
      <w:pPr>
        <w:pStyle w:val="TM-4n"/>
        <w:tabs>
          <w:tab w:val="clear" w:pos="458"/>
          <w:tab w:val="clear" w:pos="1134"/>
          <w:tab w:val="left" w:pos="1559"/>
        </w:tabs>
        <w:spacing w:before="120" w:after="0" w:line="276" w:lineRule="auto"/>
        <w:ind w:left="1276" w:firstLine="0"/>
      </w:pPr>
      <w:r w:rsidRPr="006C1308">
        <w:t>Estafilococos</w:t>
      </w:r>
    </w:p>
    <w:p w:rsidR="00070E4E" w:rsidRPr="006C1308" w:rsidRDefault="00070E4E" w:rsidP="00070E4E">
      <w:pPr>
        <w:pStyle w:val="TM-4n"/>
        <w:tabs>
          <w:tab w:val="clear" w:pos="458"/>
          <w:tab w:val="clear" w:pos="1134"/>
          <w:tab w:val="left" w:pos="1559"/>
        </w:tabs>
        <w:spacing w:before="120" w:after="0" w:line="276" w:lineRule="auto"/>
        <w:ind w:left="1276" w:firstLine="0"/>
      </w:pPr>
      <w:r w:rsidRPr="006C1308">
        <w:t>Micobactérias</w:t>
      </w:r>
    </w:p>
    <w:p w:rsidR="00070E4E" w:rsidRPr="006C1308" w:rsidRDefault="00070E4E" w:rsidP="00C52E09">
      <w:pPr>
        <w:pStyle w:val="TM-3n"/>
        <w:numPr>
          <w:ilvl w:val="2"/>
          <w:numId w:val="73"/>
        </w:numPr>
        <w:tabs>
          <w:tab w:val="clear" w:pos="1276"/>
          <w:tab w:val="left" w:pos="1350"/>
        </w:tabs>
        <w:spacing w:before="120" w:after="0" w:line="276" w:lineRule="auto"/>
        <w:ind w:left="1350" w:hanging="810"/>
      </w:pPr>
      <w:r w:rsidRPr="006C1308">
        <w:rPr>
          <w:b/>
        </w:rPr>
        <w:t xml:space="preserve">Eubactérias sem parede celular. </w:t>
      </w:r>
      <w:r w:rsidRPr="006C1308">
        <w:t>Neste grupo se encontram os micoplasmas.</w:t>
      </w:r>
    </w:p>
    <w:p w:rsidR="00070E4E" w:rsidRDefault="00070E4E" w:rsidP="00C52E09">
      <w:pPr>
        <w:pStyle w:val="TM-3n"/>
        <w:numPr>
          <w:ilvl w:val="2"/>
          <w:numId w:val="73"/>
        </w:numPr>
        <w:tabs>
          <w:tab w:val="clear" w:pos="1276"/>
          <w:tab w:val="left" w:pos="1350"/>
        </w:tabs>
        <w:spacing w:before="120" w:after="0" w:line="276" w:lineRule="auto"/>
        <w:ind w:left="1350" w:hanging="810"/>
      </w:pPr>
      <w:r w:rsidRPr="006C1308">
        <w:rPr>
          <w:b/>
        </w:rPr>
        <w:t xml:space="preserve">Arqueobactérias: </w:t>
      </w:r>
      <w:r w:rsidRPr="006C1308">
        <w:t>este grupo não inclui microrganismos patógenos. Porém, algumas arqueobactérias têm importância pelas suas aplicações no laboratório de pesquisa biológica e médica.</w:t>
      </w:r>
    </w:p>
    <w:p w:rsidR="00070E4E" w:rsidRPr="006C1308" w:rsidRDefault="00070E4E" w:rsidP="00070E4E">
      <w:pPr>
        <w:pStyle w:val="TM-0"/>
      </w:pPr>
    </w:p>
    <w:p w:rsidR="00070E4E" w:rsidRPr="006C1308" w:rsidRDefault="00070E4E" w:rsidP="00070E4E">
      <w:pPr>
        <w:shd w:val="clear" w:color="auto" w:fill="B8CCE4"/>
        <w:tabs>
          <w:tab w:val="left" w:pos="1276"/>
          <w:tab w:val="right" w:pos="8550"/>
        </w:tabs>
        <w:spacing w:before="120" w:after="120"/>
        <w:ind w:right="-43"/>
        <w:jc w:val="both"/>
        <w:rPr>
          <w:rFonts w:eastAsia="Times New Roman" w:cs="Arial"/>
          <w:b/>
          <w:lang w:val="pt-PT"/>
        </w:rPr>
      </w:pPr>
      <w:r w:rsidRPr="006C1308">
        <w:rPr>
          <w:rFonts w:eastAsia="Times New Roman" w:cs="Arial"/>
          <w:b/>
          <w:lang w:val="pt-PT"/>
        </w:rPr>
        <w:t>BLOCO 4. PATOGENIA DA INFECÇÃO BACTERIANA</w:t>
      </w:r>
    </w:p>
    <w:p w:rsidR="0013594B" w:rsidRDefault="00070E4E" w:rsidP="00C52E09">
      <w:pPr>
        <w:pStyle w:val="TM-2n"/>
        <w:numPr>
          <w:ilvl w:val="1"/>
          <w:numId w:val="75"/>
        </w:numPr>
        <w:spacing w:before="120" w:after="0" w:line="276" w:lineRule="auto"/>
        <w:ind w:left="540" w:hanging="540"/>
      </w:pPr>
      <w:r w:rsidRPr="006C1308">
        <w:t>A patogenia da infecção bacteriana abrange o início do processo infeccioso e os mecanismos que levam ao aparecimento dos sinais e sintomas de doença. Muitas das infecções causadas por bactérias são inaparentes ou assintomáticas. Só ocorre doença se as bactérias ou as reacções imunológicas à sua presença prejudicam suficientemente ao hospedeiro.</w:t>
      </w:r>
    </w:p>
    <w:p w:rsidR="0013594B" w:rsidRDefault="00070E4E" w:rsidP="00C52E09">
      <w:pPr>
        <w:pStyle w:val="TM-2n"/>
        <w:numPr>
          <w:ilvl w:val="1"/>
          <w:numId w:val="75"/>
        </w:numPr>
        <w:spacing w:before="120" w:after="0" w:line="276" w:lineRule="auto"/>
        <w:ind w:left="540" w:hanging="540"/>
      </w:pPr>
      <w:r w:rsidRPr="006C1308">
        <w:lastRenderedPageBreak/>
        <w:t>As portas de entrada mais frequente para as bactérias patógenas são as zonas  do corpo onde as mucosas entram em contacto com a pele. Estes são as vias respiratórias (superiores e inferiores), tracto gastrointestinal (sobre todo a boca), tracto genital e vias urinárias.</w:t>
      </w:r>
    </w:p>
    <w:p w:rsidR="0013594B" w:rsidRDefault="00070E4E" w:rsidP="00C52E09">
      <w:pPr>
        <w:pStyle w:val="TM-2n"/>
        <w:numPr>
          <w:ilvl w:val="1"/>
          <w:numId w:val="75"/>
        </w:numPr>
        <w:spacing w:before="120" w:after="0" w:line="276" w:lineRule="auto"/>
        <w:ind w:left="540" w:hanging="540"/>
      </w:pPr>
      <w:r w:rsidRPr="006C1308">
        <w:t>As áreas anormais da pele e mucosas (feridas, queimaduras, e outras lesões) são também pontos de entrada frequente. A pele e as mucosas são o mecanismo primário de defesa contra a infecção. Os patógenos precisam ultrapassar esta barreira para causar infecção.</w:t>
      </w:r>
    </w:p>
    <w:p w:rsidR="00070E4E" w:rsidRPr="0013594B" w:rsidRDefault="00070E4E" w:rsidP="00C52E09">
      <w:pPr>
        <w:pStyle w:val="TM-2n"/>
        <w:numPr>
          <w:ilvl w:val="1"/>
          <w:numId w:val="75"/>
        </w:numPr>
        <w:spacing w:before="120" w:after="0" w:line="276" w:lineRule="auto"/>
        <w:ind w:left="540" w:hanging="540"/>
      </w:pPr>
      <w:r w:rsidRPr="006C1308">
        <w:t xml:space="preserve">Uma vez no interior do corpo, as bactérias se aderem às células do hospedeiro, estabelecendo o local primário de infecção. Nestes locais  as bactérias se multiplicam, disseminando-se através dos tecidos para a corrente sanguínea e produzindo a </w:t>
      </w:r>
      <w:r w:rsidRPr="0013594B">
        <w:rPr>
          <w:i/>
        </w:rPr>
        <w:t>bacteriemia</w:t>
      </w:r>
      <w:r w:rsidRPr="006C1308">
        <w:t xml:space="preserve"> (presença de bactérias no sangue). Esta disseminação permite que as bactérias se propaguem pelo corpo até alcançar os tecidos mais apropriados para a sua multiplicação. </w:t>
      </w:r>
      <w:r w:rsidRPr="0013594B">
        <w:rPr>
          <w:b/>
        </w:rPr>
        <w:t xml:space="preserve">Portanto, a patogenia da infecção bacteriana compreende: </w:t>
      </w:r>
      <w:r w:rsidRPr="0013594B">
        <w:rPr>
          <w:b/>
          <w:lang w:val="pt-BR"/>
        </w:rPr>
        <w:t>penetração, adesão às células hospedeiras, replicação (divisão binária) e disseminação.</w:t>
      </w:r>
    </w:p>
    <w:p w:rsidR="00070E4E" w:rsidRPr="006C1308" w:rsidRDefault="00070E4E" w:rsidP="00070E4E">
      <w:pPr>
        <w:jc w:val="center"/>
        <w:rPr>
          <w:rFonts w:cs="Arial"/>
        </w:rPr>
      </w:pPr>
      <w:r>
        <w:rPr>
          <w:rFonts w:cs="Arial"/>
          <w:noProof/>
          <w:lang w:val="en-ZW" w:eastAsia="en-ZW"/>
        </w:rPr>
        <w:drawing>
          <wp:inline distT="0" distB="0" distL="0" distR="0" wp14:anchorId="074B621D" wp14:editId="71FFAFAD">
            <wp:extent cx="3238500" cy="3911600"/>
            <wp:effectExtent l="19050" t="0" r="0" b="0"/>
            <wp:docPr id="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srcRect/>
                    <a:stretch>
                      <a:fillRect/>
                    </a:stretch>
                  </pic:blipFill>
                  <pic:spPr bwMode="auto">
                    <a:xfrm>
                      <a:off x="0" y="0"/>
                      <a:ext cx="3238500" cy="3911600"/>
                    </a:xfrm>
                    <a:prstGeom prst="rect">
                      <a:avLst/>
                    </a:prstGeom>
                    <a:noFill/>
                    <a:ln w="9525">
                      <a:noFill/>
                      <a:miter lim="800000"/>
                      <a:headEnd/>
                      <a:tailEnd/>
                    </a:ln>
                  </pic:spPr>
                </pic:pic>
              </a:graphicData>
            </a:graphic>
          </wp:inline>
        </w:drawing>
      </w:r>
    </w:p>
    <w:p w:rsidR="00070E4E" w:rsidRPr="006C1308" w:rsidRDefault="00070E4E" w:rsidP="00070E4E">
      <w:pPr>
        <w:jc w:val="center"/>
        <w:rPr>
          <w:rFonts w:cs="Arial"/>
        </w:rPr>
      </w:pPr>
      <w:r w:rsidRPr="006C1308">
        <w:rPr>
          <w:rFonts w:cs="Arial"/>
          <w:b/>
        </w:rPr>
        <w:t>Figura 4</w:t>
      </w:r>
      <w:r w:rsidR="00506DE0">
        <w:rPr>
          <w:rFonts w:cs="Arial"/>
          <w:b/>
        </w:rPr>
        <w:t>:</w:t>
      </w:r>
      <w:r w:rsidRPr="006C1308">
        <w:rPr>
          <w:rFonts w:cs="Arial"/>
        </w:rPr>
        <w:t xml:space="preserve"> Infecção bacteriana.</w:t>
      </w:r>
    </w:p>
    <w:p w:rsidR="00070E4E" w:rsidRPr="006C1308" w:rsidRDefault="00070E4E" w:rsidP="00C52E09">
      <w:pPr>
        <w:pStyle w:val="TM-2n"/>
        <w:numPr>
          <w:ilvl w:val="1"/>
          <w:numId w:val="75"/>
        </w:numPr>
        <w:spacing w:before="120" w:after="0" w:line="276" w:lineRule="auto"/>
        <w:ind w:left="540" w:hanging="540"/>
      </w:pPr>
      <w:r w:rsidRPr="006C1308">
        <w:t>A patogenicidade e virulência bacteriana é determinada por diversos sistemas de regulação, que combinam factores extrínsecos ou intrínsecos às próprias bactérias.</w:t>
      </w:r>
    </w:p>
    <w:p w:rsidR="00070E4E" w:rsidRPr="006C1308" w:rsidRDefault="00070E4E" w:rsidP="00C52E09">
      <w:pPr>
        <w:pStyle w:val="TM-2n"/>
        <w:numPr>
          <w:ilvl w:val="1"/>
          <w:numId w:val="75"/>
        </w:numPr>
        <w:spacing w:before="120" w:after="0" w:line="276" w:lineRule="auto"/>
        <w:ind w:left="540" w:hanging="540"/>
      </w:pPr>
      <w:r w:rsidRPr="006C1308">
        <w:t>De maneira extrínseca, alguns sinais ambientais regulam ou activam a expressão de determinados genes relacionados com a virulência bacteriana. Os sinais mais comuns são temperatura, disponibilidade de ferro, osmolaridade, fase de crescimento, pH, e iões específicos (por exemplo, cálcio).</w:t>
      </w:r>
    </w:p>
    <w:p w:rsidR="00070E4E" w:rsidRPr="006C1308" w:rsidRDefault="00070E4E" w:rsidP="00C52E09">
      <w:pPr>
        <w:pStyle w:val="TM-2n"/>
        <w:numPr>
          <w:ilvl w:val="1"/>
          <w:numId w:val="75"/>
        </w:numPr>
        <w:spacing w:before="120" w:after="0" w:line="276" w:lineRule="auto"/>
        <w:ind w:left="540" w:hanging="540"/>
      </w:pPr>
      <w:r w:rsidRPr="006C1308">
        <w:t>Entretanto, existem muitos factores intrínsecos que determinam a patogenicidade e virulência  bacteriana. Entre eles podem se destacar os seguintes:</w:t>
      </w:r>
    </w:p>
    <w:p w:rsidR="00070E4E" w:rsidRPr="006C1308" w:rsidRDefault="00070E4E" w:rsidP="00C52E09">
      <w:pPr>
        <w:pStyle w:val="TM-3n"/>
        <w:numPr>
          <w:ilvl w:val="2"/>
          <w:numId w:val="75"/>
        </w:numPr>
        <w:tabs>
          <w:tab w:val="clear" w:pos="1276"/>
          <w:tab w:val="left" w:pos="1350"/>
        </w:tabs>
        <w:spacing w:before="120" w:after="0" w:line="276" w:lineRule="auto"/>
        <w:ind w:left="1350"/>
      </w:pPr>
      <w:r w:rsidRPr="006C1308">
        <w:rPr>
          <w:b/>
        </w:rPr>
        <w:t>Factores de aderência</w:t>
      </w:r>
      <w:r w:rsidRPr="006C1308">
        <w:t xml:space="preserve">: após a penetração das bactérias no corpo, elas precisam se aderir a células da superfície de algum tecido. Se não aderem, serão eliminadas por muco ou outros fluidos corporais. Normalmente, existem moléculas na superfície da bactéria que interagem com receptores nas células do hospedeiro, facilitando assim a aderência </w:t>
      </w:r>
      <w:r w:rsidRPr="006C1308">
        <w:lastRenderedPageBreak/>
        <w:t>(exemplos: os pili ou fímbrias, certos receptores, moléculas chamadas adesinas e ligantes)</w:t>
      </w:r>
    </w:p>
    <w:p w:rsidR="00070E4E" w:rsidRPr="006C1308" w:rsidRDefault="00070E4E" w:rsidP="00C52E09">
      <w:pPr>
        <w:pStyle w:val="TM-3n"/>
        <w:numPr>
          <w:ilvl w:val="2"/>
          <w:numId w:val="75"/>
        </w:numPr>
        <w:tabs>
          <w:tab w:val="clear" w:pos="1276"/>
          <w:tab w:val="left" w:pos="1350"/>
        </w:tabs>
        <w:spacing w:before="120" w:after="0" w:line="276" w:lineRule="auto"/>
        <w:ind w:left="1350"/>
      </w:pPr>
      <w:r w:rsidRPr="006C1308">
        <w:t xml:space="preserve">Muitas bactérias têm a capacidade de </w:t>
      </w:r>
      <w:r w:rsidRPr="006C1308">
        <w:rPr>
          <w:b/>
        </w:rPr>
        <w:t>invadir</w:t>
      </w:r>
      <w:r w:rsidRPr="006C1308">
        <w:t xml:space="preserve"> tecidos e células. Normalmente, as bactérias influenciam as células do hospedeiro, induzindo-as a ingerir as bactérias.</w:t>
      </w:r>
    </w:p>
    <w:p w:rsidR="00070E4E" w:rsidRPr="006C1308" w:rsidRDefault="00070E4E" w:rsidP="00C52E09">
      <w:pPr>
        <w:pStyle w:val="TM-3n"/>
        <w:numPr>
          <w:ilvl w:val="2"/>
          <w:numId w:val="75"/>
        </w:numPr>
        <w:tabs>
          <w:tab w:val="clear" w:pos="1276"/>
          <w:tab w:val="left" w:pos="1350"/>
        </w:tabs>
        <w:spacing w:before="120" w:after="0" w:line="276" w:lineRule="auto"/>
        <w:ind w:left="1350"/>
      </w:pPr>
      <w:r w:rsidRPr="006C1308">
        <w:rPr>
          <w:b/>
        </w:rPr>
        <w:t>Produção de substâncias</w:t>
      </w:r>
      <w:r w:rsidRPr="006C1308">
        <w:t xml:space="preserve"> com efeitos sobre as células, como endotoxinas e exotoxinas, que produzem toxicidade e morte celular através de diferentes mecanismos, e também enzimas que degradam os tecidos do hospedeiro ou que inactivam as moléculas de imunoglobulina G (IgG).</w:t>
      </w:r>
    </w:p>
    <w:p w:rsidR="00070E4E" w:rsidRPr="006C1308" w:rsidRDefault="00070E4E" w:rsidP="00C52E09">
      <w:pPr>
        <w:pStyle w:val="TM-3n"/>
        <w:numPr>
          <w:ilvl w:val="2"/>
          <w:numId w:val="75"/>
        </w:numPr>
        <w:tabs>
          <w:tab w:val="clear" w:pos="1276"/>
          <w:tab w:val="left" w:pos="1350"/>
        </w:tabs>
        <w:spacing w:before="120" w:after="0" w:line="276" w:lineRule="auto"/>
        <w:ind w:left="1350"/>
      </w:pPr>
      <w:r w:rsidRPr="006C1308">
        <w:rPr>
          <w:b/>
        </w:rPr>
        <w:t>Factores antifagocíticos</w:t>
      </w:r>
      <w:r w:rsidRPr="006C1308">
        <w:t>, que impedem aos leucócitos ingerir as bactérias para destrui-las (exemplo: cápsulas bacterianas, flagelos que permite mobilidade e escape a acção fagocitária).</w:t>
      </w:r>
    </w:p>
    <w:p w:rsidR="00070E4E" w:rsidRPr="006C1308" w:rsidRDefault="00070E4E" w:rsidP="00C52E09">
      <w:pPr>
        <w:pStyle w:val="TM-3n"/>
        <w:numPr>
          <w:ilvl w:val="2"/>
          <w:numId w:val="75"/>
        </w:numPr>
        <w:tabs>
          <w:tab w:val="clear" w:pos="1276"/>
          <w:tab w:val="left" w:pos="1350"/>
        </w:tabs>
        <w:spacing w:before="120" w:after="0" w:line="276" w:lineRule="auto"/>
        <w:ind w:left="1350"/>
      </w:pPr>
      <w:r w:rsidRPr="006C1308">
        <w:t>Capacidade de algumas bactérias para sobreviver no interior das células do hospedeiro, por exemplo, devido a parede celular que é resistente à digestão.</w:t>
      </w:r>
    </w:p>
    <w:p w:rsidR="00070E4E" w:rsidRDefault="00070E4E" w:rsidP="00C52E09">
      <w:pPr>
        <w:pStyle w:val="TM-3n"/>
        <w:numPr>
          <w:ilvl w:val="2"/>
          <w:numId w:val="75"/>
        </w:numPr>
        <w:tabs>
          <w:tab w:val="clear" w:pos="1276"/>
          <w:tab w:val="left" w:pos="1350"/>
        </w:tabs>
        <w:spacing w:before="120" w:after="0" w:line="276" w:lineRule="auto"/>
        <w:ind w:left="1350"/>
      </w:pPr>
      <w:r w:rsidRPr="006C1308">
        <w:rPr>
          <w:b/>
        </w:rPr>
        <w:t>Mudança dos antígenos de superfície</w:t>
      </w:r>
      <w:r w:rsidRPr="006C1308">
        <w:t>. Muitas bactérias mudam frequentemente a forma dos seus antígenos, escapando assim do sistema imunológico do hospedeiro, fenómeno chamado variação antigênica. Além da variação antigênica, existe o mimetismo molecular, que consiste em os antígenos de superfície dos patógenos serem parecidos com os antígenos do hospedeiro e, em consequência, não são reconhecidos como estranhos.</w:t>
      </w:r>
    </w:p>
    <w:p w:rsidR="00F8000A" w:rsidRPr="006C1308" w:rsidRDefault="00F8000A" w:rsidP="00F8000A">
      <w:pPr>
        <w:pStyle w:val="TM-3n"/>
        <w:numPr>
          <w:ilvl w:val="0"/>
          <w:numId w:val="0"/>
        </w:numPr>
        <w:tabs>
          <w:tab w:val="clear" w:pos="1276"/>
          <w:tab w:val="left" w:pos="1350"/>
        </w:tabs>
        <w:spacing w:before="120" w:after="0" w:line="276" w:lineRule="auto"/>
        <w:ind w:left="1350"/>
      </w:pPr>
    </w:p>
    <w:p w:rsidR="00070E4E" w:rsidRPr="006C1308" w:rsidRDefault="00070E4E" w:rsidP="00070E4E">
      <w:pPr>
        <w:shd w:val="clear" w:color="auto" w:fill="B8CCE4"/>
        <w:tabs>
          <w:tab w:val="left" w:pos="1276"/>
          <w:tab w:val="right" w:pos="8550"/>
        </w:tabs>
        <w:spacing w:before="120" w:after="120"/>
        <w:ind w:right="-43"/>
        <w:jc w:val="both"/>
        <w:rPr>
          <w:rFonts w:eastAsia="Times New Roman" w:cs="Arial"/>
          <w:b/>
          <w:lang w:val="pt-PT"/>
        </w:rPr>
      </w:pPr>
      <w:r w:rsidRPr="006C1308">
        <w:rPr>
          <w:rFonts w:eastAsia="Times New Roman" w:cs="Arial"/>
          <w:b/>
          <w:lang w:val="pt-PT"/>
        </w:rPr>
        <w:t xml:space="preserve">BLOCO 5. PONTOS-CHAVE </w:t>
      </w:r>
    </w:p>
    <w:p w:rsidR="0013594B" w:rsidRDefault="00070E4E" w:rsidP="00C52E09">
      <w:pPr>
        <w:pStyle w:val="TM-4n"/>
        <w:numPr>
          <w:ilvl w:val="1"/>
          <w:numId w:val="76"/>
        </w:numPr>
        <w:tabs>
          <w:tab w:val="clear" w:pos="1134"/>
          <w:tab w:val="left" w:pos="720"/>
        </w:tabs>
        <w:spacing w:before="120" w:after="0" w:line="276" w:lineRule="auto"/>
        <w:ind w:left="540" w:hanging="540"/>
      </w:pPr>
      <w:r w:rsidRPr="006C1308">
        <w:t xml:space="preserve">As bactérias são microrganismos unicelulares procariontes. </w:t>
      </w:r>
    </w:p>
    <w:p w:rsidR="0013594B" w:rsidRDefault="00070E4E" w:rsidP="00C52E09">
      <w:pPr>
        <w:pStyle w:val="TM-4n"/>
        <w:numPr>
          <w:ilvl w:val="1"/>
          <w:numId w:val="76"/>
        </w:numPr>
        <w:tabs>
          <w:tab w:val="clear" w:pos="1134"/>
          <w:tab w:val="left" w:pos="720"/>
        </w:tabs>
        <w:spacing w:before="120" w:after="0" w:line="276" w:lineRule="auto"/>
        <w:ind w:left="540" w:hanging="540"/>
      </w:pPr>
      <w:r w:rsidRPr="006C1308">
        <w:t>As bactérias podem ter 3 formas básicas: cocos, bacilos e espirilos</w:t>
      </w:r>
    </w:p>
    <w:p w:rsidR="00070E4E" w:rsidRPr="006C1308" w:rsidRDefault="00070E4E" w:rsidP="00C52E09">
      <w:pPr>
        <w:pStyle w:val="TM-4n"/>
        <w:numPr>
          <w:ilvl w:val="1"/>
          <w:numId w:val="76"/>
        </w:numPr>
        <w:tabs>
          <w:tab w:val="clear" w:pos="1134"/>
          <w:tab w:val="left" w:pos="720"/>
        </w:tabs>
        <w:spacing w:before="120" w:after="0" w:line="276" w:lineRule="auto"/>
        <w:ind w:left="540" w:hanging="540"/>
      </w:pPr>
      <w:r w:rsidRPr="006C1308">
        <w:t>As colorações mais utilizadas para identificar bactérias são: Gram e álcool-ácido</w:t>
      </w:r>
      <w:r w:rsidRPr="006C1308" w:rsidDel="00263A35">
        <w:t xml:space="preserve"> </w:t>
      </w:r>
      <w:r w:rsidRPr="006C1308">
        <w:t>-resistente</w:t>
      </w:r>
    </w:p>
    <w:p w:rsidR="0013594B" w:rsidRDefault="00070E4E" w:rsidP="00C52E09">
      <w:pPr>
        <w:pStyle w:val="TM-4n"/>
        <w:numPr>
          <w:ilvl w:val="1"/>
          <w:numId w:val="286"/>
        </w:numPr>
        <w:tabs>
          <w:tab w:val="clear" w:pos="1134"/>
          <w:tab w:val="left" w:pos="720"/>
        </w:tabs>
        <w:spacing w:before="120" w:after="0" w:line="276" w:lineRule="auto"/>
        <w:ind w:left="540" w:hanging="540"/>
      </w:pPr>
      <w:r w:rsidRPr="006C1308">
        <w:t>Na prática, as bactérias podem se dividir em 4 grupos: eubactérias com parede celular, Gram positivas e Gram negativas, eubactérias sem parede celular, e arqueobactérias</w:t>
      </w:r>
    </w:p>
    <w:p w:rsidR="00070E4E" w:rsidRPr="006C1308" w:rsidRDefault="00070E4E" w:rsidP="00C52E09">
      <w:pPr>
        <w:pStyle w:val="TM-4n"/>
        <w:numPr>
          <w:ilvl w:val="1"/>
          <w:numId w:val="286"/>
        </w:numPr>
        <w:tabs>
          <w:tab w:val="clear" w:pos="1134"/>
          <w:tab w:val="left" w:pos="720"/>
        </w:tabs>
        <w:spacing w:before="120" w:after="0" w:line="276" w:lineRule="auto"/>
        <w:ind w:left="540" w:hanging="540"/>
      </w:pPr>
      <w:r w:rsidRPr="006C1308">
        <w:t>A patogenia da infecção bacteriana comprende: penetração, adesão, replicação e disseminação</w:t>
      </w:r>
    </w:p>
    <w:p w:rsidR="00070E4E" w:rsidRPr="006C1308" w:rsidRDefault="00070E4E" w:rsidP="0013594B">
      <w:pPr>
        <w:pStyle w:val="TM-4n"/>
        <w:numPr>
          <w:ilvl w:val="0"/>
          <w:numId w:val="0"/>
        </w:numPr>
        <w:tabs>
          <w:tab w:val="clear" w:pos="1134"/>
          <w:tab w:val="left" w:pos="720"/>
        </w:tabs>
        <w:spacing w:before="120" w:after="0" w:line="276" w:lineRule="auto"/>
        <w:ind w:left="630"/>
      </w:pPr>
      <w:r w:rsidRPr="006C1308">
        <w:t>No entanto, esta patogenia, envolve factores extrínsecos e intrísicos, que determinam a patogenicidade e virulência, a destacar entre os factores intrínsicos: factores de aderência, factores ligados a invasão, produção de substâncias tóxicas, factores antifagocitários, factores ligados a sobrevivência no interior da célula, variação antigênica e mimetismo molecular.</w:t>
      </w:r>
    </w:p>
    <w:p w:rsidR="00070E4E" w:rsidRPr="006C1308" w:rsidRDefault="00070E4E" w:rsidP="00070E4E">
      <w:pPr>
        <w:pStyle w:val="TM-4n"/>
        <w:numPr>
          <w:ilvl w:val="0"/>
          <w:numId w:val="0"/>
        </w:numPr>
        <w:tabs>
          <w:tab w:val="clear" w:pos="1134"/>
          <w:tab w:val="left" w:pos="720"/>
        </w:tabs>
        <w:spacing w:before="120" w:after="0" w:line="276" w:lineRule="auto"/>
        <w:ind w:left="900"/>
      </w:pPr>
    </w:p>
    <w:p w:rsidR="00070E4E" w:rsidRDefault="00070E4E">
      <w:pPr>
        <w:rPr>
          <w:lang w:val="pt-PT"/>
        </w:rPr>
      </w:pPr>
      <w:r>
        <w:rPr>
          <w:lang w:val="pt-PT"/>
        </w:rPr>
        <w:br w:type="page"/>
      </w:r>
    </w:p>
    <w:tbl>
      <w:tblPr>
        <w:tblW w:w="9970" w:type="dxa"/>
        <w:tblLayout w:type="fixed"/>
        <w:tblCellMar>
          <w:left w:w="70" w:type="dxa"/>
          <w:right w:w="70" w:type="dxa"/>
        </w:tblCellMar>
        <w:tblLook w:val="0020" w:firstRow="1" w:lastRow="0" w:firstColumn="0" w:lastColumn="0" w:noHBand="0" w:noVBand="0"/>
      </w:tblPr>
      <w:tblGrid>
        <w:gridCol w:w="1418"/>
        <w:gridCol w:w="5132"/>
        <w:gridCol w:w="1710"/>
        <w:gridCol w:w="1710"/>
      </w:tblGrid>
      <w:tr w:rsidR="00070E4E" w:rsidRPr="007F10EF" w:rsidTr="00E8674E">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070E4E" w:rsidRPr="007F10EF" w:rsidRDefault="00070E4E" w:rsidP="00E8674E">
            <w:pPr>
              <w:spacing w:line="240" w:lineRule="auto"/>
              <w:rPr>
                <w:rFonts w:cs="Arial"/>
                <w:b/>
                <w:szCs w:val="24"/>
              </w:rPr>
            </w:pPr>
            <w:r w:rsidRPr="007F10EF">
              <w:rPr>
                <w:rFonts w:cs="Arial"/>
                <w:b/>
                <w:szCs w:val="24"/>
              </w:rPr>
              <w:lastRenderedPageBreak/>
              <w:t>Disciplina</w:t>
            </w:r>
          </w:p>
        </w:tc>
        <w:tc>
          <w:tcPr>
            <w:tcW w:w="5132" w:type="dxa"/>
            <w:tcBorders>
              <w:top w:val="single" w:sz="6" w:space="0" w:color="000000"/>
              <w:left w:val="single" w:sz="6" w:space="0" w:color="000000"/>
              <w:bottom w:val="single" w:sz="6" w:space="0" w:color="000000"/>
              <w:right w:val="single" w:sz="6" w:space="0" w:color="000000"/>
            </w:tcBorders>
            <w:vAlign w:val="center"/>
          </w:tcPr>
          <w:p w:rsidR="00070E4E" w:rsidRPr="007F10EF" w:rsidRDefault="00070E4E" w:rsidP="00E8674E">
            <w:pPr>
              <w:spacing w:line="240" w:lineRule="auto"/>
              <w:rPr>
                <w:rFonts w:cs="Arial"/>
                <w:szCs w:val="24"/>
              </w:rPr>
            </w:pPr>
            <w:r w:rsidRPr="007F10EF">
              <w:rPr>
                <w:rFonts w:cs="Arial"/>
                <w:szCs w:val="24"/>
              </w:rPr>
              <w:t>Introdução às Ciências Médicas</w:t>
            </w:r>
          </w:p>
        </w:tc>
        <w:tc>
          <w:tcPr>
            <w:tcW w:w="1710" w:type="dxa"/>
            <w:tcBorders>
              <w:top w:val="single" w:sz="6" w:space="0" w:color="000000"/>
              <w:left w:val="single" w:sz="6" w:space="0" w:color="000000"/>
              <w:bottom w:val="single" w:sz="6" w:space="0" w:color="000000"/>
              <w:right w:val="single" w:sz="6" w:space="0" w:color="000000"/>
            </w:tcBorders>
            <w:vAlign w:val="center"/>
          </w:tcPr>
          <w:p w:rsidR="00070E4E" w:rsidRPr="007F10EF" w:rsidRDefault="00070E4E" w:rsidP="00E8674E">
            <w:pPr>
              <w:spacing w:line="240" w:lineRule="auto"/>
              <w:rPr>
                <w:rFonts w:cs="Arial"/>
                <w:b/>
                <w:szCs w:val="24"/>
              </w:rPr>
            </w:pPr>
            <w:r w:rsidRPr="007F10EF">
              <w:rPr>
                <w:rFonts w:cs="Arial"/>
                <w:b/>
                <w:szCs w:val="24"/>
              </w:rPr>
              <w:t xml:space="preserve">N° da Aula </w:t>
            </w:r>
          </w:p>
        </w:tc>
        <w:tc>
          <w:tcPr>
            <w:tcW w:w="1710" w:type="dxa"/>
            <w:tcBorders>
              <w:top w:val="single" w:sz="6" w:space="0" w:color="000000"/>
              <w:left w:val="single" w:sz="6" w:space="0" w:color="000000"/>
              <w:bottom w:val="single" w:sz="6" w:space="0" w:color="000000"/>
              <w:right w:val="single" w:sz="6" w:space="0" w:color="000000"/>
            </w:tcBorders>
            <w:vAlign w:val="center"/>
          </w:tcPr>
          <w:p w:rsidR="00070E4E" w:rsidRPr="0013594B" w:rsidRDefault="00070E4E" w:rsidP="00E8674E">
            <w:pPr>
              <w:spacing w:line="240" w:lineRule="auto"/>
              <w:jc w:val="center"/>
              <w:rPr>
                <w:rFonts w:cs="Arial"/>
              </w:rPr>
            </w:pPr>
            <w:r w:rsidRPr="0013594B">
              <w:rPr>
                <w:rFonts w:cs="Arial"/>
              </w:rPr>
              <w:t>9</w:t>
            </w:r>
          </w:p>
        </w:tc>
      </w:tr>
      <w:tr w:rsidR="00070E4E" w:rsidRPr="007F10EF" w:rsidTr="00E8674E">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070E4E" w:rsidRPr="007F10EF" w:rsidRDefault="00070E4E" w:rsidP="00E8674E">
            <w:pPr>
              <w:spacing w:line="240" w:lineRule="auto"/>
              <w:rPr>
                <w:rFonts w:cs="Arial"/>
                <w:b/>
                <w:szCs w:val="24"/>
              </w:rPr>
            </w:pPr>
            <w:r w:rsidRPr="007F10EF">
              <w:rPr>
                <w:rFonts w:cs="Arial"/>
                <w:b/>
                <w:szCs w:val="24"/>
              </w:rPr>
              <w:t>Tópico</w:t>
            </w:r>
          </w:p>
        </w:tc>
        <w:tc>
          <w:tcPr>
            <w:tcW w:w="5132" w:type="dxa"/>
            <w:tcBorders>
              <w:top w:val="single" w:sz="6" w:space="0" w:color="000000"/>
              <w:left w:val="single" w:sz="6" w:space="0" w:color="000000"/>
              <w:bottom w:val="single" w:sz="6" w:space="0" w:color="000000"/>
              <w:right w:val="single" w:sz="6" w:space="0" w:color="000000"/>
            </w:tcBorders>
            <w:vAlign w:val="center"/>
          </w:tcPr>
          <w:p w:rsidR="00070E4E" w:rsidRPr="007F10EF" w:rsidRDefault="00070E4E" w:rsidP="00E8674E">
            <w:pPr>
              <w:spacing w:line="240" w:lineRule="auto"/>
              <w:rPr>
                <w:rFonts w:cs="Arial"/>
                <w:szCs w:val="24"/>
              </w:rPr>
            </w:pPr>
            <w:r>
              <w:rPr>
                <w:rFonts w:cs="Arial"/>
                <w:szCs w:val="24"/>
              </w:rPr>
              <w:t>Microbiologia (3)</w:t>
            </w:r>
          </w:p>
        </w:tc>
        <w:tc>
          <w:tcPr>
            <w:tcW w:w="1710" w:type="dxa"/>
            <w:tcBorders>
              <w:top w:val="single" w:sz="6" w:space="0" w:color="000000"/>
              <w:left w:val="single" w:sz="6" w:space="0" w:color="000000"/>
              <w:bottom w:val="single" w:sz="6" w:space="0" w:color="000000"/>
              <w:right w:val="single" w:sz="6" w:space="0" w:color="000000"/>
            </w:tcBorders>
            <w:vAlign w:val="center"/>
          </w:tcPr>
          <w:p w:rsidR="00070E4E" w:rsidRPr="007F10EF" w:rsidRDefault="00070E4E" w:rsidP="00E8674E">
            <w:pPr>
              <w:spacing w:line="240" w:lineRule="auto"/>
              <w:rPr>
                <w:rFonts w:cs="Arial"/>
                <w:b/>
                <w:szCs w:val="24"/>
              </w:rPr>
            </w:pPr>
            <w:r w:rsidRPr="007F10EF">
              <w:rPr>
                <w:rFonts w:cs="Arial"/>
                <w:b/>
                <w:szCs w:val="24"/>
              </w:rPr>
              <w:t xml:space="preserve">Tipo </w:t>
            </w:r>
          </w:p>
        </w:tc>
        <w:tc>
          <w:tcPr>
            <w:tcW w:w="1710" w:type="dxa"/>
            <w:tcBorders>
              <w:top w:val="single" w:sz="6" w:space="0" w:color="000000"/>
              <w:left w:val="single" w:sz="6" w:space="0" w:color="000000"/>
              <w:bottom w:val="single" w:sz="6" w:space="0" w:color="000000"/>
              <w:right w:val="single" w:sz="6" w:space="0" w:color="000000"/>
            </w:tcBorders>
            <w:vAlign w:val="center"/>
          </w:tcPr>
          <w:p w:rsidR="00070E4E" w:rsidRPr="0013594B" w:rsidRDefault="00070E4E" w:rsidP="00E8674E">
            <w:pPr>
              <w:spacing w:line="240" w:lineRule="auto"/>
              <w:jc w:val="center"/>
              <w:rPr>
                <w:rFonts w:cs="Arial"/>
              </w:rPr>
            </w:pPr>
            <w:r w:rsidRPr="0013594B">
              <w:rPr>
                <w:rFonts w:cs="Arial"/>
              </w:rPr>
              <w:t>Teórica</w:t>
            </w:r>
          </w:p>
        </w:tc>
      </w:tr>
      <w:tr w:rsidR="00070E4E" w:rsidRPr="007F10EF" w:rsidTr="00E8674E">
        <w:trPr>
          <w:cantSplit/>
          <w:trHeight w:val="414"/>
        </w:trPr>
        <w:tc>
          <w:tcPr>
            <w:tcW w:w="1418" w:type="dxa"/>
            <w:tcBorders>
              <w:top w:val="single" w:sz="6" w:space="0" w:color="000000"/>
              <w:left w:val="single" w:sz="6" w:space="0" w:color="000000"/>
              <w:bottom w:val="single" w:sz="6" w:space="0" w:color="000000"/>
              <w:right w:val="single" w:sz="6" w:space="0" w:color="000000"/>
            </w:tcBorders>
            <w:vAlign w:val="center"/>
          </w:tcPr>
          <w:p w:rsidR="00070E4E" w:rsidRPr="007F10EF" w:rsidRDefault="00070E4E" w:rsidP="00E8674E">
            <w:pPr>
              <w:spacing w:line="240" w:lineRule="auto"/>
              <w:rPr>
                <w:rFonts w:cs="Arial"/>
                <w:b/>
                <w:szCs w:val="24"/>
              </w:rPr>
            </w:pPr>
            <w:r w:rsidRPr="007F10EF">
              <w:rPr>
                <w:rFonts w:cs="Arial"/>
                <w:b/>
                <w:szCs w:val="24"/>
              </w:rPr>
              <w:t>Conteúdos</w:t>
            </w:r>
          </w:p>
        </w:tc>
        <w:tc>
          <w:tcPr>
            <w:tcW w:w="5132" w:type="dxa"/>
            <w:tcBorders>
              <w:top w:val="single" w:sz="6" w:space="0" w:color="000000"/>
              <w:left w:val="single" w:sz="6" w:space="0" w:color="000000"/>
              <w:bottom w:val="single" w:sz="6" w:space="0" w:color="000000"/>
              <w:right w:val="single" w:sz="6" w:space="0" w:color="000000"/>
            </w:tcBorders>
            <w:vAlign w:val="center"/>
          </w:tcPr>
          <w:p w:rsidR="00070E4E" w:rsidRPr="00F8000A" w:rsidRDefault="00070E4E" w:rsidP="00070E4E">
            <w:pPr>
              <w:pStyle w:val="Heading1"/>
              <w:rPr>
                <w:b w:val="0"/>
                <w:sz w:val="22"/>
                <w:szCs w:val="22"/>
                <w:lang w:val="pt-BR"/>
              </w:rPr>
            </w:pPr>
            <w:bookmarkStart w:id="14" w:name="_Toc329099757"/>
            <w:r w:rsidRPr="00F8000A">
              <w:rPr>
                <w:b w:val="0"/>
                <w:sz w:val="22"/>
                <w:szCs w:val="22"/>
              </w:rPr>
              <w:t>Bact</w:t>
            </w:r>
            <w:r w:rsidRPr="00F8000A">
              <w:rPr>
                <w:b w:val="0"/>
                <w:sz w:val="22"/>
                <w:szCs w:val="22"/>
                <w:lang w:val="pt-BR"/>
              </w:rPr>
              <w:t>érias Patogénicas</w:t>
            </w:r>
            <w:bookmarkEnd w:id="14"/>
          </w:p>
        </w:tc>
        <w:tc>
          <w:tcPr>
            <w:tcW w:w="1710" w:type="dxa"/>
            <w:tcBorders>
              <w:top w:val="single" w:sz="6" w:space="0" w:color="000000"/>
              <w:left w:val="single" w:sz="6" w:space="0" w:color="000000"/>
              <w:bottom w:val="single" w:sz="6" w:space="0" w:color="000000"/>
              <w:right w:val="single" w:sz="6" w:space="0" w:color="000000"/>
            </w:tcBorders>
            <w:vAlign w:val="center"/>
          </w:tcPr>
          <w:p w:rsidR="00070E4E" w:rsidRPr="007F10EF" w:rsidRDefault="00070E4E" w:rsidP="00E8674E">
            <w:pPr>
              <w:spacing w:line="240" w:lineRule="auto"/>
              <w:rPr>
                <w:rFonts w:cs="Arial"/>
                <w:b/>
                <w:szCs w:val="24"/>
              </w:rPr>
            </w:pPr>
            <w:r w:rsidRPr="007F10EF">
              <w:rPr>
                <w:rFonts w:cs="Arial"/>
                <w:b/>
                <w:szCs w:val="24"/>
              </w:rPr>
              <w:t>Duração</w:t>
            </w:r>
          </w:p>
        </w:tc>
        <w:tc>
          <w:tcPr>
            <w:tcW w:w="1710" w:type="dxa"/>
            <w:tcBorders>
              <w:top w:val="single" w:sz="6" w:space="0" w:color="000000"/>
              <w:left w:val="single" w:sz="6" w:space="0" w:color="000000"/>
              <w:bottom w:val="single" w:sz="6" w:space="0" w:color="000000"/>
              <w:right w:val="single" w:sz="6" w:space="0" w:color="000000"/>
            </w:tcBorders>
            <w:vAlign w:val="center"/>
          </w:tcPr>
          <w:p w:rsidR="00070E4E" w:rsidRPr="0013594B" w:rsidRDefault="00070E4E" w:rsidP="00E8674E">
            <w:pPr>
              <w:spacing w:line="240" w:lineRule="auto"/>
              <w:jc w:val="center"/>
              <w:rPr>
                <w:rFonts w:cs="Arial"/>
              </w:rPr>
            </w:pPr>
            <w:r w:rsidRPr="0013594B">
              <w:rPr>
                <w:rFonts w:cs="Arial"/>
              </w:rPr>
              <w:t>2 h</w:t>
            </w:r>
          </w:p>
        </w:tc>
      </w:tr>
    </w:tbl>
    <w:p w:rsidR="00070E4E" w:rsidRPr="002D0223" w:rsidRDefault="00070E4E" w:rsidP="0013594B">
      <w:pPr>
        <w:pStyle w:val="ListParagraph"/>
        <w:spacing w:after="0" w:line="240" w:lineRule="auto"/>
        <w:ind w:left="0"/>
        <w:outlineLvl w:val="0"/>
        <w:rPr>
          <w:rFonts w:cs="Arial"/>
          <w:b/>
          <w:bCs/>
        </w:rPr>
      </w:pPr>
    </w:p>
    <w:p w:rsidR="00070E4E" w:rsidRPr="0052785B" w:rsidRDefault="00070E4E" w:rsidP="0052785B">
      <w:pPr>
        <w:rPr>
          <w:b/>
        </w:rPr>
      </w:pPr>
      <w:r w:rsidRPr="0052785B">
        <w:rPr>
          <w:b/>
        </w:rPr>
        <w:t>Objectivos de Aprendizagem:</w:t>
      </w:r>
    </w:p>
    <w:p w:rsidR="00070E4E" w:rsidRPr="00070E4E" w:rsidRDefault="00070E4E" w:rsidP="00070E4E">
      <w:pPr>
        <w:spacing w:before="60"/>
        <w:rPr>
          <w:rFonts w:cs="Arial"/>
          <w:lang w:val="pt-BR"/>
        </w:rPr>
      </w:pPr>
      <w:r w:rsidRPr="00070E4E">
        <w:rPr>
          <w:rFonts w:cs="Arial"/>
          <w:lang w:val="pt-BR"/>
        </w:rPr>
        <w:t>Até ao fim da aula os alunos devem ser capazes de:</w:t>
      </w:r>
    </w:p>
    <w:p w:rsidR="00070E4E" w:rsidRPr="00070E4E" w:rsidRDefault="00070E4E" w:rsidP="00C52E09">
      <w:pPr>
        <w:pStyle w:val="ListParagraph"/>
        <w:numPr>
          <w:ilvl w:val="0"/>
          <w:numId w:val="79"/>
        </w:numPr>
        <w:spacing w:before="60" w:after="0"/>
        <w:contextualSpacing w:val="0"/>
        <w:rPr>
          <w:rFonts w:cs="Arial"/>
          <w:lang w:val="pt-BR"/>
        </w:rPr>
      </w:pPr>
      <w:r w:rsidRPr="00070E4E">
        <w:rPr>
          <w:rFonts w:cs="Arial"/>
          <w:lang w:val="pt-BR"/>
        </w:rPr>
        <w:t>Listar os géneros de bactérias mais frequentes em Moçambique e identificar as patologias associadas a cada género</w:t>
      </w:r>
    </w:p>
    <w:p w:rsidR="00070E4E" w:rsidRPr="00070E4E" w:rsidRDefault="00070E4E" w:rsidP="0013594B">
      <w:pPr>
        <w:tabs>
          <w:tab w:val="left" w:pos="244"/>
        </w:tabs>
        <w:spacing w:before="60" w:line="240" w:lineRule="auto"/>
        <w:rPr>
          <w:rFonts w:cs="Arial"/>
          <w:lang w:val="pt-BR"/>
        </w:rPr>
      </w:pPr>
    </w:p>
    <w:p w:rsidR="00070E4E" w:rsidRPr="0052785B" w:rsidRDefault="00070E4E" w:rsidP="0052785B">
      <w:pPr>
        <w:rPr>
          <w:b/>
        </w:rPr>
      </w:pPr>
      <w:r w:rsidRPr="0052785B">
        <w:rPr>
          <w:b/>
        </w:rPr>
        <w:t>Estrutura da Aula</w:t>
      </w:r>
    </w:p>
    <w:tbl>
      <w:tblPr>
        <w:tblW w:w="10008" w:type="dxa"/>
        <w:tblBorders>
          <w:top w:val="single" w:sz="18" w:space="0" w:color="auto"/>
          <w:bottom w:val="single" w:sz="18" w:space="0" w:color="auto"/>
        </w:tblBorders>
        <w:tblLayout w:type="fixed"/>
        <w:tblLook w:val="0400" w:firstRow="0" w:lastRow="0" w:firstColumn="0" w:lastColumn="0" w:noHBand="0" w:noVBand="1"/>
      </w:tblPr>
      <w:tblGrid>
        <w:gridCol w:w="738"/>
        <w:gridCol w:w="3690"/>
        <w:gridCol w:w="4050"/>
        <w:gridCol w:w="1530"/>
      </w:tblGrid>
      <w:tr w:rsidR="00070E4E" w:rsidRPr="007A6934" w:rsidTr="00E8674E">
        <w:trPr>
          <w:trHeight w:val="432"/>
        </w:trPr>
        <w:tc>
          <w:tcPr>
            <w:tcW w:w="738" w:type="dxa"/>
            <w:tcBorders>
              <w:top w:val="single" w:sz="18" w:space="0" w:color="auto"/>
              <w:bottom w:val="single" w:sz="18" w:space="0" w:color="auto"/>
              <w:right w:val="single" w:sz="4" w:space="0" w:color="auto"/>
            </w:tcBorders>
            <w:shd w:val="clear" w:color="auto" w:fill="B8CCE4"/>
          </w:tcPr>
          <w:p w:rsidR="00070E4E" w:rsidRPr="007A6934" w:rsidRDefault="00070E4E" w:rsidP="00E8674E">
            <w:pPr>
              <w:spacing w:before="60" w:line="240" w:lineRule="auto"/>
              <w:ind w:left="-110" w:right="-108"/>
              <w:jc w:val="center"/>
              <w:rPr>
                <w:rFonts w:cs="Arial"/>
                <w:b/>
                <w:sz w:val="20"/>
                <w:szCs w:val="20"/>
              </w:rPr>
            </w:pPr>
            <w:r w:rsidRPr="007A6934">
              <w:rPr>
                <w:rFonts w:cs="Arial"/>
                <w:b/>
                <w:sz w:val="20"/>
                <w:szCs w:val="20"/>
              </w:rPr>
              <w:t>Bloco</w:t>
            </w:r>
          </w:p>
        </w:tc>
        <w:tc>
          <w:tcPr>
            <w:tcW w:w="3690" w:type="dxa"/>
            <w:tcBorders>
              <w:top w:val="single" w:sz="18" w:space="0" w:color="auto"/>
              <w:left w:val="single" w:sz="4" w:space="0" w:color="auto"/>
              <w:bottom w:val="single" w:sz="18" w:space="0" w:color="auto"/>
              <w:right w:val="single" w:sz="4" w:space="0" w:color="auto"/>
            </w:tcBorders>
            <w:shd w:val="clear" w:color="auto" w:fill="B8CCE4"/>
          </w:tcPr>
          <w:p w:rsidR="00070E4E" w:rsidRPr="007A6934" w:rsidRDefault="00070E4E" w:rsidP="00E8674E">
            <w:pPr>
              <w:spacing w:before="60" w:line="240" w:lineRule="auto"/>
              <w:jc w:val="center"/>
              <w:rPr>
                <w:rFonts w:cs="Arial"/>
                <w:b/>
                <w:sz w:val="20"/>
                <w:szCs w:val="20"/>
              </w:rPr>
            </w:pPr>
            <w:r w:rsidRPr="007A6934">
              <w:rPr>
                <w:rFonts w:cs="Arial"/>
                <w:b/>
                <w:sz w:val="20"/>
                <w:szCs w:val="20"/>
              </w:rPr>
              <w:t>Título do Bloco</w:t>
            </w:r>
          </w:p>
        </w:tc>
        <w:tc>
          <w:tcPr>
            <w:tcW w:w="4050" w:type="dxa"/>
            <w:tcBorders>
              <w:top w:val="single" w:sz="18" w:space="0" w:color="auto"/>
              <w:left w:val="single" w:sz="4" w:space="0" w:color="auto"/>
              <w:bottom w:val="single" w:sz="18" w:space="0" w:color="auto"/>
              <w:right w:val="single" w:sz="4" w:space="0" w:color="auto"/>
            </w:tcBorders>
            <w:shd w:val="clear" w:color="auto" w:fill="B8CCE4"/>
          </w:tcPr>
          <w:p w:rsidR="00070E4E" w:rsidRPr="007A6934" w:rsidRDefault="00070E4E" w:rsidP="00E8674E">
            <w:pPr>
              <w:tabs>
                <w:tab w:val="left" w:pos="244"/>
              </w:tabs>
              <w:spacing w:before="60" w:line="240" w:lineRule="auto"/>
              <w:jc w:val="center"/>
              <w:rPr>
                <w:rFonts w:cs="Arial"/>
                <w:b/>
                <w:sz w:val="20"/>
                <w:szCs w:val="20"/>
                <w:lang w:val="pt-BR"/>
              </w:rPr>
            </w:pPr>
            <w:r w:rsidRPr="007A6934">
              <w:rPr>
                <w:rFonts w:cs="Arial"/>
                <w:b/>
                <w:sz w:val="20"/>
                <w:szCs w:val="20"/>
              </w:rPr>
              <w:t>M</w:t>
            </w:r>
            <w:r w:rsidRPr="007A6934">
              <w:rPr>
                <w:rFonts w:cs="Arial"/>
                <w:b/>
                <w:sz w:val="20"/>
                <w:szCs w:val="20"/>
                <w:lang w:val="pt-BR"/>
              </w:rPr>
              <w:t>étodo de Ensino</w:t>
            </w:r>
          </w:p>
        </w:tc>
        <w:tc>
          <w:tcPr>
            <w:tcW w:w="1530" w:type="dxa"/>
            <w:tcBorders>
              <w:top w:val="single" w:sz="18" w:space="0" w:color="auto"/>
              <w:left w:val="single" w:sz="4" w:space="0" w:color="auto"/>
              <w:bottom w:val="single" w:sz="18" w:space="0" w:color="auto"/>
            </w:tcBorders>
            <w:shd w:val="clear" w:color="auto" w:fill="B8CCE4"/>
          </w:tcPr>
          <w:p w:rsidR="00070E4E" w:rsidRPr="007A6934" w:rsidRDefault="00070E4E" w:rsidP="00E8674E">
            <w:pPr>
              <w:tabs>
                <w:tab w:val="left" w:pos="244"/>
              </w:tabs>
              <w:spacing w:before="60" w:line="240" w:lineRule="auto"/>
              <w:jc w:val="center"/>
              <w:rPr>
                <w:rFonts w:cs="Arial"/>
                <w:b/>
                <w:sz w:val="20"/>
                <w:szCs w:val="20"/>
                <w:lang w:val="pt-BR"/>
              </w:rPr>
            </w:pPr>
            <w:r w:rsidRPr="007A6934">
              <w:rPr>
                <w:rFonts w:cs="Arial"/>
                <w:b/>
                <w:sz w:val="20"/>
                <w:szCs w:val="20"/>
              </w:rPr>
              <w:t>Duração</w:t>
            </w:r>
          </w:p>
        </w:tc>
      </w:tr>
      <w:tr w:rsidR="00070E4E" w:rsidRPr="007A6934" w:rsidTr="00E8674E">
        <w:tc>
          <w:tcPr>
            <w:tcW w:w="738" w:type="dxa"/>
            <w:tcBorders>
              <w:top w:val="single" w:sz="18" w:space="0" w:color="auto"/>
              <w:bottom w:val="single" w:sz="4" w:space="0" w:color="auto"/>
              <w:right w:val="single" w:sz="4" w:space="0" w:color="auto"/>
            </w:tcBorders>
          </w:tcPr>
          <w:p w:rsidR="00070E4E" w:rsidRPr="007F10EF" w:rsidRDefault="00070E4E" w:rsidP="00E8674E">
            <w:pPr>
              <w:spacing w:before="60" w:after="60" w:line="360" w:lineRule="auto"/>
              <w:ind w:left="-110" w:right="-108"/>
              <w:jc w:val="center"/>
              <w:rPr>
                <w:rFonts w:cs="Arial"/>
                <w:sz w:val="20"/>
                <w:szCs w:val="20"/>
              </w:rPr>
            </w:pPr>
            <w:r w:rsidRPr="007F10EF">
              <w:rPr>
                <w:rFonts w:cs="Arial"/>
                <w:sz w:val="20"/>
                <w:szCs w:val="20"/>
              </w:rPr>
              <w:t>1</w:t>
            </w:r>
          </w:p>
        </w:tc>
        <w:tc>
          <w:tcPr>
            <w:tcW w:w="3690" w:type="dxa"/>
            <w:tcBorders>
              <w:top w:val="single" w:sz="18" w:space="0" w:color="auto"/>
              <w:left w:val="single" w:sz="4" w:space="0" w:color="auto"/>
              <w:bottom w:val="single" w:sz="4" w:space="0" w:color="auto"/>
              <w:right w:val="single" w:sz="4" w:space="0" w:color="auto"/>
            </w:tcBorders>
            <w:vAlign w:val="center"/>
          </w:tcPr>
          <w:p w:rsidR="00070E4E" w:rsidRPr="007F10EF" w:rsidRDefault="00070E4E" w:rsidP="00E8674E">
            <w:pPr>
              <w:tabs>
                <w:tab w:val="left" w:pos="244"/>
              </w:tabs>
              <w:spacing w:before="60" w:after="60" w:line="360" w:lineRule="auto"/>
              <w:rPr>
                <w:rFonts w:cs="Arial"/>
                <w:sz w:val="20"/>
                <w:szCs w:val="20"/>
              </w:rPr>
            </w:pPr>
            <w:r w:rsidRPr="007F10EF">
              <w:rPr>
                <w:rFonts w:cs="Arial"/>
                <w:sz w:val="20"/>
                <w:szCs w:val="20"/>
              </w:rPr>
              <w:t>Introdução à Aula</w:t>
            </w:r>
          </w:p>
        </w:tc>
        <w:tc>
          <w:tcPr>
            <w:tcW w:w="4050" w:type="dxa"/>
            <w:tcBorders>
              <w:top w:val="single" w:sz="18" w:space="0" w:color="auto"/>
              <w:left w:val="single" w:sz="4" w:space="0" w:color="auto"/>
              <w:bottom w:val="single" w:sz="4" w:space="0" w:color="auto"/>
              <w:right w:val="single" w:sz="4" w:space="0" w:color="auto"/>
            </w:tcBorders>
          </w:tcPr>
          <w:p w:rsidR="00070E4E" w:rsidRPr="007F10EF" w:rsidRDefault="00070E4E" w:rsidP="00E8674E">
            <w:pPr>
              <w:tabs>
                <w:tab w:val="left" w:pos="244"/>
              </w:tabs>
              <w:spacing w:before="60" w:after="60" w:line="360" w:lineRule="auto"/>
              <w:rPr>
                <w:rFonts w:cs="Arial"/>
                <w:sz w:val="20"/>
                <w:szCs w:val="20"/>
              </w:rPr>
            </w:pPr>
          </w:p>
        </w:tc>
        <w:tc>
          <w:tcPr>
            <w:tcW w:w="1530" w:type="dxa"/>
            <w:tcBorders>
              <w:top w:val="single" w:sz="18" w:space="0" w:color="auto"/>
              <w:left w:val="single" w:sz="4" w:space="0" w:color="auto"/>
              <w:bottom w:val="single" w:sz="4" w:space="0" w:color="auto"/>
            </w:tcBorders>
          </w:tcPr>
          <w:p w:rsidR="00070E4E" w:rsidRPr="007F10EF" w:rsidRDefault="00070E4E" w:rsidP="00E8674E">
            <w:pPr>
              <w:tabs>
                <w:tab w:val="left" w:pos="244"/>
              </w:tabs>
              <w:spacing w:before="60" w:after="60" w:line="360" w:lineRule="auto"/>
              <w:jc w:val="right"/>
              <w:rPr>
                <w:rFonts w:cs="Arial"/>
                <w:sz w:val="20"/>
                <w:szCs w:val="20"/>
              </w:rPr>
            </w:pPr>
          </w:p>
        </w:tc>
      </w:tr>
      <w:tr w:rsidR="00070E4E" w:rsidRPr="00FC6E81" w:rsidTr="00E8674E">
        <w:tc>
          <w:tcPr>
            <w:tcW w:w="738" w:type="dxa"/>
            <w:tcBorders>
              <w:top w:val="single" w:sz="4" w:space="0" w:color="auto"/>
              <w:bottom w:val="single" w:sz="4" w:space="0" w:color="auto"/>
              <w:right w:val="single" w:sz="4" w:space="0" w:color="auto"/>
            </w:tcBorders>
            <w:shd w:val="clear" w:color="auto" w:fill="D9D9D9"/>
          </w:tcPr>
          <w:p w:rsidR="00070E4E" w:rsidRPr="007F10EF" w:rsidRDefault="00070E4E" w:rsidP="00E8674E">
            <w:pPr>
              <w:spacing w:before="60" w:after="60" w:line="360" w:lineRule="auto"/>
              <w:ind w:left="-110" w:right="-108"/>
              <w:jc w:val="center"/>
              <w:rPr>
                <w:rFonts w:cs="Arial"/>
                <w:sz w:val="20"/>
                <w:szCs w:val="20"/>
              </w:rPr>
            </w:pPr>
            <w:r w:rsidRPr="007F10EF">
              <w:rPr>
                <w:rFonts w:cs="Arial"/>
                <w:sz w:val="20"/>
                <w:szCs w:val="20"/>
              </w:rPr>
              <w:t>2</w:t>
            </w:r>
          </w:p>
        </w:tc>
        <w:tc>
          <w:tcPr>
            <w:tcW w:w="3690" w:type="dxa"/>
            <w:tcBorders>
              <w:top w:val="single" w:sz="4" w:space="0" w:color="auto"/>
              <w:left w:val="single" w:sz="4" w:space="0" w:color="auto"/>
              <w:bottom w:val="single" w:sz="4" w:space="0" w:color="auto"/>
              <w:right w:val="single" w:sz="4" w:space="0" w:color="auto"/>
            </w:tcBorders>
            <w:shd w:val="clear" w:color="auto" w:fill="D9D9D9"/>
          </w:tcPr>
          <w:p w:rsidR="00070E4E" w:rsidRPr="00070E4E" w:rsidRDefault="00070E4E" w:rsidP="00E8674E">
            <w:pPr>
              <w:spacing w:before="60"/>
              <w:rPr>
                <w:color w:val="000000"/>
                <w:sz w:val="20"/>
                <w:szCs w:val="20"/>
                <w:lang w:val="pt-BR"/>
              </w:rPr>
            </w:pPr>
            <w:r w:rsidRPr="00070E4E">
              <w:rPr>
                <w:color w:val="000000"/>
                <w:sz w:val="20"/>
                <w:szCs w:val="20"/>
                <w:lang w:val="pt-BR"/>
              </w:rPr>
              <w:t>Patógenos com Parede Celular, Gram negativos</w:t>
            </w:r>
          </w:p>
        </w:tc>
        <w:tc>
          <w:tcPr>
            <w:tcW w:w="4050" w:type="dxa"/>
            <w:tcBorders>
              <w:top w:val="single" w:sz="4" w:space="0" w:color="auto"/>
              <w:left w:val="single" w:sz="4" w:space="0" w:color="auto"/>
              <w:bottom w:val="single" w:sz="4" w:space="0" w:color="auto"/>
              <w:right w:val="single" w:sz="4" w:space="0" w:color="auto"/>
            </w:tcBorders>
            <w:shd w:val="clear" w:color="auto" w:fill="D9D9D9"/>
          </w:tcPr>
          <w:p w:rsidR="00070E4E" w:rsidRPr="00762E65" w:rsidRDefault="00070E4E" w:rsidP="00E8674E">
            <w:pPr>
              <w:tabs>
                <w:tab w:val="left" w:pos="244"/>
              </w:tabs>
              <w:spacing w:before="60" w:after="60" w:line="360" w:lineRule="auto"/>
              <w:rPr>
                <w:rFonts w:cs="Arial"/>
                <w:sz w:val="20"/>
                <w:szCs w:val="20"/>
                <w:lang w:val="pt-BR"/>
              </w:rPr>
            </w:pPr>
          </w:p>
        </w:tc>
        <w:tc>
          <w:tcPr>
            <w:tcW w:w="1530" w:type="dxa"/>
            <w:tcBorders>
              <w:top w:val="single" w:sz="4" w:space="0" w:color="auto"/>
              <w:left w:val="single" w:sz="4" w:space="0" w:color="auto"/>
              <w:bottom w:val="single" w:sz="4" w:space="0" w:color="auto"/>
            </w:tcBorders>
            <w:shd w:val="clear" w:color="auto" w:fill="D9D9D9"/>
          </w:tcPr>
          <w:p w:rsidR="00070E4E" w:rsidRPr="00762E65" w:rsidRDefault="00070E4E" w:rsidP="00E8674E">
            <w:pPr>
              <w:tabs>
                <w:tab w:val="left" w:pos="244"/>
              </w:tabs>
              <w:spacing w:before="60" w:after="60" w:line="360" w:lineRule="auto"/>
              <w:jc w:val="right"/>
              <w:rPr>
                <w:rFonts w:cs="Arial"/>
                <w:sz w:val="20"/>
                <w:szCs w:val="20"/>
                <w:lang w:val="pt-BR"/>
              </w:rPr>
            </w:pPr>
          </w:p>
        </w:tc>
      </w:tr>
      <w:tr w:rsidR="00070E4E" w:rsidRPr="00FC6E81" w:rsidTr="00E8674E">
        <w:tc>
          <w:tcPr>
            <w:tcW w:w="738" w:type="dxa"/>
            <w:tcBorders>
              <w:top w:val="single" w:sz="4" w:space="0" w:color="auto"/>
              <w:bottom w:val="single" w:sz="4" w:space="0" w:color="auto"/>
              <w:right w:val="single" w:sz="4" w:space="0" w:color="auto"/>
            </w:tcBorders>
          </w:tcPr>
          <w:p w:rsidR="00070E4E" w:rsidRPr="007F10EF" w:rsidRDefault="00070E4E" w:rsidP="00E8674E">
            <w:pPr>
              <w:spacing w:before="60" w:after="60" w:line="360" w:lineRule="auto"/>
              <w:ind w:left="-110" w:right="-108"/>
              <w:jc w:val="center"/>
              <w:rPr>
                <w:rFonts w:cs="Arial"/>
                <w:sz w:val="20"/>
                <w:szCs w:val="20"/>
              </w:rPr>
            </w:pPr>
            <w:r w:rsidRPr="007F10EF">
              <w:rPr>
                <w:rFonts w:cs="Arial"/>
                <w:sz w:val="20"/>
                <w:szCs w:val="20"/>
              </w:rPr>
              <w:t>3</w:t>
            </w:r>
          </w:p>
        </w:tc>
        <w:tc>
          <w:tcPr>
            <w:tcW w:w="3690" w:type="dxa"/>
            <w:tcBorders>
              <w:top w:val="single" w:sz="4" w:space="0" w:color="auto"/>
              <w:left w:val="single" w:sz="4" w:space="0" w:color="auto"/>
              <w:bottom w:val="single" w:sz="4" w:space="0" w:color="auto"/>
              <w:right w:val="single" w:sz="4" w:space="0" w:color="auto"/>
            </w:tcBorders>
          </w:tcPr>
          <w:p w:rsidR="00070E4E" w:rsidRPr="00070E4E" w:rsidRDefault="00070E4E" w:rsidP="00E8674E">
            <w:pPr>
              <w:spacing w:before="60"/>
              <w:rPr>
                <w:iCs/>
                <w:color w:val="000000"/>
                <w:sz w:val="20"/>
                <w:szCs w:val="20"/>
                <w:lang w:val="pt-BR"/>
              </w:rPr>
            </w:pPr>
            <w:r w:rsidRPr="00070E4E">
              <w:rPr>
                <w:iCs/>
                <w:color w:val="000000"/>
                <w:sz w:val="20"/>
                <w:szCs w:val="20"/>
                <w:lang w:val="pt-BR"/>
              </w:rPr>
              <w:t>Patógenos com Parede Celular, Gram-positivos e Álcool-Ácido-Resistentes</w:t>
            </w:r>
          </w:p>
        </w:tc>
        <w:tc>
          <w:tcPr>
            <w:tcW w:w="4050" w:type="dxa"/>
            <w:tcBorders>
              <w:top w:val="single" w:sz="4" w:space="0" w:color="auto"/>
              <w:left w:val="single" w:sz="4" w:space="0" w:color="auto"/>
              <w:bottom w:val="single" w:sz="4" w:space="0" w:color="auto"/>
              <w:right w:val="single" w:sz="4" w:space="0" w:color="auto"/>
            </w:tcBorders>
          </w:tcPr>
          <w:p w:rsidR="00070E4E" w:rsidRPr="00762E65" w:rsidRDefault="00070E4E" w:rsidP="00E8674E">
            <w:pPr>
              <w:spacing w:before="60" w:after="60" w:line="360" w:lineRule="auto"/>
              <w:ind w:left="-18" w:firstLine="18"/>
              <w:rPr>
                <w:rFonts w:cs="Arial"/>
                <w:sz w:val="20"/>
                <w:szCs w:val="20"/>
                <w:lang w:val="pt-BR"/>
              </w:rPr>
            </w:pPr>
          </w:p>
        </w:tc>
        <w:tc>
          <w:tcPr>
            <w:tcW w:w="1530" w:type="dxa"/>
            <w:tcBorders>
              <w:top w:val="single" w:sz="4" w:space="0" w:color="auto"/>
              <w:left w:val="single" w:sz="4" w:space="0" w:color="auto"/>
              <w:bottom w:val="single" w:sz="4" w:space="0" w:color="auto"/>
            </w:tcBorders>
          </w:tcPr>
          <w:p w:rsidR="00070E4E" w:rsidRPr="00762E65" w:rsidRDefault="00070E4E" w:rsidP="00E8674E">
            <w:pPr>
              <w:spacing w:before="60" w:after="60" w:line="360" w:lineRule="auto"/>
              <w:ind w:left="-18" w:firstLine="18"/>
              <w:jc w:val="right"/>
              <w:rPr>
                <w:rFonts w:cs="Arial"/>
                <w:sz w:val="20"/>
                <w:szCs w:val="20"/>
                <w:lang w:val="pt-BR"/>
              </w:rPr>
            </w:pPr>
          </w:p>
        </w:tc>
      </w:tr>
      <w:tr w:rsidR="00070E4E" w:rsidRPr="007A6934" w:rsidTr="00E8674E">
        <w:tc>
          <w:tcPr>
            <w:tcW w:w="738" w:type="dxa"/>
            <w:tcBorders>
              <w:top w:val="single" w:sz="4" w:space="0" w:color="auto"/>
              <w:bottom w:val="single" w:sz="4" w:space="0" w:color="auto"/>
              <w:right w:val="single" w:sz="4" w:space="0" w:color="auto"/>
            </w:tcBorders>
            <w:shd w:val="clear" w:color="auto" w:fill="D9D9D9"/>
          </w:tcPr>
          <w:p w:rsidR="00070E4E" w:rsidRPr="007F10EF" w:rsidRDefault="00070E4E" w:rsidP="00E8674E">
            <w:pPr>
              <w:spacing w:before="60" w:after="60" w:line="360" w:lineRule="auto"/>
              <w:ind w:left="-110" w:right="-108"/>
              <w:jc w:val="center"/>
              <w:rPr>
                <w:rFonts w:cs="Arial"/>
                <w:sz w:val="20"/>
                <w:szCs w:val="20"/>
              </w:rPr>
            </w:pPr>
            <w:r>
              <w:rPr>
                <w:rFonts w:cs="Arial"/>
                <w:sz w:val="20"/>
                <w:szCs w:val="20"/>
              </w:rPr>
              <w:t>4</w:t>
            </w:r>
          </w:p>
        </w:tc>
        <w:tc>
          <w:tcPr>
            <w:tcW w:w="3690" w:type="dxa"/>
            <w:tcBorders>
              <w:top w:val="single" w:sz="4" w:space="0" w:color="auto"/>
              <w:left w:val="single" w:sz="4" w:space="0" w:color="auto"/>
              <w:bottom w:val="single" w:sz="4" w:space="0" w:color="auto"/>
              <w:right w:val="single" w:sz="4" w:space="0" w:color="auto"/>
            </w:tcBorders>
            <w:shd w:val="clear" w:color="auto" w:fill="D9D9D9"/>
          </w:tcPr>
          <w:p w:rsidR="00070E4E" w:rsidRPr="00815CB7" w:rsidRDefault="00070E4E" w:rsidP="00E8674E">
            <w:pPr>
              <w:spacing w:before="60"/>
              <w:rPr>
                <w:iCs/>
                <w:color w:val="000000"/>
                <w:sz w:val="20"/>
                <w:szCs w:val="20"/>
              </w:rPr>
            </w:pPr>
            <w:r w:rsidRPr="00815CB7">
              <w:rPr>
                <w:iCs/>
                <w:color w:val="000000"/>
                <w:sz w:val="20"/>
                <w:szCs w:val="20"/>
              </w:rPr>
              <w:t>Patógenos sem Parede Celular</w:t>
            </w:r>
          </w:p>
        </w:tc>
        <w:tc>
          <w:tcPr>
            <w:tcW w:w="4050" w:type="dxa"/>
            <w:tcBorders>
              <w:top w:val="single" w:sz="4" w:space="0" w:color="auto"/>
              <w:left w:val="single" w:sz="4" w:space="0" w:color="auto"/>
              <w:bottom w:val="single" w:sz="4" w:space="0" w:color="auto"/>
              <w:right w:val="single" w:sz="4" w:space="0" w:color="auto"/>
            </w:tcBorders>
            <w:shd w:val="clear" w:color="auto" w:fill="D9D9D9"/>
          </w:tcPr>
          <w:p w:rsidR="00070E4E" w:rsidRPr="007F10EF" w:rsidRDefault="00070E4E" w:rsidP="00E8674E">
            <w:pPr>
              <w:spacing w:before="60" w:after="60" w:line="360" w:lineRule="auto"/>
              <w:ind w:left="-18" w:firstLine="18"/>
              <w:rPr>
                <w:rFonts w:cs="Arial"/>
                <w:sz w:val="20"/>
                <w:szCs w:val="20"/>
              </w:rPr>
            </w:pPr>
          </w:p>
        </w:tc>
        <w:tc>
          <w:tcPr>
            <w:tcW w:w="1530" w:type="dxa"/>
            <w:tcBorders>
              <w:top w:val="single" w:sz="4" w:space="0" w:color="auto"/>
              <w:left w:val="single" w:sz="4" w:space="0" w:color="auto"/>
              <w:bottom w:val="single" w:sz="4" w:space="0" w:color="auto"/>
            </w:tcBorders>
            <w:shd w:val="clear" w:color="auto" w:fill="D9D9D9"/>
          </w:tcPr>
          <w:p w:rsidR="00070E4E" w:rsidRPr="007F10EF" w:rsidRDefault="00070E4E" w:rsidP="00E8674E">
            <w:pPr>
              <w:spacing w:before="60" w:after="60" w:line="360" w:lineRule="auto"/>
              <w:ind w:left="-18" w:firstLine="18"/>
              <w:jc w:val="right"/>
              <w:rPr>
                <w:rFonts w:cs="Arial"/>
                <w:sz w:val="20"/>
                <w:szCs w:val="20"/>
              </w:rPr>
            </w:pPr>
          </w:p>
        </w:tc>
      </w:tr>
      <w:tr w:rsidR="00070E4E" w:rsidRPr="007A6934" w:rsidTr="00E8674E">
        <w:tc>
          <w:tcPr>
            <w:tcW w:w="738" w:type="dxa"/>
            <w:tcBorders>
              <w:top w:val="single" w:sz="4" w:space="0" w:color="auto"/>
              <w:bottom w:val="single" w:sz="18" w:space="0" w:color="auto"/>
              <w:right w:val="single" w:sz="4" w:space="0" w:color="auto"/>
            </w:tcBorders>
            <w:shd w:val="clear" w:color="auto" w:fill="auto"/>
          </w:tcPr>
          <w:p w:rsidR="00070E4E" w:rsidRPr="007F10EF" w:rsidRDefault="00070E4E" w:rsidP="00E8674E">
            <w:pPr>
              <w:spacing w:before="60" w:after="60" w:line="360" w:lineRule="auto"/>
              <w:ind w:left="-110" w:right="-108"/>
              <w:jc w:val="center"/>
              <w:rPr>
                <w:rFonts w:cs="Arial"/>
                <w:sz w:val="20"/>
                <w:szCs w:val="20"/>
              </w:rPr>
            </w:pPr>
            <w:r>
              <w:rPr>
                <w:rFonts w:cs="Arial"/>
                <w:sz w:val="20"/>
                <w:szCs w:val="20"/>
              </w:rPr>
              <w:t>5</w:t>
            </w:r>
          </w:p>
        </w:tc>
        <w:tc>
          <w:tcPr>
            <w:tcW w:w="3690" w:type="dxa"/>
            <w:tcBorders>
              <w:top w:val="single" w:sz="4" w:space="0" w:color="auto"/>
              <w:left w:val="single" w:sz="4" w:space="0" w:color="auto"/>
              <w:bottom w:val="single" w:sz="18" w:space="0" w:color="auto"/>
              <w:right w:val="single" w:sz="4" w:space="0" w:color="auto"/>
            </w:tcBorders>
            <w:shd w:val="clear" w:color="auto" w:fill="auto"/>
            <w:vAlign w:val="center"/>
          </w:tcPr>
          <w:p w:rsidR="00070E4E" w:rsidRPr="007F10EF" w:rsidRDefault="00070E4E" w:rsidP="00E8674E">
            <w:pPr>
              <w:tabs>
                <w:tab w:val="left" w:pos="244"/>
              </w:tabs>
              <w:spacing w:before="60" w:after="60" w:line="360" w:lineRule="auto"/>
              <w:rPr>
                <w:rFonts w:cs="Arial"/>
                <w:i/>
                <w:iCs/>
                <w:sz w:val="20"/>
                <w:szCs w:val="20"/>
              </w:rPr>
            </w:pPr>
            <w:r w:rsidRPr="007F10EF">
              <w:rPr>
                <w:rFonts w:cs="Arial"/>
                <w:sz w:val="20"/>
                <w:szCs w:val="20"/>
              </w:rPr>
              <w:t>Pontos-chave</w:t>
            </w:r>
          </w:p>
        </w:tc>
        <w:tc>
          <w:tcPr>
            <w:tcW w:w="4050" w:type="dxa"/>
            <w:tcBorders>
              <w:top w:val="single" w:sz="4" w:space="0" w:color="auto"/>
              <w:left w:val="single" w:sz="4" w:space="0" w:color="auto"/>
              <w:bottom w:val="single" w:sz="18" w:space="0" w:color="auto"/>
              <w:right w:val="single" w:sz="4" w:space="0" w:color="auto"/>
            </w:tcBorders>
            <w:shd w:val="clear" w:color="auto" w:fill="auto"/>
          </w:tcPr>
          <w:p w:rsidR="00070E4E" w:rsidRPr="007F10EF" w:rsidRDefault="00070E4E" w:rsidP="00E8674E">
            <w:pPr>
              <w:spacing w:before="60" w:after="60" w:line="360" w:lineRule="auto"/>
              <w:ind w:left="-18" w:firstLine="18"/>
              <w:rPr>
                <w:rFonts w:cs="Arial"/>
                <w:sz w:val="20"/>
                <w:szCs w:val="20"/>
              </w:rPr>
            </w:pPr>
          </w:p>
        </w:tc>
        <w:tc>
          <w:tcPr>
            <w:tcW w:w="1530" w:type="dxa"/>
            <w:tcBorders>
              <w:top w:val="single" w:sz="4" w:space="0" w:color="auto"/>
              <w:left w:val="single" w:sz="4" w:space="0" w:color="auto"/>
              <w:bottom w:val="single" w:sz="18" w:space="0" w:color="auto"/>
            </w:tcBorders>
            <w:shd w:val="clear" w:color="auto" w:fill="auto"/>
          </w:tcPr>
          <w:p w:rsidR="00070E4E" w:rsidRPr="007F10EF" w:rsidRDefault="00070E4E" w:rsidP="00E8674E">
            <w:pPr>
              <w:spacing w:before="60" w:after="60" w:line="360" w:lineRule="auto"/>
              <w:ind w:left="-18" w:firstLine="18"/>
              <w:jc w:val="right"/>
              <w:rPr>
                <w:rFonts w:cs="Arial"/>
                <w:sz w:val="20"/>
                <w:szCs w:val="20"/>
              </w:rPr>
            </w:pPr>
          </w:p>
        </w:tc>
      </w:tr>
    </w:tbl>
    <w:p w:rsidR="00070E4E" w:rsidRDefault="00070E4E" w:rsidP="00070E4E">
      <w:pPr>
        <w:tabs>
          <w:tab w:val="left" w:pos="424"/>
        </w:tabs>
        <w:jc w:val="both"/>
        <w:rPr>
          <w:rFonts w:cs="Arial"/>
          <w:b/>
          <w:lang w:val="pt-BR"/>
        </w:rPr>
      </w:pPr>
    </w:p>
    <w:p w:rsidR="00070E4E" w:rsidRPr="00D67BAC" w:rsidRDefault="00070E4E" w:rsidP="00070E4E">
      <w:pPr>
        <w:tabs>
          <w:tab w:val="left" w:pos="424"/>
        </w:tabs>
        <w:jc w:val="both"/>
        <w:rPr>
          <w:rFonts w:cs="Arial"/>
          <w:b/>
          <w:lang w:val="pt-BR"/>
        </w:rPr>
      </w:pPr>
      <w:r w:rsidRPr="00D67BAC">
        <w:rPr>
          <w:rFonts w:cs="Arial"/>
          <w:b/>
          <w:lang w:val="pt-BR"/>
        </w:rPr>
        <w:t>Equipamentos e meios audiovisuais necessários:</w:t>
      </w:r>
    </w:p>
    <w:p w:rsidR="00070E4E" w:rsidRDefault="00070E4E" w:rsidP="00070E4E">
      <w:pPr>
        <w:tabs>
          <w:tab w:val="left" w:pos="424"/>
        </w:tabs>
        <w:jc w:val="both"/>
        <w:rPr>
          <w:rFonts w:cs="Arial"/>
          <w:lang w:val="pt-BR"/>
        </w:rPr>
      </w:pPr>
    </w:p>
    <w:p w:rsidR="00070E4E" w:rsidRDefault="00070E4E" w:rsidP="00070E4E">
      <w:pPr>
        <w:tabs>
          <w:tab w:val="left" w:pos="424"/>
        </w:tabs>
        <w:jc w:val="both"/>
        <w:rPr>
          <w:rFonts w:cs="Arial"/>
          <w:lang w:val="pt-BR"/>
        </w:rPr>
      </w:pPr>
    </w:p>
    <w:p w:rsidR="00070E4E" w:rsidRDefault="00070E4E" w:rsidP="00070E4E">
      <w:pPr>
        <w:tabs>
          <w:tab w:val="left" w:pos="424"/>
        </w:tabs>
        <w:jc w:val="both"/>
        <w:rPr>
          <w:rFonts w:cs="Arial"/>
          <w:lang w:val="pt-BR"/>
        </w:rPr>
      </w:pPr>
    </w:p>
    <w:p w:rsidR="0013594B" w:rsidRDefault="0013594B" w:rsidP="00070E4E">
      <w:pPr>
        <w:tabs>
          <w:tab w:val="left" w:pos="424"/>
        </w:tabs>
        <w:jc w:val="both"/>
        <w:rPr>
          <w:rFonts w:cs="Arial"/>
          <w:lang w:val="pt-BR"/>
        </w:rPr>
      </w:pPr>
    </w:p>
    <w:p w:rsidR="00070E4E" w:rsidRPr="00D67BAC" w:rsidRDefault="00070E4E" w:rsidP="00070E4E">
      <w:pPr>
        <w:tabs>
          <w:tab w:val="left" w:pos="424"/>
        </w:tabs>
        <w:jc w:val="both"/>
        <w:rPr>
          <w:rFonts w:cs="Arial"/>
          <w:lang w:val="pt-BR"/>
        </w:rPr>
      </w:pPr>
      <w:r w:rsidRPr="00D67BAC">
        <w:rPr>
          <w:rFonts w:cs="Arial"/>
          <w:b/>
          <w:lang w:val="pt-BR"/>
        </w:rPr>
        <w:t>Trabalhos para casa (TPC), Exercícios e textos para leitura – incluir data a ser entregue:</w:t>
      </w:r>
      <w:r w:rsidRPr="00D67BAC">
        <w:rPr>
          <w:rFonts w:cs="Arial"/>
          <w:lang w:val="pt-BR"/>
        </w:rPr>
        <w:t xml:space="preserve"> </w:t>
      </w:r>
    </w:p>
    <w:p w:rsidR="00070E4E" w:rsidRDefault="00070E4E" w:rsidP="00070E4E">
      <w:pPr>
        <w:tabs>
          <w:tab w:val="left" w:pos="424"/>
        </w:tabs>
        <w:jc w:val="both"/>
        <w:rPr>
          <w:rFonts w:cs="Arial"/>
          <w:b/>
          <w:lang w:val="pt-BR"/>
        </w:rPr>
      </w:pPr>
    </w:p>
    <w:p w:rsidR="00070E4E" w:rsidRDefault="00070E4E" w:rsidP="00070E4E">
      <w:pPr>
        <w:tabs>
          <w:tab w:val="left" w:pos="424"/>
        </w:tabs>
        <w:jc w:val="both"/>
        <w:rPr>
          <w:rFonts w:cs="Arial"/>
          <w:b/>
          <w:lang w:val="pt-BR"/>
        </w:rPr>
      </w:pPr>
    </w:p>
    <w:p w:rsidR="00070E4E" w:rsidRDefault="00070E4E" w:rsidP="00070E4E">
      <w:pPr>
        <w:tabs>
          <w:tab w:val="left" w:pos="424"/>
        </w:tabs>
        <w:jc w:val="both"/>
        <w:rPr>
          <w:rFonts w:cs="Arial"/>
          <w:b/>
          <w:lang w:val="pt-BR"/>
        </w:rPr>
      </w:pPr>
    </w:p>
    <w:p w:rsidR="00070E4E" w:rsidRPr="00D67BAC" w:rsidRDefault="00070E4E" w:rsidP="00070E4E">
      <w:pPr>
        <w:tabs>
          <w:tab w:val="left" w:pos="424"/>
        </w:tabs>
        <w:jc w:val="both"/>
        <w:rPr>
          <w:rFonts w:cs="Arial"/>
          <w:b/>
          <w:lang w:val="pt-BR"/>
        </w:rPr>
      </w:pPr>
      <w:r>
        <w:rPr>
          <w:rFonts w:cs="Arial"/>
          <w:b/>
          <w:lang w:val="pt-BR"/>
        </w:rPr>
        <w:t>B</w:t>
      </w:r>
      <w:r w:rsidRPr="00D67BAC">
        <w:rPr>
          <w:rFonts w:cs="Arial"/>
          <w:b/>
          <w:lang w:val="pt-BR"/>
        </w:rPr>
        <w:t>ibliografia (referências usadas para o desenvolvimento do conteúdo):</w:t>
      </w:r>
    </w:p>
    <w:p w:rsidR="00070E4E" w:rsidRPr="00762E65" w:rsidRDefault="00070E4E" w:rsidP="00070E4E">
      <w:pPr>
        <w:rPr>
          <w:lang w:val="pt-BR"/>
        </w:rPr>
      </w:pPr>
      <w:r w:rsidRPr="00C27151">
        <w:rPr>
          <w:lang w:val="pt-BR"/>
        </w:rPr>
        <w:t xml:space="preserve">Engelkirk, P.G. Gwendolyn, B. Microbiologia para as Ciências da Saúde. 7ª. Ed. Guanabara Koogan. </w:t>
      </w:r>
    </w:p>
    <w:p w:rsidR="00070E4E" w:rsidRPr="00F47FAF" w:rsidRDefault="00070E4E" w:rsidP="00070E4E">
      <w:pPr>
        <w:rPr>
          <w:b/>
          <w:lang w:val="pt-BR"/>
        </w:rPr>
      </w:pPr>
      <w:r w:rsidRPr="00070E4E">
        <w:rPr>
          <w:lang w:val="pt-BR"/>
        </w:rPr>
        <w:t xml:space="preserve">Jawetz, M. Adelberg. Microbiologia Médica. </w:t>
      </w:r>
      <w:r w:rsidRPr="00F47FAF">
        <w:rPr>
          <w:lang w:val="pt-BR"/>
        </w:rPr>
        <w:t>22ª. Ed. McGraw Hill, 2004.</w:t>
      </w:r>
    </w:p>
    <w:p w:rsidR="00070E4E" w:rsidRPr="00F47FAF" w:rsidRDefault="00070E4E" w:rsidP="00070E4E">
      <w:pPr>
        <w:pStyle w:val="ListParagraph"/>
        <w:tabs>
          <w:tab w:val="left" w:pos="424"/>
          <w:tab w:val="left" w:pos="720"/>
        </w:tabs>
        <w:spacing w:before="120" w:after="240" w:line="240" w:lineRule="auto"/>
        <w:jc w:val="both"/>
        <w:outlineLvl w:val="0"/>
        <w:rPr>
          <w:rFonts w:cs="Arial"/>
          <w:b/>
          <w:bCs/>
          <w:lang w:val="pt-BR"/>
        </w:rPr>
      </w:pPr>
      <w:r w:rsidRPr="00F47FAF">
        <w:rPr>
          <w:rFonts w:cs="Arial"/>
          <w:b/>
          <w:bCs/>
          <w:lang w:val="pt-BR"/>
        </w:rPr>
        <w:br w:type="page"/>
      </w:r>
    </w:p>
    <w:p w:rsidR="00070E4E" w:rsidRPr="00F47FAF" w:rsidRDefault="00070E4E" w:rsidP="00070E4E">
      <w:pPr>
        <w:shd w:val="clear" w:color="auto" w:fill="B8CCE4"/>
        <w:tabs>
          <w:tab w:val="left" w:pos="1276"/>
          <w:tab w:val="right" w:pos="8550"/>
        </w:tabs>
        <w:spacing w:before="120" w:after="120"/>
        <w:ind w:right="2"/>
        <w:jc w:val="both"/>
        <w:rPr>
          <w:rFonts w:cs="Arial"/>
          <w:b/>
          <w:sz w:val="24"/>
          <w:szCs w:val="24"/>
          <w:lang w:val="pt-BR"/>
        </w:rPr>
      </w:pPr>
      <w:r w:rsidRPr="00F47FAF">
        <w:rPr>
          <w:rFonts w:cs="Arial"/>
          <w:b/>
          <w:sz w:val="24"/>
          <w:szCs w:val="24"/>
          <w:lang w:val="pt-BR"/>
        </w:rPr>
        <w:lastRenderedPageBreak/>
        <w:t>BLOCO 1: INTRODUÇÃO À AULA</w:t>
      </w:r>
    </w:p>
    <w:p w:rsidR="00070E4E" w:rsidRDefault="00070E4E" w:rsidP="00C52E09">
      <w:pPr>
        <w:pStyle w:val="ListParagraph"/>
        <w:numPr>
          <w:ilvl w:val="1"/>
          <w:numId w:val="79"/>
        </w:numPr>
        <w:spacing w:before="120" w:after="0"/>
        <w:ind w:left="540" w:right="2" w:hanging="540"/>
        <w:jc w:val="both"/>
        <w:rPr>
          <w:rFonts w:cs="Arial"/>
          <w:lang w:val="pt-BR"/>
        </w:rPr>
      </w:pPr>
      <w:r w:rsidRPr="00070E4E">
        <w:rPr>
          <w:rFonts w:cs="Arial"/>
          <w:lang w:val="pt-BR"/>
        </w:rPr>
        <w:t>Apresentação do tópico, conteúdos e objectivos de aprendizagem.</w:t>
      </w:r>
    </w:p>
    <w:p w:rsidR="00070E4E" w:rsidRDefault="00070E4E" w:rsidP="00C52E09">
      <w:pPr>
        <w:pStyle w:val="ListParagraph"/>
        <w:numPr>
          <w:ilvl w:val="1"/>
          <w:numId w:val="79"/>
        </w:numPr>
        <w:spacing w:before="120" w:after="0"/>
        <w:ind w:left="540" w:right="2" w:hanging="540"/>
        <w:jc w:val="both"/>
        <w:rPr>
          <w:rFonts w:cs="Arial"/>
          <w:lang w:val="pt-BR"/>
        </w:rPr>
      </w:pPr>
      <w:r w:rsidRPr="00070E4E">
        <w:rPr>
          <w:rFonts w:cs="Arial"/>
          <w:lang w:val="pt-BR"/>
        </w:rPr>
        <w:t>Apresentação da estrutura da aula.</w:t>
      </w:r>
    </w:p>
    <w:p w:rsidR="00070E4E" w:rsidRDefault="00070E4E" w:rsidP="00C52E09">
      <w:pPr>
        <w:pStyle w:val="ListParagraph"/>
        <w:numPr>
          <w:ilvl w:val="1"/>
          <w:numId w:val="79"/>
        </w:numPr>
        <w:spacing w:before="120" w:after="0"/>
        <w:ind w:left="540" w:right="2" w:hanging="540"/>
        <w:jc w:val="both"/>
        <w:rPr>
          <w:rFonts w:cs="Arial"/>
          <w:lang w:val="pt-BR"/>
        </w:rPr>
      </w:pPr>
      <w:r w:rsidRPr="00070E4E">
        <w:rPr>
          <w:rFonts w:cs="Arial"/>
          <w:lang w:val="pt-BR"/>
        </w:rPr>
        <w:t>Apresentação da bibliografia que o aluno deverá manejar para ampliar os conhecimentos.</w:t>
      </w:r>
    </w:p>
    <w:p w:rsidR="00F8000A" w:rsidRPr="00070E4E" w:rsidRDefault="00F8000A" w:rsidP="00F8000A">
      <w:pPr>
        <w:pStyle w:val="ListParagraph"/>
        <w:spacing w:before="120" w:after="0"/>
        <w:ind w:left="1080" w:right="2"/>
        <w:jc w:val="both"/>
        <w:rPr>
          <w:rFonts w:cs="Arial"/>
          <w:lang w:val="pt-BR"/>
        </w:rPr>
      </w:pPr>
    </w:p>
    <w:p w:rsidR="00070E4E" w:rsidRPr="00070E4E" w:rsidRDefault="00070E4E" w:rsidP="00070E4E">
      <w:pPr>
        <w:shd w:val="clear" w:color="auto" w:fill="B8CCE4"/>
        <w:tabs>
          <w:tab w:val="left" w:pos="1276"/>
          <w:tab w:val="right" w:pos="8550"/>
        </w:tabs>
        <w:spacing w:before="120" w:after="120"/>
        <w:ind w:right="2"/>
        <w:jc w:val="both"/>
        <w:rPr>
          <w:lang w:val="pt-BR"/>
        </w:rPr>
      </w:pPr>
      <w:r w:rsidRPr="00070E4E">
        <w:rPr>
          <w:rFonts w:cs="Arial"/>
          <w:b/>
          <w:sz w:val="24"/>
          <w:szCs w:val="24"/>
          <w:lang w:val="pt-BR"/>
        </w:rPr>
        <w:t>BLOCO 2. PATÓGENOS COM PAREDE CELULAR, GRAM NEGATIVOS</w:t>
      </w:r>
    </w:p>
    <w:p w:rsidR="00070E4E" w:rsidRPr="00B7523D" w:rsidRDefault="00070E4E" w:rsidP="00C52E09">
      <w:pPr>
        <w:pStyle w:val="TM-2n"/>
        <w:numPr>
          <w:ilvl w:val="1"/>
          <w:numId w:val="80"/>
        </w:numPr>
        <w:spacing w:before="120" w:after="0" w:line="276" w:lineRule="auto"/>
        <w:rPr>
          <w:b/>
        </w:rPr>
      </w:pPr>
      <w:r w:rsidRPr="00B7523D">
        <w:rPr>
          <w:b/>
        </w:rPr>
        <w:t>Espiroquetas</w:t>
      </w:r>
    </w:p>
    <w:p w:rsidR="00070E4E" w:rsidRDefault="00070E4E" w:rsidP="00C52E09">
      <w:pPr>
        <w:pStyle w:val="TM-3n"/>
        <w:numPr>
          <w:ilvl w:val="2"/>
          <w:numId w:val="80"/>
        </w:numPr>
        <w:tabs>
          <w:tab w:val="clear" w:pos="1276"/>
          <w:tab w:val="left" w:pos="1350"/>
        </w:tabs>
        <w:spacing w:before="120" w:after="0" w:line="276" w:lineRule="auto"/>
        <w:ind w:left="1350" w:hanging="630"/>
      </w:pPr>
      <w:r w:rsidRPr="00762E65">
        <w:t>São bactérias Gram-negativas com forma espiralada. Há várias espécies de espiroquetas que são patógenas para o ser humano. Em Moçambique têm importância o Treponema pallidum e algumas espécies de Borrelia.</w:t>
      </w:r>
    </w:p>
    <w:p w:rsidR="00070E4E" w:rsidRPr="00762E65" w:rsidRDefault="00070E4E" w:rsidP="00070E4E">
      <w:pPr>
        <w:pStyle w:val="TM-3n"/>
        <w:numPr>
          <w:ilvl w:val="0"/>
          <w:numId w:val="0"/>
        </w:numPr>
        <w:tabs>
          <w:tab w:val="clear" w:pos="1276"/>
          <w:tab w:val="left" w:pos="1350"/>
        </w:tabs>
        <w:spacing w:before="120" w:after="0" w:line="276" w:lineRule="auto"/>
        <w:ind w:left="1350"/>
      </w:pPr>
    </w:p>
    <w:p w:rsidR="00070E4E" w:rsidRDefault="00070E4E" w:rsidP="00070E4E">
      <w:pPr>
        <w:jc w:val="center"/>
      </w:pPr>
      <w:r>
        <w:rPr>
          <w:noProof/>
          <w:lang w:val="en-ZW" w:eastAsia="en-ZW"/>
        </w:rPr>
        <w:drawing>
          <wp:inline distT="0" distB="0" distL="0" distR="0" wp14:anchorId="79036213" wp14:editId="11D67834">
            <wp:extent cx="3822700" cy="2908300"/>
            <wp:effectExtent l="0" t="0" r="0" b="0"/>
            <wp:docPr id="8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cstate="print"/>
                    <a:srcRect/>
                    <a:stretch>
                      <a:fillRect/>
                    </a:stretch>
                  </pic:blipFill>
                  <pic:spPr bwMode="auto">
                    <a:xfrm>
                      <a:off x="0" y="0"/>
                      <a:ext cx="3822700" cy="2908300"/>
                    </a:xfrm>
                    <a:prstGeom prst="rect">
                      <a:avLst/>
                    </a:prstGeom>
                    <a:noFill/>
                    <a:ln w="9525">
                      <a:noFill/>
                      <a:miter lim="800000"/>
                      <a:headEnd/>
                      <a:tailEnd/>
                    </a:ln>
                  </pic:spPr>
                </pic:pic>
              </a:graphicData>
            </a:graphic>
          </wp:inline>
        </w:drawing>
      </w:r>
    </w:p>
    <w:p w:rsidR="00070E4E" w:rsidRDefault="00070E4E" w:rsidP="00070E4E">
      <w:pPr>
        <w:jc w:val="center"/>
        <w:rPr>
          <w:rFonts w:cs="Arial"/>
          <w:sz w:val="20"/>
        </w:rPr>
      </w:pPr>
      <w:r w:rsidRPr="00647DD5">
        <w:rPr>
          <w:rFonts w:cs="Arial"/>
          <w:b/>
          <w:sz w:val="20"/>
        </w:rPr>
        <w:t>Figura 1</w:t>
      </w:r>
      <w:r w:rsidR="00506DE0">
        <w:rPr>
          <w:rFonts w:cs="Arial"/>
          <w:b/>
          <w:sz w:val="20"/>
        </w:rPr>
        <w:t>:</w:t>
      </w:r>
      <w:r w:rsidRPr="00647DD5">
        <w:rPr>
          <w:rFonts w:cs="Arial"/>
          <w:sz w:val="20"/>
        </w:rPr>
        <w:t xml:space="preserve"> Espiroquetas.</w:t>
      </w:r>
    </w:p>
    <w:p w:rsidR="00070E4E" w:rsidRPr="00762E65" w:rsidRDefault="00070E4E" w:rsidP="00C52E09">
      <w:pPr>
        <w:pStyle w:val="TM-3n"/>
        <w:numPr>
          <w:ilvl w:val="2"/>
          <w:numId w:val="80"/>
        </w:numPr>
        <w:tabs>
          <w:tab w:val="clear" w:pos="1276"/>
          <w:tab w:val="left" w:pos="1350"/>
        </w:tabs>
        <w:spacing w:before="120" w:after="0" w:line="276" w:lineRule="auto"/>
        <w:ind w:left="1350" w:hanging="630"/>
      </w:pPr>
      <w:r w:rsidRPr="00762E65">
        <w:t xml:space="preserve">Treponema pallidum. </w:t>
      </w:r>
      <w:r w:rsidRPr="00717805">
        <w:rPr>
          <w:b/>
        </w:rPr>
        <w:t>Agente causador da sífilis</w:t>
      </w:r>
      <w:r w:rsidRPr="00762E65">
        <w:t>. O seu habitat é a mucosa urogenital. É anaeróbio facultativo, e não pode-se cultivar in vitro. O diagnóstico da sífilis é feito por testes serológicos. É extremamente frágil, e muito sensível a temperatura, humidade, e desinfectantes.</w:t>
      </w:r>
    </w:p>
    <w:p w:rsidR="00070E4E" w:rsidRDefault="00070E4E" w:rsidP="00C52E09">
      <w:pPr>
        <w:pStyle w:val="TM-3n"/>
        <w:numPr>
          <w:ilvl w:val="2"/>
          <w:numId w:val="80"/>
        </w:numPr>
        <w:tabs>
          <w:tab w:val="clear" w:pos="1276"/>
        </w:tabs>
        <w:spacing w:before="120" w:after="0" w:line="276" w:lineRule="auto"/>
        <w:ind w:left="1350" w:hanging="630"/>
      </w:pPr>
      <w:r w:rsidRPr="00762E65">
        <w:t>Borrelia spp</w:t>
      </w:r>
      <w:r>
        <w:t xml:space="preserve">. As bactérias do género </w:t>
      </w:r>
      <w:r w:rsidRPr="00762E65">
        <w:t>Borrelia</w:t>
      </w:r>
      <w:r>
        <w:t xml:space="preserve">, especialmente a </w:t>
      </w:r>
      <w:r w:rsidRPr="00DC0486">
        <w:rPr>
          <w:i/>
        </w:rPr>
        <w:t xml:space="preserve">Borrelia </w:t>
      </w:r>
      <w:r>
        <w:rPr>
          <w:i/>
        </w:rPr>
        <w:t xml:space="preserve">duttoni </w:t>
      </w:r>
      <w:r>
        <w:t>que é responsável pela febre</w:t>
      </w:r>
      <w:r w:rsidRPr="00FC1500">
        <w:rPr>
          <w:b/>
        </w:rPr>
        <w:t xml:space="preserve"> recorrente por mordedura de carraça</w:t>
      </w:r>
      <w:r>
        <w:t xml:space="preserve">. O cultivo </w:t>
      </w:r>
      <w:r>
        <w:rPr>
          <w:i/>
        </w:rPr>
        <w:t xml:space="preserve">in </w:t>
      </w:r>
      <w:r w:rsidRPr="00084583">
        <w:rPr>
          <w:i/>
        </w:rPr>
        <w:t>vitro</w:t>
      </w:r>
      <w:r>
        <w:t xml:space="preserve"> de borrelias é muito complicado, portanto os testes diagnósticos são fundamentalmente serológicos.</w:t>
      </w:r>
    </w:p>
    <w:p w:rsidR="00070E4E" w:rsidRPr="00762E65" w:rsidRDefault="00070E4E" w:rsidP="00C52E09">
      <w:pPr>
        <w:pStyle w:val="TM-2n"/>
        <w:numPr>
          <w:ilvl w:val="1"/>
          <w:numId w:val="80"/>
        </w:numPr>
        <w:spacing w:before="120" w:after="0" w:line="276" w:lineRule="auto"/>
        <w:rPr>
          <w:b/>
        </w:rPr>
      </w:pPr>
      <w:r w:rsidRPr="00762E65">
        <w:rPr>
          <w:b/>
        </w:rPr>
        <w:t>Proteobactérias</w:t>
      </w:r>
    </w:p>
    <w:p w:rsidR="00070E4E" w:rsidRDefault="00070E4E" w:rsidP="00C52E09">
      <w:pPr>
        <w:pStyle w:val="TM-3n"/>
        <w:numPr>
          <w:ilvl w:val="2"/>
          <w:numId w:val="80"/>
        </w:numPr>
        <w:tabs>
          <w:tab w:val="clear" w:pos="1276"/>
          <w:tab w:val="left" w:pos="1350"/>
        </w:tabs>
        <w:spacing w:before="120" w:after="0" w:line="276" w:lineRule="auto"/>
        <w:ind w:left="1350" w:hanging="630"/>
      </w:pPr>
      <w:r>
        <w:t>São un grupo de bactérias Gram-negativas com formas muito diversas. Muitas proteobactérias são patógenos humanos.</w:t>
      </w:r>
    </w:p>
    <w:p w:rsidR="00070E4E" w:rsidRDefault="00070E4E" w:rsidP="00070E4E">
      <w:pPr>
        <w:pStyle w:val="TM-3n"/>
        <w:numPr>
          <w:ilvl w:val="0"/>
          <w:numId w:val="0"/>
        </w:numPr>
        <w:tabs>
          <w:tab w:val="clear" w:pos="1276"/>
          <w:tab w:val="left" w:pos="1350"/>
        </w:tabs>
        <w:spacing w:before="120" w:after="0" w:line="276" w:lineRule="auto"/>
        <w:ind w:left="1350"/>
      </w:pPr>
    </w:p>
    <w:p w:rsidR="00070E4E" w:rsidRDefault="00070E4E" w:rsidP="00070E4E">
      <w:pPr>
        <w:jc w:val="center"/>
        <w:rPr>
          <w:sz w:val="20"/>
        </w:rPr>
      </w:pPr>
      <w:r>
        <w:rPr>
          <w:noProof/>
          <w:sz w:val="20"/>
          <w:lang w:val="en-ZW" w:eastAsia="en-ZW"/>
        </w:rPr>
        <w:lastRenderedPageBreak/>
        <w:drawing>
          <wp:inline distT="0" distB="0" distL="0" distR="0" wp14:anchorId="6BCE1BC2" wp14:editId="5D0BDC82">
            <wp:extent cx="2882900" cy="2679700"/>
            <wp:effectExtent l="19050" t="0" r="0" b="0"/>
            <wp:docPr id="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cstate="print"/>
                    <a:srcRect/>
                    <a:stretch>
                      <a:fillRect/>
                    </a:stretch>
                  </pic:blipFill>
                  <pic:spPr bwMode="auto">
                    <a:xfrm>
                      <a:off x="0" y="0"/>
                      <a:ext cx="2882900" cy="2679700"/>
                    </a:xfrm>
                    <a:prstGeom prst="rect">
                      <a:avLst/>
                    </a:prstGeom>
                    <a:noFill/>
                    <a:ln w="9525">
                      <a:noFill/>
                      <a:miter lim="800000"/>
                      <a:headEnd/>
                      <a:tailEnd/>
                    </a:ln>
                  </pic:spPr>
                </pic:pic>
              </a:graphicData>
            </a:graphic>
          </wp:inline>
        </w:drawing>
      </w:r>
    </w:p>
    <w:p w:rsidR="00070E4E" w:rsidRPr="00647DD5" w:rsidRDefault="00070E4E" w:rsidP="00070E4E">
      <w:pPr>
        <w:jc w:val="center"/>
        <w:rPr>
          <w:rFonts w:cs="Arial"/>
          <w:sz w:val="20"/>
        </w:rPr>
      </w:pPr>
      <w:r w:rsidRPr="00647DD5">
        <w:rPr>
          <w:rFonts w:cs="Arial"/>
          <w:b/>
          <w:sz w:val="20"/>
        </w:rPr>
        <w:t>Figura 2</w:t>
      </w:r>
      <w:r w:rsidR="00EB2A96">
        <w:rPr>
          <w:rFonts w:cs="Arial"/>
          <w:b/>
          <w:sz w:val="20"/>
        </w:rPr>
        <w:t>:</w:t>
      </w:r>
      <w:r w:rsidRPr="00647DD5">
        <w:rPr>
          <w:rFonts w:cs="Arial"/>
          <w:sz w:val="20"/>
        </w:rPr>
        <w:t xml:space="preserve"> Proteobactérias.</w:t>
      </w:r>
    </w:p>
    <w:p w:rsidR="00070E4E" w:rsidRPr="00762E65" w:rsidRDefault="00070E4E" w:rsidP="00C52E09">
      <w:pPr>
        <w:pStyle w:val="TM-3n"/>
        <w:numPr>
          <w:ilvl w:val="2"/>
          <w:numId w:val="80"/>
        </w:numPr>
        <w:tabs>
          <w:tab w:val="clear" w:pos="1276"/>
          <w:tab w:val="left" w:pos="1350"/>
        </w:tabs>
        <w:spacing w:before="120" w:after="0" w:line="276" w:lineRule="auto"/>
        <w:ind w:left="1350" w:hanging="630"/>
      </w:pPr>
      <w:r w:rsidRPr="00762E65">
        <w:t>Neisseria gonorrhoeae. Mais conhecida como gonococo, é o agente causador da gonorreia. É um diplococo, que precisa de concentrações de oxigénio menores do que a atmosférica para viver. O diagnóstico é feito pela coloração com Gram do exsudato (fluido procedente de processos inflamatórios, que contem células e outros materiais) uretral, vaginal ou ocular. Outra bactéria do género Neisseria, a Neisseria meningitidis, ou meningococo, é responsável pela meningite meningocócica.</w:t>
      </w:r>
    </w:p>
    <w:p w:rsidR="00070E4E" w:rsidRDefault="00070E4E" w:rsidP="00C52E09">
      <w:pPr>
        <w:pStyle w:val="TM-3n"/>
        <w:numPr>
          <w:ilvl w:val="2"/>
          <w:numId w:val="80"/>
        </w:numPr>
        <w:tabs>
          <w:tab w:val="clear" w:pos="1276"/>
          <w:tab w:val="left" w:pos="1350"/>
        </w:tabs>
        <w:spacing w:before="120" w:after="0" w:line="276" w:lineRule="auto"/>
        <w:ind w:left="1350" w:hanging="630"/>
      </w:pPr>
      <w:r w:rsidRPr="00AF7C84">
        <w:rPr>
          <w:i/>
        </w:rPr>
        <w:t>Pseudomonas aeruginosa</w:t>
      </w:r>
      <w:r>
        <w:t>. É um bacilo aeróbio, e produz um pigmento característico de cor verde azulado, e um odor característico a fruta. É patógeno oportunista, e uma das principais causas de infecção hospitalar. A maior parte das cepas é multi-resistente a antibióticos, e também a alguns desinfectantes.</w:t>
      </w:r>
    </w:p>
    <w:p w:rsidR="00070E4E" w:rsidRDefault="00070E4E" w:rsidP="00C52E09">
      <w:pPr>
        <w:pStyle w:val="TM-3n"/>
        <w:numPr>
          <w:ilvl w:val="2"/>
          <w:numId w:val="80"/>
        </w:numPr>
        <w:tabs>
          <w:tab w:val="clear" w:pos="1276"/>
          <w:tab w:val="left" w:pos="1350"/>
        </w:tabs>
        <w:spacing w:before="120" w:after="0" w:line="276" w:lineRule="auto"/>
        <w:ind w:left="1350" w:hanging="630"/>
      </w:pPr>
      <w:r w:rsidRPr="00AF7C84">
        <w:rPr>
          <w:i/>
        </w:rPr>
        <w:t>Salmonella spp</w:t>
      </w:r>
      <w:r>
        <w:t xml:space="preserve">, as bactérias deste género são bacilos, anaeróbios facultativos. São causa frequente de intoxicação alimentar. O grupo </w:t>
      </w:r>
      <w:r w:rsidRPr="00AF7C84">
        <w:rPr>
          <w:i/>
        </w:rPr>
        <w:t>Salmonella typhi</w:t>
      </w:r>
      <w:r>
        <w:t xml:space="preserve"> é o agente etiológico da febre tifóide. O diagnóstico laboratorial faz-se por hemocultura.</w:t>
      </w:r>
    </w:p>
    <w:p w:rsidR="00070E4E" w:rsidRDefault="00070E4E" w:rsidP="00C52E09">
      <w:pPr>
        <w:pStyle w:val="TM-3n"/>
        <w:numPr>
          <w:ilvl w:val="2"/>
          <w:numId w:val="80"/>
        </w:numPr>
        <w:tabs>
          <w:tab w:val="clear" w:pos="1276"/>
          <w:tab w:val="left" w:pos="1350"/>
        </w:tabs>
        <w:spacing w:before="120" w:after="0" w:line="276" w:lineRule="auto"/>
        <w:ind w:left="1350" w:hanging="630"/>
      </w:pPr>
      <w:r w:rsidRPr="00AF7C84">
        <w:rPr>
          <w:i/>
        </w:rPr>
        <w:t>Shigella spp</w:t>
      </w:r>
      <w:r>
        <w:t>. São bacilos responsáveis pela disenteria, anaeróbios facultativos. As shigellas são capazes de resistir as proteases (enzimas que metabolizam proteínas) e ácidos do tracto gastrointestinal, e pouco de bactérias podem provocar infecção. São uma das principais causas de mortalidade infantil, e são também frequentes em indivíduos infectados pelo HIV.</w:t>
      </w:r>
    </w:p>
    <w:p w:rsidR="00070E4E" w:rsidRDefault="00070E4E" w:rsidP="00C52E09">
      <w:pPr>
        <w:pStyle w:val="TM-3n"/>
        <w:numPr>
          <w:ilvl w:val="2"/>
          <w:numId w:val="80"/>
        </w:numPr>
        <w:tabs>
          <w:tab w:val="clear" w:pos="1276"/>
          <w:tab w:val="left" w:pos="1350"/>
        </w:tabs>
        <w:spacing w:before="120" w:after="0" w:line="276" w:lineRule="auto"/>
        <w:ind w:left="1350" w:hanging="630"/>
      </w:pPr>
      <w:r w:rsidRPr="00AF7C84">
        <w:rPr>
          <w:i/>
        </w:rPr>
        <w:t>Vibrio cholerae</w:t>
      </w:r>
      <w:r>
        <w:t xml:space="preserve">, é um bacilo aeróbio, com forma curvada característica (forma de vírgula). O vibrião colérico é o agente etiológico da cólera, doença que se caracteriza  por diarreia profusa aquosa e acompanhada de vómitos. </w:t>
      </w:r>
    </w:p>
    <w:p w:rsidR="00070E4E" w:rsidRDefault="00070E4E" w:rsidP="00C52E09">
      <w:pPr>
        <w:pStyle w:val="TM-3n"/>
        <w:numPr>
          <w:ilvl w:val="2"/>
          <w:numId w:val="80"/>
        </w:numPr>
        <w:tabs>
          <w:tab w:val="clear" w:pos="1276"/>
          <w:tab w:val="left" w:pos="1350"/>
        </w:tabs>
        <w:spacing w:before="120" w:after="0" w:line="276" w:lineRule="auto"/>
        <w:ind w:left="1350" w:hanging="630"/>
      </w:pPr>
      <w:r w:rsidRPr="00AF7C84">
        <w:rPr>
          <w:i/>
        </w:rPr>
        <w:t>Haemophilus influenzae</w:t>
      </w:r>
      <w:r>
        <w:t>. Bacilo anaeróbio facultativo. É patógeno oportunista, e está relacionado com diversos quadros, como meningites, otites, e infecções respiratórias (pneumonias). Afecta principalmente a crianças menores de 5 anos de idade.</w:t>
      </w:r>
    </w:p>
    <w:p w:rsidR="00070E4E" w:rsidRDefault="00070E4E" w:rsidP="00C52E09">
      <w:pPr>
        <w:pStyle w:val="TM-3n"/>
        <w:numPr>
          <w:ilvl w:val="2"/>
          <w:numId w:val="80"/>
        </w:numPr>
        <w:tabs>
          <w:tab w:val="clear" w:pos="1276"/>
          <w:tab w:val="left" w:pos="1350"/>
        </w:tabs>
        <w:spacing w:before="120" w:after="0" w:line="276" w:lineRule="auto"/>
        <w:ind w:left="1350" w:hanging="630"/>
      </w:pPr>
      <w:r w:rsidRPr="00AF7C84">
        <w:rPr>
          <w:i/>
        </w:rPr>
        <w:t>Rickettsia spp</w:t>
      </w:r>
      <w:r>
        <w:t>. Bacilos incapazes de crescer em isolamento. Por tanto, são parasitas intracelulares obrigatórios. São os agentes etiológicos do tifo e da febre botonosa. Transmitidos pela picada de artrópodos como carraças, piolhos e pulgas.</w:t>
      </w:r>
    </w:p>
    <w:p w:rsidR="00070E4E" w:rsidRDefault="00070E4E" w:rsidP="00C52E09">
      <w:pPr>
        <w:pStyle w:val="TM-3n"/>
        <w:numPr>
          <w:ilvl w:val="2"/>
          <w:numId w:val="80"/>
        </w:numPr>
        <w:tabs>
          <w:tab w:val="clear" w:pos="1276"/>
          <w:tab w:val="left" w:pos="1350"/>
        </w:tabs>
        <w:spacing w:before="120" w:after="0" w:line="276" w:lineRule="auto"/>
        <w:ind w:left="1350" w:hanging="630"/>
      </w:pPr>
      <w:r>
        <w:t>Brucella Spp. São cocobacilos aeróbicos, imóveis. São os agentes etiológicos da brucelose.</w:t>
      </w:r>
    </w:p>
    <w:p w:rsidR="00070E4E" w:rsidRPr="00495034" w:rsidRDefault="00070E4E" w:rsidP="00C52E09">
      <w:pPr>
        <w:pStyle w:val="TM-3n"/>
        <w:numPr>
          <w:ilvl w:val="2"/>
          <w:numId w:val="80"/>
        </w:numPr>
        <w:tabs>
          <w:tab w:val="clear" w:pos="1276"/>
          <w:tab w:val="left" w:pos="1350"/>
        </w:tabs>
        <w:spacing w:before="120" w:after="0" w:line="276" w:lineRule="auto"/>
        <w:ind w:left="1350" w:hanging="630"/>
      </w:pPr>
      <w:r>
        <w:lastRenderedPageBreak/>
        <w:t>Yersinia pestis. É um bacilo aeróbico, não esporulado (não forma esporos) e causa a Peste.</w:t>
      </w:r>
    </w:p>
    <w:p w:rsidR="00070E4E" w:rsidRDefault="00070E4E" w:rsidP="00C52E09">
      <w:pPr>
        <w:pStyle w:val="TM-3n"/>
        <w:numPr>
          <w:ilvl w:val="2"/>
          <w:numId w:val="80"/>
        </w:numPr>
        <w:tabs>
          <w:tab w:val="clear" w:pos="1276"/>
          <w:tab w:val="left" w:pos="1350"/>
        </w:tabs>
        <w:spacing w:before="120" w:after="0" w:line="276" w:lineRule="auto"/>
        <w:ind w:left="1350" w:hanging="630"/>
      </w:pPr>
      <w:r w:rsidRPr="00AF7C84">
        <w:rPr>
          <w:i/>
        </w:rPr>
        <w:t>Chlamydia spp</w:t>
      </w:r>
      <w:r>
        <w:t>, são Bacilos também parasitas intercelulares obrigatórios. Provocam uma variedade de doenças. As doenças de maior importância no nosso meio são as doenças de transmissão sexual como uretrite no homem e doença inflamatória pélvica nas mulheres. Também são os agentes etiológicos do tracoma, doença ocular que pode ter como consequência a cegueira.</w:t>
      </w:r>
    </w:p>
    <w:p w:rsidR="00070E4E" w:rsidRPr="000B25DB" w:rsidRDefault="00070E4E" w:rsidP="00070E4E">
      <w:pPr>
        <w:pStyle w:val="TM-0"/>
      </w:pPr>
    </w:p>
    <w:p w:rsidR="00070E4E" w:rsidRPr="00070E4E" w:rsidRDefault="00070E4E" w:rsidP="00070E4E">
      <w:pPr>
        <w:shd w:val="clear" w:color="auto" w:fill="B8CCE4"/>
        <w:tabs>
          <w:tab w:val="left" w:pos="1276"/>
          <w:tab w:val="right" w:pos="8550"/>
        </w:tabs>
        <w:spacing w:before="120" w:after="120"/>
        <w:ind w:right="-43"/>
        <w:jc w:val="both"/>
        <w:rPr>
          <w:rFonts w:eastAsia="Times New Roman" w:cs="Arial"/>
          <w:b/>
          <w:sz w:val="24"/>
          <w:szCs w:val="24"/>
          <w:lang w:val="pt-BR"/>
        </w:rPr>
      </w:pPr>
      <w:r w:rsidRPr="00070E4E">
        <w:rPr>
          <w:rFonts w:eastAsia="Times New Roman" w:cs="Arial"/>
          <w:b/>
          <w:sz w:val="24"/>
          <w:szCs w:val="24"/>
          <w:lang w:val="pt-BR"/>
        </w:rPr>
        <w:t>BLOCO 3. PATÓGENOS COM PAREDE CELULAR, GRAM-POSITIVOS E ÁLCOOL-ÁCIDO-RESISTENTES</w:t>
      </w:r>
    </w:p>
    <w:p w:rsidR="00070E4E" w:rsidRDefault="00070E4E" w:rsidP="00070E4E">
      <w:pPr>
        <w:jc w:val="center"/>
        <w:rPr>
          <w:sz w:val="20"/>
        </w:rPr>
      </w:pPr>
      <w:r>
        <w:rPr>
          <w:noProof/>
          <w:sz w:val="20"/>
          <w:lang w:val="en-ZW" w:eastAsia="en-ZW"/>
        </w:rPr>
        <w:drawing>
          <wp:inline distT="0" distB="0" distL="0" distR="0" wp14:anchorId="2B174ACF" wp14:editId="379DAA09">
            <wp:extent cx="5829300" cy="2463800"/>
            <wp:effectExtent l="0" t="0" r="0" b="0"/>
            <wp:docPr id="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cstate="print"/>
                    <a:srcRect/>
                    <a:stretch>
                      <a:fillRect/>
                    </a:stretch>
                  </pic:blipFill>
                  <pic:spPr bwMode="auto">
                    <a:xfrm>
                      <a:off x="0" y="0"/>
                      <a:ext cx="5829300" cy="2463800"/>
                    </a:xfrm>
                    <a:prstGeom prst="rect">
                      <a:avLst/>
                    </a:prstGeom>
                    <a:noFill/>
                    <a:ln w="9525">
                      <a:noFill/>
                      <a:miter lim="800000"/>
                      <a:headEnd/>
                      <a:tailEnd/>
                    </a:ln>
                  </pic:spPr>
                </pic:pic>
              </a:graphicData>
            </a:graphic>
          </wp:inline>
        </w:drawing>
      </w:r>
    </w:p>
    <w:p w:rsidR="00070E4E" w:rsidRDefault="00070E4E" w:rsidP="00070E4E">
      <w:pPr>
        <w:jc w:val="center"/>
        <w:rPr>
          <w:rFonts w:cs="Arial"/>
          <w:sz w:val="20"/>
        </w:rPr>
      </w:pPr>
      <w:r w:rsidRPr="00647DD5">
        <w:rPr>
          <w:rFonts w:cs="Arial"/>
          <w:b/>
          <w:sz w:val="20"/>
        </w:rPr>
        <w:t>Figura 3</w:t>
      </w:r>
      <w:r w:rsidR="00EB2A96">
        <w:rPr>
          <w:rFonts w:cs="Arial"/>
          <w:b/>
          <w:sz w:val="20"/>
        </w:rPr>
        <w:t>:</w:t>
      </w:r>
      <w:r w:rsidRPr="00647DD5">
        <w:rPr>
          <w:rFonts w:cs="Arial"/>
          <w:sz w:val="20"/>
        </w:rPr>
        <w:t xml:space="preserve"> Patógenos Gram-positivos.</w:t>
      </w:r>
    </w:p>
    <w:p w:rsidR="0013594B" w:rsidRDefault="00070E4E" w:rsidP="00C52E09">
      <w:pPr>
        <w:pStyle w:val="TM-2n"/>
        <w:numPr>
          <w:ilvl w:val="1"/>
          <w:numId w:val="287"/>
        </w:numPr>
        <w:spacing w:before="120" w:after="0" w:line="276" w:lineRule="auto"/>
        <w:ind w:left="540" w:hanging="540"/>
      </w:pPr>
      <w:r w:rsidRPr="00AB2E84">
        <w:rPr>
          <w:b/>
        </w:rPr>
        <w:t>Enterococcus spp</w:t>
      </w:r>
      <w:r w:rsidRPr="00AB2E84">
        <w:t>. Cocos anaeróbios facultativos. São agentes comuns da flora gastrointestinal, e patógenos oportunistas. São agentes etiológicos em muitas infecções hospitalares.</w:t>
      </w:r>
    </w:p>
    <w:p w:rsidR="0013594B" w:rsidRDefault="00070E4E" w:rsidP="00C52E09">
      <w:pPr>
        <w:pStyle w:val="TM-2n"/>
        <w:numPr>
          <w:ilvl w:val="1"/>
          <w:numId w:val="287"/>
        </w:numPr>
        <w:spacing w:before="120" w:after="0" w:line="276" w:lineRule="auto"/>
        <w:ind w:left="540" w:hanging="540"/>
      </w:pPr>
      <w:r w:rsidRPr="0013594B">
        <w:rPr>
          <w:b/>
        </w:rPr>
        <w:t>Streptococcus pneumoniae</w:t>
      </w:r>
      <w:r w:rsidRPr="00AB2E84">
        <w:t>. Comummente conhecido como pneumococo. Coco anaeróbio facultativo, e patógeno oportunista. É a causa mais comum de pneumonia em adultos, e pode produzir também meningites e otites médias.</w:t>
      </w:r>
    </w:p>
    <w:p w:rsidR="0013594B" w:rsidRDefault="00070E4E" w:rsidP="00C52E09">
      <w:pPr>
        <w:pStyle w:val="TM-2n"/>
        <w:numPr>
          <w:ilvl w:val="1"/>
          <w:numId w:val="287"/>
        </w:numPr>
        <w:spacing w:before="120" w:after="0" w:line="276" w:lineRule="auto"/>
        <w:ind w:left="540" w:hanging="540"/>
      </w:pPr>
      <w:r w:rsidRPr="0013594B">
        <w:rPr>
          <w:b/>
        </w:rPr>
        <w:t>Streptococcus pyogenes</w:t>
      </w:r>
      <w:r w:rsidRPr="00AB2E84">
        <w:t>. Coco anaeróbio facultativo, e patógeno oportunista. É o agente etiológico da faringite estreptocócica, e pode provocar também infecções cutâneas e cardiovasculares, como a febre reumática.</w:t>
      </w:r>
    </w:p>
    <w:p w:rsidR="0013594B" w:rsidRDefault="00070E4E" w:rsidP="00C52E09">
      <w:pPr>
        <w:pStyle w:val="TM-2n"/>
        <w:numPr>
          <w:ilvl w:val="1"/>
          <w:numId w:val="287"/>
        </w:numPr>
        <w:spacing w:before="120" w:after="0" w:line="276" w:lineRule="auto"/>
        <w:ind w:left="540" w:hanging="540"/>
      </w:pPr>
      <w:r w:rsidRPr="0013594B">
        <w:rPr>
          <w:b/>
        </w:rPr>
        <w:t>Staphylococcus aureus.</w:t>
      </w:r>
      <w:r w:rsidRPr="00AB2E84">
        <w:t xml:space="preserve"> Coco anaeróbio facultativo, e patógeno oportunista. Encontra-se em pequeno número como parte da flora dérmica normal. É a causa principal de infecções dérmicas e dos tecidos moles</w:t>
      </w:r>
      <w:r>
        <w:t xml:space="preserve"> (celulites)</w:t>
      </w:r>
      <w:r w:rsidRPr="00AB2E84">
        <w:t>,</w:t>
      </w:r>
      <w:r>
        <w:t xml:space="preserve"> infecções osteo-articulares (osteomielite, artrites)</w:t>
      </w:r>
      <w:r w:rsidRPr="00AB2E84">
        <w:t xml:space="preserve"> e muito habitual também em infecções hospitalares. Também pode provocar infecções respiratórias.</w:t>
      </w:r>
    </w:p>
    <w:p w:rsidR="00070E4E" w:rsidRPr="00AB2E84" w:rsidRDefault="00070E4E" w:rsidP="00C52E09">
      <w:pPr>
        <w:pStyle w:val="TM-2n"/>
        <w:numPr>
          <w:ilvl w:val="1"/>
          <w:numId w:val="287"/>
        </w:numPr>
        <w:spacing w:before="120" w:after="0" w:line="276" w:lineRule="auto"/>
        <w:ind w:left="540" w:hanging="540"/>
      </w:pPr>
      <w:r w:rsidRPr="0013594B">
        <w:rPr>
          <w:b/>
        </w:rPr>
        <w:t>Mycobacterium tuberculosis</w:t>
      </w:r>
      <w:r w:rsidRPr="00AB2E84">
        <w:t>. Bacilo aeróbio de crescimento lento. Agente etiológico da tuberculose. É uma doença com maior prevalência em Moçambique e especialmente frequente em indivíduos infectados pelo HIV. Muitas cepas são resistentes a alguns dos fármacos utilizados no tratamento.</w:t>
      </w:r>
    </w:p>
    <w:p w:rsidR="00070E4E" w:rsidRPr="00AB2E84" w:rsidRDefault="00070E4E" w:rsidP="00C52E09">
      <w:pPr>
        <w:pStyle w:val="TM-3n"/>
        <w:numPr>
          <w:ilvl w:val="2"/>
          <w:numId w:val="288"/>
        </w:numPr>
        <w:tabs>
          <w:tab w:val="clear" w:pos="1276"/>
          <w:tab w:val="left" w:pos="1350"/>
        </w:tabs>
        <w:spacing w:before="120" w:after="0" w:line="276" w:lineRule="auto"/>
        <w:ind w:hanging="540"/>
      </w:pPr>
      <w:r w:rsidRPr="00AB2E84">
        <w:t xml:space="preserve">O Mycobacterium tuberculosis é classificado como Gram positivo pelas suas características estruturais. Porem, para sua identificação no laboratório utiliza-se a </w:t>
      </w:r>
      <w:r w:rsidRPr="001B3074">
        <w:rPr>
          <w:b/>
        </w:rPr>
        <w:t xml:space="preserve">coloração </w:t>
      </w:r>
      <w:r>
        <w:rPr>
          <w:b/>
        </w:rPr>
        <w:t>álcool-</w:t>
      </w:r>
      <w:r w:rsidRPr="001B3074">
        <w:rPr>
          <w:b/>
        </w:rPr>
        <w:t>ácido-resistente</w:t>
      </w:r>
      <w:r w:rsidRPr="00AB2E84">
        <w:t>, potanto são chamados também por bacilos  álcool</w:t>
      </w:r>
      <w:r>
        <w:t>-ácido-</w:t>
      </w:r>
      <w:r w:rsidRPr="00AB2E84">
        <w:t>resistente (BAAR).</w:t>
      </w:r>
    </w:p>
    <w:p w:rsidR="00070E4E" w:rsidRPr="00AB2E84" w:rsidRDefault="00070E4E" w:rsidP="00C52E09">
      <w:pPr>
        <w:pStyle w:val="TM-2n"/>
        <w:numPr>
          <w:ilvl w:val="1"/>
          <w:numId w:val="287"/>
        </w:numPr>
        <w:spacing w:before="120" w:after="0" w:line="276" w:lineRule="auto"/>
        <w:ind w:left="540" w:hanging="540"/>
      </w:pPr>
      <w:r w:rsidRPr="00AB2E84">
        <w:rPr>
          <w:b/>
        </w:rPr>
        <w:lastRenderedPageBreak/>
        <w:t>Mycobacterium leprae</w:t>
      </w:r>
      <w:r w:rsidRPr="00AB2E84">
        <w:t>. Bacilo aeróbio de crescimento lento, parasita intracelular obrigatório. Agente etiológico da lepra. Em Moçambique, a lepra está oficialmente e</w:t>
      </w:r>
      <w:r>
        <w:t xml:space="preserve">liminada como problema de saúde pública </w:t>
      </w:r>
      <w:r w:rsidRPr="00AB2E84">
        <w:t>desde 2008. Porem, casos isolados da doença ainda são diagnosticados</w:t>
      </w:r>
      <w:r>
        <w:t xml:space="preserve"> principalmente nas províncias de Niassa, Cabo Delegado, Nampula, Zambézia e Sofala </w:t>
      </w:r>
      <w:r w:rsidRPr="00AB2E84">
        <w:t>.</w:t>
      </w:r>
    </w:p>
    <w:p w:rsidR="00070E4E" w:rsidRPr="00AB2E84" w:rsidRDefault="00070E4E" w:rsidP="00C52E09">
      <w:pPr>
        <w:pStyle w:val="TM-3n"/>
        <w:numPr>
          <w:ilvl w:val="2"/>
          <w:numId w:val="287"/>
        </w:numPr>
        <w:tabs>
          <w:tab w:val="clear" w:pos="1276"/>
          <w:tab w:val="left" w:pos="1350"/>
        </w:tabs>
        <w:spacing w:before="120" w:after="0" w:line="276" w:lineRule="auto"/>
        <w:ind w:left="1350" w:hanging="630"/>
      </w:pPr>
      <w:r w:rsidRPr="00AB2E84">
        <w:t xml:space="preserve">De igual maneira que o Mycobacterium tuberculosis, o Mycobacterium leprae é identificado pela coloração </w:t>
      </w:r>
      <w:r>
        <w:t>álcool-</w:t>
      </w:r>
      <w:r w:rsidRPr="00AB2E84">
        <w:t>ácido-resistente.</w:t>
      </w:r>
    </w:p>
    <w:p w:rsidR="00070E4E" w:rsidRDefault="00070E4E" w:rsidP="0013594B">
      <w:pPr>
        <w:pStyle w:val="TM-3n"/>
        <w:numPr>
          <w:ilvl w:val="0"/>
          <w:numId w:val="0"/>
        </w:numPr>
        <w:tabs>
          <w:tab w:val="clear" w:pos="1276"/>
        </w:tabs>
      </w:pPr>
    </w:p>
    <w:p w:rsidR="00070E4E" w:rsidRPr="008E5AEB" w:rsidRDefault="00070E4E" w:rsidP="00070E4E">
      <w:pPr>
        <w:shd w:val="clear" w:color="auto" w:fill="B8CCE4"/>
        <w:tabs>
          <w:tab w:val="left" w:pos="1276"/>
          <w:tab w:val="right" w:pos="8550"/>
        </w:tabs>
        <w:spacing w:before="120" w:after="120"/>
        <w:ind w:right="-43"/>
        <w:jc w:val="both"/>
        <w:rPr>
          <w:rFonts w:eastAsia="Times New Roman" w:cs="Arial"/>
          <w:b/>
          <w:sz w:val="24"/>
          <w:szCs w:val="24"/>
        </w:rPr>
      </w:pPr>
      <w:proofErr w:type="gramStart"/>
      <w:r w:rsidRPr="008E5AEB">
        <w:rPr>
          <w:rFonts w:eastAsia="Times New Roman" w:cs="Arial"/>
          <w:b/>
          <w:sz w:val="24"/>
          <w:szCs w:val="24"/>
        </w:rPr>
        <w:t>BLOCO 4.</w:t>
      </w:r>
      <w:proofErr w:type="gramEnd"/>
      <w:r w:rsidRPr="008E5AEB">
        <w:rPr>
          <w:rFonts w:eastAsia="Times New Roman" w:cs="Arial"/>
          <w:b/>
          <w:sz w:val="24"/>
          <w:szCs w:val="24"/>
        </w:rPr>
        <w:t xml:space="preserve"> PATÓGENOS SEM PAREDE CELULAR</w:t>
      </w:r>
    </w:p>
    <w:p w:rsidR="00070E4E" w:rsidRPr="008E5AEB" w:rsidRDefault="00070E4E" w:rsidP="00C52E09">
      <w:pPr>
        <w:pStyle w:val="TM-2n"/>
        <w:numPr>
          <w:ilvl w:val="1"/>
          <w:numId w:val="47"/>
        </w:numPr>
        <w:spacing w:before="120" w:after="0" w:line="276" w:lineRule="auto"/>
        <w:ind w:left="450" w:hanging="450"/>
        <w:rPr>
          <w:b/>
        </w:rPr>
      </w:pPr>
      <w:r w:rsidRPr="008E5AEB">
        <w:rPr>
          <w:b/>
        </w:rPr>
        <w:t>Mycoplasmas</w:t>
      </w:r>
    </w:p>
    <w:p w:rsidR="00070E4E" w:rsidRDefault="00070E4E" w:rsidP="00C52E09">
      <w:pPr>
        <w:pStyle w:val="TM-3n"/>
        <w:numPr>
          <w:ilvl w:val="2"/>
          <w:numId w:val="47"/>
        </w:numPr>
        <w:tabs>
          <w:tab w:val="clear" w:pos="1276"/>
          <w:tab w:val="left" w:pos="1350"/>
        </w:tabs>
        <w:spacing w:before="120" w:after="0" w:line="276" w:lineRule="auto"/>
      </w:pPr>
      <w:r>
        <w:t>Os mycoplasmas são as bactérias de menor tamanho, que se diferenciam de outras bactérias que não tem parede celular. Podem viver dentro de outras células, mas também se multiplicam em condições de isolamento.</w:t>
      </w:r>
    </w:p>
    <w:p w:rsidR="00070E4E" w:rsidRDefault="00070E4E" w:rsidP="00C52E09">
      <w:pPr>
        <w:pStyle w:val="TM-3n"/>
        <w:numPr>
          <w:ilvl w:val="2"/>
          <w:numId w:val="47"/>
        </w:numPr>
        <w:tabs>
          <w:tab w:val="clear" w:pos="1276"/>
          <w:tab w:val="left" w:pos="1350"/>
        </w:tabs>
        <w:spacing w:before="120" w:after="0" w:line="276" w:lineRule="auto"/>
      </w:pPr>
      <w:r w:rsidRPr="00AF7C84">
        <w:rPr>
          <w:i/>
        </w:rPr>
        <w:t>Mycoplasma pneumoniae</w:t>
      </w:r>
      <w:r>
        <w:t>, bactéria de forma variável, pelo facto de  não possuir parede celular. É o agente etiológico de muitas pneumonias atípicas.</w:t>
      </w:r>
    </w:p>
    <w:p w:rsidR="00070E4E" w:rsidRPr="000B25DB" w:rsidRDefault="00070E4E" w:rsidP="00070E4E">
      <w:pPr>
        <w:pStyle w:val="TM-0"/>
      </w:pPr>
    </w:p>
    <w:p w:rsidR="00070E4E" w:rsidRPr="00070E4E" w:rsidRDefault="00070E4E" w:rsidP="00070E4E">
      <w:pPr>
        <w:shd w:val="clear" w:color="auto" w:fill="B8CCE4"/>
        <w:tabs>
          <w:tab w:val="left" w:pos="1276"/>
          <w:tab w:val="right" w:pos="8550"/>
        </w:tabs>
        <w:spacing w:before="120" w:after="120"/>
        <w:ind w:right="-43"/>
        <w:jc w:val="both"/>
        <w:rPr>
          <w:rFonts w:eastAsia="Times New Roman" w:cs="Arial"/>
          <w:b/>
          <w:sz w:val="24"/>
          <w:szCs w:val="24"/>
          <w:lang w:val="pt-BR"/>
        </w:rPr>
      </w:pPr>
      <w:r w:rsidRPr="00070E4E">
        <w:rPr>
          <w:rFonts w:eastAsia="Times New Roman" w:cs="Arial"/>
          <w:b/>
          <w:sz w:val="24"/>
          <w:szCs w:val="24"/>
          <w:lang w:val="pt-BR"/>
        </w:rPr>
        <w:t>BLOCO 5. PONTOS-CHAVE</w:t>
      </w:r>
    </w:p>
    <w:p w:rsidR="00070E4E" w:rsidRPr="004E1807" w:rsidRDefault="00070E4E" w:rsidP="00C52E09">
      <w:pPr>
        <w:pStyle w:val="TM-4n"/>
        <w:numPr>
          <w:ilvl w:val="1"/>
          <w:numId w:val="81"/>
        </w:numPr>
        <w:tabs>
          <w:tab w:val="clear" w:pos="1134"/>
        </w:tabs>
        <w:spacing w:before="120" w:after="0" w:line="276" w:lineRule="auto"/>
        <w:ind w:left="540" w:hanging="540"/>
      </w:pPr>
      <w:r>
        <w:t xml:space="preserve">As </w:t>
      </w:r>
      <w:r w:rsidRPr="004E1807">
        <w:t>bactérias patógenas mais frequentes em Moçambique podem</w:t>
      </w:r>
      <w:r>
        <w:t>-</w:t>
      </w:r>
      <w:r w:rsidRPr="004E1807">
        <w:t>se dividir em 4 grupos</w:t>
      </w:r>
      <w:r>
        <w:t>, nomeadamente</w:t>
      </w:r>
      <w:r w:rsidRPr="004E1807">
        <w:t>:</w:t>
      </w:r>
    </w:p>
    <w:p w:rsidR="00070E4E" w:rsidRPr="004E1807" w:rsidRDefault="00070E4E" w:rsidP="00C52E09">
      <w:pPr>
        <w:pStyle w:val="TM-4n"/>
        <w:numPr>
          <w:ilvl w:val="2"/>
          <w:numId w:val="289"/>
        </w:numPr>
        <w:tabs>
          <w:tab w:val="clear" w:pos="1134"/>
          <w:tab w:val="left" w:pos="1260"/>
        </w:tabs>
        <w:spacing w:before="120" w:after="0" w:line="276" w:lineRule="auto"/>
        <w:ind w:hanging="278"/>
      </w:pPr>
      <w:r w:rsidRPr="004E1807">
        <w:t xml:space="preserve">As espiroquetas </w:t>
      </w:r>
      <w:r>
        <w:t>(</w:t>
      </w:r>
      <w:r w:rsidRPr="004E1807">
        <w:t>responsáveis por sífilis e febres recorrentes</w:t>
      </w:r>
      <w:r>
        <w:t xml:space="preserve">); </w:t>
      </w:r>
      <w:r w:rsidRPr="004E1807">
        <w:t xml:space="preserve">As proteobactérias </w:t>
      </w:r>
      <w:r>
        <w:t>(responsáveis</w:t>
      </w:r>
      <w:r w:rsidRPr="004E1807">
        <w:t xml:space="preserve"> gonorreia, meningite, pneumonia, diarreia, e cólera</w:t>
      </w:r>
      <w:r>
        <w:t xml:space="preserve">); </w:t>
      </w:r>
      <w:r w:rsidRPr="004E1807">
        <w:t xml:space="preserve">Os micoplasmas </w:t>
      </w:r>
      <w:r>
        <w:t>(</w:t>
      </w:r>
      <w:r w:rsidRPr="004E1807">
        <w:t>responsáveis por algumas pneumonias</w:t>
      </w:r>
      <w:r>
        <w:t xml:space="preserve">); </w:t>
      </w:r>
      <w:r w:rsidRPr="004E1807">
        <w:t>diferentes patógenos Gram positivos</w:t>
      </w:r>
      <w:r>
        <w:t xml:space="preserve"> (</w:t>
      </w:r>
      <w:r w:rsidRPr="004E1807">
        <w:t>responsáveis por doenças como pneumonia, meningite, diarreia, ou infecções dérmicas</w:t>
      </w:r>
      <w:r>
        <w:t>).</w:t>
      </w:r>
    </w:p>
    <w:p w:rsidR="00070E4E" w:rsidRPr="004E1807" w:rsidRDefault="00070E4E" w:rsidP="00C52E09">
      <w:pPr>
        <w:pStyle w:val="TM-4n"/>
        <w:numPr>
          <w:ilvl w:val="1"/>
          <w:numId w:val="81"/>
        </w:numPr>
        <w:tabs>
          <w:tab w:val="clear" w:pos="1134"/>
        </w:tabs>
        <w:spacing w:before="120" w:after="0" w:line="276" w:lineRule="auto"/>
        <w:ind w:left="540" w:hanging="540"/>
      </w:pPr>
      <w:r w:rsidRPr="004E1807">
        <w:t xml:space="preserve">As micobactérias responsáveis por tuberculose e lepra se identificam com a coloração </w:t>
      </w:r>
      <w:r>
        <w:t>álcool-</w:t>
      </w:r>
      <w:r w:rsidRPr="004E1807">
        <w:t>ácido-resistente</w:t>
      </w:r>
    </w:p>
    <w:p w:rsidR="00F8000A" w:rsidRDefault="00F8000A">
      <w:pPr>
        <w:rPr>
          <w:rFonts w:eastAsia="Times New Roman" w:cs="Arial"/>
          <w:szCs w:val="20"/>
          <w:lang w:val="pt-PT" w:eastAsia="es-ES"/>
        </w:rPr>
      </w:pPr>
      <w:r w:rsidRPr="00850CFC">
        <w:rPr>
          <w:lang w:val="pt-PT"/>
        </w:rPr>
        <w:br w:type="page"/>
      </w:r>
    </w:p>
    <w:p w:rsidR="00070E4E" w:rsidRPr="000B25DB" w:rsidRDefault="00070E4E" w:rsidP="00070E4E">
      <w:pPr>
        <w:pStyle w:val="TM-4n"/>
        <w:numPr>
          <w:ilvl w:val="0"/>
          <w:numId w:val="0"/>
        </w:numPr>
        <w:spacing w:before="120" w:after="0" w:line="276" w:lineRule="auto"/>
        <w:ind w:left="720"/>
      </w:pPr>
    </w:p>
    <w:tbl>
      <w:tblPr>
        <w:tblW w:w="10060" w:type="dxa"/>
        <w:tblLayout w:type="fixed"/>
        <w:tblCellMar>
          <w:left w:w="70" w:type="dxa"/>
          <w:right w:w="70" w:type="dxa"/>
        </w:tblCellMar>
        <w:tblLook w:val="0020" w:firstRow="1" w:lastRow="0" w:firstColumn="0" w:lastColumn="0" w:noHBand="0" w:noVBand="0"/>
      </w:tblPr>
      <w:tblGrid>
        <w:gridCol w:w="1418"/>
        <w:gridCol w:w="4862"/>
        <w:gridCol w:w="1980"/>
        <w:gridCol w:w="1800"/>
      </w:tblGrid>
      <w:tr w:rsidR="00E8674E" w:rsidRPr="00391D22" w:rsidTr="00E8674E">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E8674E" w:rsidRPr="00391D22" w:rsidRDefault="00E8674E" w:rsidP="00E8674E">
            <w:pPr>
              <w:spacing w:line="240" w:lineRule="auto"/>
              <w:rPr>
                <w:rFonts w:cs="Arial"/>
                <w:b/>
                <w:szCs w:val="24"/>
              </w:rPr>
            </w:pPr>
            <w:r w:rsidRPr="00391D22">
              <w:rPr>
                <w:rFonts w:cs="Arial"/>
                <w:b/>
                <w:szCs w:val="24"/>
              </w:rPr>
              <w:t>Disciplina</w:t>
            </w:r>
          </w:p>
        </w:tc>
        <w:tc>
          <w:tcPr>
            <w:tcW w:w="4862" w:type="dxa"/>
            <w:tcBorders>
              <w:top w:val="single" w:sz="6" w:space="0" w:color="000000"/>
              <w:left w:val="single" w:sz="6" w:space="0" w:color="000000"/>
              <w:bottom w:val="single" w:sz="6" w:space="0" w:color="000000"/>
              <w:right w:val="single" w:sz="6" w:space="0" w:color="000000"/>
            </w:tcBorders>
            <w:vAlign w:val="center"/>
          </w:tcPr>
          <w:p w:rsidR="00E8674E" w:rsidRPr="00391D22" w:rsidRDefault="00E8674E" w:rsidP="00E8674E">
            <w:pPr>
              <w:spacing w:line="240" w:lineRule="auto"/>
              <w:rPr>
                <w:rFonts w:cs="Arial"/>
                <w:szCs w:val="24"/>
              </w:rPr>
            </w:pPr>
            <w:r w:rsidRPr="00391D22">
              <w:rPr>
                <w:rFonts w:cs="Arial"/>
                <w:szCs w:val="24"/>
              </w:rPr>
              <w:t>Introdução às Ciências Médicas</w:t>
            </w:r>
          </w:p>
        </w:tc>
        <w:tc>
          <w:tcPr>
            <w:tcW w:w="1980" w:type="dxa"/>
            <w:tcBorders>
              <w:top w:val="single" w:sz="6" w:space="0" w:color="000000"/>
              <w:left w:val="single" w:sz="6" w:space="0" w:color="000000"/>
              <w:bottom w:val="single" w:sz="6" w:space="0" w:color="000000"/>
              <w:right w:val="single" w:sz="6" w:space="0" w:color="000000"/>
            </w:tcBorders>
            <w:vAlign w:val="center"/>
          </w:tcPr>
          <w:p w:rsidR="00E8674E" w:rsidRPr="00391D22" w:rsidRDefault="00E8674E" w:rsidP="00E8674E">
            <w:pPr>
              <w:spacing w:line="240" w:lineRule="auto"/>
              <w:rPr>
                <w:rFonts w:cs="Arial"/>
                <w:b/>
                <w:szCs w:val="24"/>
              </w:rPr>
            </w:pPr>
            <w:r w:rsidRPr="00391D22">
              <w:rPr>
                <w:rFonts w:cs="Arial"/>
                <w:b/>
                <w:szCs w:val="24"/>
              </w:rPr>
              <w:t xml:space="preserve">N° da Aula </w:t>
            </w:r>
          </w:p>
        </w:tc>
        <w:tc>
          <w:tcPr>
            <w:tcW w:w="1800" w:type="dxa"/>
            <w:tcBorders>
              <w:top w:val="single" w:sz="6" w:space="0" w:color="000000"/>
              <w:left w:val="single" w:sz="6" w:space="0" w:color="000000"/>
              <w:bottom w:val="single" w:sz="6" w:space="0" w:color="000000"/>
              <w:right w:val="single" w:sz="6" w:space="0" w:color="000000"/>
            </w:tcBorders>
            <w:vAlign w:val="center"/>
          </w:tcPr>
          <w:p w:rsidR="00E8674E" w:rsidRPr="00391D22" w:rsidRDefault="00E8674E" w:rsidP="00E8674E">
            <w:pPr>
              <w:spacing w:line="240" w:lineRule="auto"/>
              <w:jc w:val="center"/>
              <w:rPr>
                <w:rFonts w:cs="Arial"/>
              </w:rPr>
            </w:pPr>
            <w:r w:rsidRPr="00391D22">
              <w:rPr>
                <w:rFonts w:cs="Arial"/>
              </w:rPr>
              <w:t>10</w:t>
            </w:r>
          </w:p>
        </w:tc>
      </w:tr>
      <w:tr w:rsidR="00E8674E" w:rsidRPr="00391D22" w:rsidTr="00E8674E">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E8674E" w:rsidRPr="00391D22" w:rsidRDefault="00E8674E" w:rsidP="00E8674E">
            <w:pPr>
              <w:spacing w:line="240" w:lineRule="auto"/>
              <w:rPr>
                <w:rFonts w:cs="Arial"/>
                <w:b/>
                <w:szCs w:val="24"/>
              </w:rPr>
            </w:pPr>
            <w:r w:rsidRPr="00391D22">
              <w:rPr>
                <w:rFonts w:cs="Arial"/>
                <w:b/>
                <w:szCs w:val="24"/>
              </w:rPr>
              <w:t>Tópico</w:t>
            </w:r>
          </w:p>
        </w:tc>
        <w:tc>
          <w:tcPr>
            <w:tcW w:w="4862" w:type="dxa"/>
            <w:tcBorders>
              <w:top w:val="single" w:sz="6" w:space="0" w:color="000000"/>
              <w:left w:val="single" w:sz="6" w:space="0" w:color="000000"/>
              <w:bottom w:val="single" w:sz="6" w:space="0" w:color="000000"/>
              <w:right w:val="single" w:sz="6" w:space="0" w:color="000000"/>
            </w:tcBorders>
            <w:vAlign w:val="center"/>
          </w:tcPr>
          <w:p w:rsidR="00E8674E" w:rsidRPr="00391D22" w:rsidRDefault="00E8674E" w:rsidP="00E8674E">
            <w:pPr>
              <w:spacing w:line="240" w:lineRule="auto"/>
              <w:rPr>
                <w:rFonts w:cs="Arial"/>
                <w:szCs w:val="24"/>
              </w:rPr>
            </w:pPr>
            <w:r w:rsidRPr="00391D22">
              <w:rPr>
                <w:rFonts w:cs="Arial"/>
                <w:szCs w:val="24"/>
              </w:rPr>
              <w:t>Microbiologia (4)</w:t>
            </w:r>
          </w:p>
        </w:tc>
        <w:tc>
          <w:tcPr>
            <w:tcW w:w="1980" w:type="dxa"/>
            <w:tcBorders>
              <w:top w:val="single" w:sz="6" w:space="0" w:color="000000"/>
              <w:left w:val="single" w:sz="6" w:space="0" w:color="000000"/>
              <w:bottom w:val="single" w:sz="6" w:space="0" w:color="000000"/>
              <w:right w:val="single" w:sz="6" w:space="0" w:color="000000"/>
            </w:tcBorders>
            <w:vAlign w:val="center"/>
          </w:tcPr>
          <w:p w:rsidR="00E8674E" w:rsidRPr="00391D22" w:rsidRDefault="00E8674E" w:rsidP="00E8674E">
            <w:pPr>
              <w:spacing w:line="240" w:lineRule="auto"/>
              <w:rPr>
                <w:rFonts w:cs="Arial"/>
                <w:b/>
                <w:szCs w:val="24"/>
              </w:rPr>
            </w:pPr>
            <w:r w:rsidRPr="00391D22">
              <w:rPr>
                <w:rFonts w:cs="Arial"/>
                <w:b/>
                <w:szCs w:val="24"/>
              </w:rPr>
              <w:t xml:space="preserve">Tipo </w:t>
            </w:r>
          </w:p>
        </w:tc>
        <w:tc>
          <w:tcPr>
            <w:tcW w:w="1800" w:type="dxa"/>
            <w:tcBorders>
              <w:top w:val="single" w:sz="6" w:space="0" w:color="000000"/>
              <w:left w:val="single" w:sz="6" w:space="0" w:color="000000"/>
              <w:bottom w:val="single" w:sz="6" w:space="0" w:color="000000"/>
              <w:right w:val="single" w:sz="6" w:space="0" w:color="000000"/>
            </w:tcBorders>
            <w:vAlign w:val="center"/>
          </w:tcPr>
          <w:p w:rsidR="00E8674E" w:rsidRPr="00391D22" w:rsidRDefault="00E8674E" w:rsidP="00E8674E">
            <w:pPr>
              <w:spacing w:line="240" w:lineRule="auto"/>
              <w:jc w:val="center"/>
              <w:rPr>
                <w:rFonts w:cs="Arial"/>
              </w:rPr>
            </w:pPr>
            <w:r w:rsidRPr="00391D22">
              <w:rPr>
                <w:rFonts w:cs="Arial"/>
              </w:rPr>
              <w:t>Teórica</w:t>
            </w:r>
          </w:p>
        </w:tc>
      </w:tr>
      <w:tr w:rsidR="00E8674E" w:rsidRPr="00391D22" w:rsidTr="00E8674E">
        <w:trPr>
          <w:cantSplit/>
          <w:trHeight w:val="414"/>
        </w:trPr>
        <w:tc>
          <w:tcPr>
            <w:tcW w:w="1418" w:type="dxa"/>
            <w:tcBorders>
              <w:top w:val="single" w:sz="6" w:space="0" w:color="000000"/>
              <w:left w:val="single" w:sz="6" w:space="0" w:color="000000"/>
              <w:bottom w:val="single" w:sz="6" w:space="0" w:color="000000"/>
              <w:right w:val="single" w:sz="6" w:space="0" w:color="000000"/>
            </w:tcBorders>
            <w:vAlign w:val="center"/>
          </w:tcPr>
          <w:p w:rsidR="00E8674E" w:rsidRPr="00391D22" w:rsidRDefault="00E8674E" w:rsidP="00E8674E">
            <w:pPr>
              <w:spacing w:line="240" w:lineRule="auto"/>
              <w:rPr>
                <w:rFonts w:cs="Arial"/>
                <w:b/>
                <w:szCs w:val="24"/>
              </w:rPr>
            </w:pPr>
            <w:r w:rsidRPr="00391D22">
              <w:rPr>
                <w:rFonts w:cs="Arial"/>
                <w:b/>
                <w:szCs w:val="24"/>
              </w:rPr>
              <w:t>Conteúdos</w:t>
            </w:r>
          </w:p>
        </w:tc>
        <w:tc>
          <w:tcPr>
            <w:tcW w:w="4862" w:type="dxa"/>
            <w:tcBorders>
              <w:top w:val="single" w:sz="6" w:space="0" w:color="000000"/>
              <w:left w:val="single" w:sz="6" w:space="0" w:color="000000"/>
              <w:bottom w:val="single" w:sz="6" w:space="0" w:color="000000"/>
              <w:right w:val="single" w:sz="6" w:space="0" w:color="000000"/>
            </w:tcBorders>
            <w:vAlign w:val="center"/>
          </w:tcPr>
          <w:p w:rsidR="00E8674E" w:rsidRPr="00F8000A" w:rsidRDefault="00E8674E" w:rsidP="00E8674E">
            <w:pPr>
              <w:pStyle w:val="Heading1"/>
              <w:rPr>
                <w:b w:val="0"/>
                <w:sz w:val="22"/>
                <w:szCs w:val="22"/>
              </w:rPr>
            </w:pPr>
            <w:bookmarkStart w:id="15" w:name="_Toc329099758"/>
            <w:r w:rsidRPr="00F8000A">
              <w:rPr>
                <w:b w:val="0"/>
                <w:sz w:val="22"/>
                <w:szCs w:val="22"/>
              </w:rPr>
              <w:t>Vírus Patogénicos</w:t>
            </w:r>
            <w:bookmarkEnd w:id="15"/>
          </w:p>
        </w:tc>
        <w:tc>
          <w:tcPr>
            <w:tcW w:w="1980" w:type="dxa"/>
            <w:tcBorders>
              <w:top w:val="single" w:sz="6" w:space="0" w:color="000000"/>
              <w:left w:val="single" w:sz="6" w:space="0" w:color="000000"/>
              <w:bottom w:val="single" w:sz="6" w:space="0" w:color="000000"/>
              <w:right w:val="single" w:sz="6" w:space="0" w:color="000000"/>
            </w:tcBorders>
            <w:vAlign w:val="center"/>
          </w:tcPr>
          <w:p w:rsidR="00E8674E" w:rsidRPr="00391D22" w:rsidRDefault="00E8674E" w:rsidP="00E8674E">
            <w:pPr>
              <w:spacing w:line="240" w:lineRule="auto"/>
              <w:rPr>
                <w:rFonts w:cs="Arial"/>
                <w:b/>
                <w:szCs w:val="24"/>
              </w:rPr>
            </w:pPr>
            <w:r w:rsidRPr="00391D22">
              <w:rPr>
                <w:rFonts w:cs="Arial"/>
                <w:b/>
                <w:szCs w:val="24"/>
              </w:rPr>
              <w:t>Duração</w:t>
            </w:r>
          </w:p>
        </w:tc>
        <w:tc>
          <w:tcPr>
            <w:tcW w:w="1800" w:type="dxa"/>
            <w:tcBorders>
              <w:top w:val="single" w:sz="6" w:space="0" w:color="000000"/>
              <w:left w:val="single" w:sz="6" w:space="0" w:color="000000"/>
              <w:bottom w:val="single" w:sz="6" w:space="0" w:color="000000"/>
              <w:right w:val="single" w:sz="6" w:space="0" w:color="000000"/>
            </w:tcBorders>
            <w:vAlign w:val="center"/>
          </w:tcPr>
          <w:p w:rsidR="00E8674E" w:rsidRPr="00391D22" w:rsidRDefault="00E8674E" w:rsidP="00E8674E">
            <w:pPr>
              <w:spacing w:line="240" w:lineRule="auto"/>
              <w:jc w:val="center"/>
              <w:rPr>
                <w:rFonts w:cs="Arial"/>
              </w:rPr>
            </w:pPr>
            <w:r w:rsidRPr="00391D22">
              <w:rPr>
                <w:rFonts w:cs="Arial"/>
              </w:rPr>
              <w:t>2 h</w:t>
            </w:r>
          </w:p>
        </w:tc>
      </w:tr>
    </w:tbl>
    <w:p w:rsidR="00F8000A" w:rsidRDefault="00F8000A" w:rsidP="00774441">
      <w:pPr>
        <w:spacing w:line="240" w:lineRule="auto"/>
        <w:rPr>
          <w:b/>
        </w:rPr>
      </w:pPr>
    </w:p>
    <w:p w:rsidR="00E8674E" w:rsidRPr="0052785B" w:rsidRDefault="00E8674E" w:rsidP="0052785B">
      <w:pPr>
        <w:rPr>
          <w:b/>
        </w:rPr>
      </w:pPr>
      <w:r w:rsidRPr="0052785B">
        <w:rPr>
          <w:b/>
        </w:rPr>
        <w:t>Objectivos de Aprendizagem:</w:t>
      </w:r>
    </w:p>
    <w:p w:rsidR="00E8674E" w:rsidRPr="00E8674E" w:rsidRDefault="00E8674E" w:rsidP="00E8674E">
      <w:pPr>
        <w:spacing w:before="60"/>
        <w:rPr>
          <w:rFonts w:cs="Arial"/>
          <w:lang w:val="pt-BR"/>
        </w:rPr>
      </w:pPr>
      <w:r w:rsidRPr="00E8674E">
        <w:rPr>
          <w:rFonts w:cs="Arial"/>
          <w:lang w:val="pt-BR"/>
        </w:rPr>
        <w:t>Até ao fim da aula os alunos devem ser capazes de:</w:t>
      </w:r>
    </w:p>
    <w:p w:rsidR="00E8674E" w:rsidRPr="00E8674E" w:rsidRDefault="00E8674E" w:rsidP="00E8674E">
      <w:pPr>
        <w:spacing w:before="60"/>
        <w:rPr>
          <w:rFonts w:cs="Arial"/>
          <w:lang w:val="pt-BR"/>
        </w:rPr>
      </w:pPr>
      <w:r w:rsidRPr="00E8674E">
        <w:rPr>
          <w:rFonts w:cs="Arial"/>
          <w:lang w:val="pt-BR"/>
        </w:rPr>
        <w:t>Sobre o conteúdo “Vírus patogénicos”</w:t>
      </w:r>
    </w:p>
    <w:p w:rsidR="00E8674E" w:rsidRPr="00391D22" w:rsidRDefault="00E8674E" w:rsidP="00C52E09">
      <w:pPr>
        <w:pStyle w:val="ListParagraph"/>
        <w:numPr>
          <w:ilvl w:val="0"/>
          <w:numId w:val="82"/>
        </w:numPr>
        <w:spacing w:before="60" w:after="0"/>
        <w:contextualSpacing w:val="0"/>
        <w:rPr>
          <w:rFonts w:cs="Arial"/>
        </w:rPr>
      </w:pPr>
      <w:r w:rsidRPr="00391D22">
        <w:rPr>
          <w:rFonts w:cs="Arial"/>
        </w:rPr>
        <w:t>Definir e classificar vírus patogénicos</w:t>
      </w:r>
    </w:p>
    <w:p w:rsidR="00E8674E" w:rsidRPr="00E8674E" w:rsidRDefault="00E8674E" w:rsidP="00C52E09">
      <w:pPr>
        <w:pStyle w:val="ListParagraph"/>
        <w:numPr>
          <w:ilvl w:val="0"/>
          <w:numId w:val="82"/>
        </w:numPr>
        <w:spacing w:before="60" w:after="0"/>
        <w:contextualSpacing w:val="0"/>
        <w:rPr>
          <w:rFonts w:cs="Arial"/>
          <w:lang w:val="pt-BR"/>
        </w:rPr>
      </w:pPr>
      <w:r w:rsidRPr="00E8674E">
        <w:rPr>
          <w:rFonts w:cs="Arial"/>
          <w:lang w:val="pt-BR"/>
        </w:rPr>
        <w:t>Explicar as características morfológicas dos vírus</w:t>
      </w:r>
    </w:p>
    <w:p w:rsidR="00E8674E" w:rsidRPr="00E8674E" w:rsidRDefault="00E8674E" w:rsidP="00C52E09">
      <w:pPr>
        <w:pStyle w:val="ListParagraph"/>
        <w:numPr>
          <w:ilvl w:val="0"/>
          <w:numId w:val="82"/>
        </w:numPr>
        <w:spacing w:before="60" w:after="0"/>
        <w:contextualSpacing w:val="0"/>
        <w:rPr>
          <w:rFonts w:cs="Arial"/>
          <w:lang w:val="pt-BR"/>
        </w:rPr>
      </w:pPr>
      <w:r w:rsidRPr="00E8674E">
        <w:rPr>
          <w:rFonts w:cs="Arial"/>
          <w:lang w:val="pt-BR"/>
        </w:rPr>
        <w:t>Resumir as características principais do HIV e os factos básicos da infecção pelo HIV</w:t>
      </w:r>
    </w:p>
    <w:p w:rsidR="00E8674E" w:rsidRPr="00E8674E" w:rsidRDefault="00E8674E" w:rsidP="00C52E09">
      <w:pPr>
        <w:pStyle w:val="ListParagraph"/>
        <w:numPr>
          <w:ilvl w:val="0"/>
          <w:numId w:val="82"/>
        </w:numPr>
        <w:spacing w:before="60" w:after="0"/>
        <w:contextualSpacing w:val="0"/>
        <w:rPr>
          <w:rFonts w:cs="Arial"/>
          <w:lang w:val="pt-BR"/>
        </w:rPr>
      </w:pPr>
      <w:r w:rsidRPr="00E8674E">
        <w:rPr>
          <w:rFonts w:cs="Arial"/>
          <w:lang w:val="pt-BR"/>
        </w:rPr>
        <w:t>Explicar sucintamente as características principais e factos básicos da infecção pelo vírus do sarampo, varicela, herpes, hepatite</w:t>
      </w:r>
    </w:p>
    <w:p w:rsidR="00F8000A" w:rsidRPr="00850CFC" w:rsidRDefault="00F8000A" w:rsidP="0052785B">
      <w:pPr>
        <w:rPr>
          <w:b/>
          <w:lang w:val="pt-PT"/>
        </w:rPr>
      </w:pPr>
    </w:p>
    <w:p w:rsidR="00E8674E" w:rsidRPr="0052785B" w:rsidRDefault="00E8674E" w:rsidP="0052785B">
      <w:pPr>
        <w:rPr>
          <w:b/>
        </w:rPr>
      </w:pPr>
      <w:r w:rsidRPr="0052785B">
        <w:rPr>
          <w:b/>
        </w:rPr>
        <w:t>Estrutura da Aula</w:t>
      </w:r>
    </w:p>
    <w:tbl>
      <w:tblPr>
        <w:tblW w:w="10098" w:type="dxa"/>
        <w:tblBorders>
          <w:top w:val="single" w:sz="18" w:space="0" w:color="auto"/>
          <w:bottom w:val="single" w:sz="18" w:space="0" w:color="auto"/>
        </w:tblBorders>
        <w:tblLayout w:type="fixed"/>
        <w:tblLook w:val="0400" w:firstRow="0" w:lastRow="0" w:firstColumn="0" w:lastColumn="0" w:noHBand="0" w:noVBand="1"/>
      </w:tblPr>
      <w:tblGrid>
        <w:gridCol w:w="738"/>
        <w:gridCol w:w="3690"/>
        <w:gridCol w:w="3870"/>
        <w:gridCol w:w="1800"/>
      </w:tblGrid>
      <w:tr w:rsidR="00E8674E" w:rsidRPr="00391D22" w:rsidTr="00E8674E">
        <w:trPr>
          <w:trHeight w:val="490"/>
        </w:trPr>
        <w:tc>
          <w:tcPr>
            <w:tcW w:w="738" w:type="dxa"/>
            <w:tcBorders>
              <w:top w:val="single" w:sz="18" w:space="0" w:color="auto"/>
              <w:bottom w:val="single" w:sz="18" w:space="0" w:color="auto"/>
              <w:right w:val="single" w:sz="4" w:space="0" w:color="auto"/>
            </w:tcBorders>
            <w:shd w:val="clear" w:color="auto" w:fill="B8CCE4"/>
          </w:tcPr>
          <w:p w:rsidR="00E8674E" w:rsidRPr="00391D22" w:rsidRDefault="00E8674E" w:rsidP="00E8674E">
            <w:pPr>
              <w:spacing w:line="720" w:lineRule="auto"/>
              <w:ind w:left="-110" w:right="-108"/>
              <w:jc w:val="center"/>
              <w:rPr>
                <w:rFonts w:cs="Arial"/>
                <w:b/>
                <w:sz w:val="20"/>
                <w:szCs w:val="20"/>
              </w:rPr>
            </w:pPr>
            <w:r w:rsidRPr="00391D22">
              <w:rPr>
                <w:rFonts w:cs="Arial"/>
                <w:b/>
                <w:sz w:val="20"/>
                <w:szCs w:val="20"/>
              </w:rPr>
              <w:t>Bloco</w:t>
            </w:r>
          </w:p>
        </w:tc>
        <w:tc>
          <w:tcPr>
            <w:tcW w:w="3690" w:type="dxa"/>
            <w:tcBorders>
              <w:top w:val="single" w:sz="18" w:space="0" w:color="auto"/>
              <w:left w:val="single" w:sz="4" w:space="0" w:color="auto"/>
              <w:bottom w:val="single" w:sz="18" w:space="0" w:color="auto"/>
              <w:right w:val="single" w:sz="4" w:space="0" w:color="auto"/>
            </w:tcBorders>
            <w:shd w:val="clear" w:color="auto" w:fill="B8CCE4"/>
          </w:tcPr>
          <w:p w:rsidR="00E8674E" w:rsidRPr="00391D22" w:rsidRDefault="00E8674E" w:rsidP="00E8674E">
            <w:pPr>
              <w:spacing w:line="720" w:lineRule="auto"/>
              <w:jc w:val="center"/>
              <w:rPr>
                <w:rFonts w:cs="Arial"/>
                <w:b/>
                <w:sz w:val="20"/>
                <w:szCs w:val="20"/>
              </w:rPr>
            </w:pPr>
            <w:r w:rsidRPr="00391D22">
              <w:rPr>
                <w:rFonts w:cs="Arial"/>
                <w:b/>
                <w:sz w:val="20"/>
                <w:szCs w:val="20"/>
              </w:rPr>
              <w:t>Título do Bloco</w:t>
            </w:r>
          </w:p>
        </w:tc>
        <w:tc>
          <w:tcPr>
            <w:tcW w:w="3870" w:type="dxa"/>
            <w:tcBorders>
              <w:top w:val="single" w:sz="18" w:space="0" w:color="auto"/>
              <w:left w:val="single" w:sz="4" w:space="0" w:color="auto"/>
              <w:bottom w:val="single" w:sz="18" w:space="0" w:color="auto"/>
              <w:right w:val="single" w:sz="4" w:space="0" w:color="auto"/>
            </w:tcBorders>
            <w:shd w:val="clear" w:color="auto" w:fill="B8CCE4"/>
          </w:tcPr>
          <w:p w:rsidR="00E8674E" w:rsidRPr="00391D22" w:rsidRDefault="00E8674E" w:rsidP="00E8674E">
            <w:pPr>
              <w:tabs>
                <w:tab w:val="left" w:pos="244"/>
              </w:tabs>
              <w:spacing w:line="720" w:lineRule="auto"/>
              <w:jc w:val="center"/>
              <w:rPr>
                <w:rFonts w:cs="Arial"/>
                <w:b/>
                <w:sz w:val="20"/>
                <w:szCs w:val="20"/>
                <w:lang w:val="pt-BR"/>
              </w:rPr>
            </w:pPr>
            <w:r w:rsidRPr="00391D22">
              <w:rPr>
                <w:rFonts w:cs="Arial"/>
                <w:b/>
                <w:sz w:val="20"/>
                <w:szCs w:val="20"/>
              </w:rPr>
              <w:t>M</w:t>
            </w:r>
            <w:r w:rsidRPr="00391D22">
              <w:rPr>
                <w:rFonts w:cs="Arial"/>
                <w:b/>
                <w:sz w:val="20"/>
                <w:szCs w:val="20"/>
                <w:lang w:val="pt-BR"/>
              </w:rPr>
              <w:t>étodo de Ensino</w:t>
            </w:r>
          </w:p>
        </w:tc>
        <w:tc>
          <w:tcPr>
            <w:tcW w:w="1800" w:type="dxa"/>
            <w:tcBorders>
              <w:top w:val="single" w:sz="18" w:space="0" w:color="auto"/>
              <w:left w:val="single" w:sz="4" w:space="0" w:color="auto"/>
              <w:bottom w:val="single" w:sz="18" w:space="0" w:color="auto"/>
            </w:tcBorders>
            <w:shd w:val="clear" w:color="auto" w:fill="B8CCE4"/>
          </w:tcPr>
          <w:p w:rsidR="00E8674E" w:rsidRPr="00391D22" w:rsidRDefault="00E8674E" w:rsidP="00E8674E">
            <w:pPr>
              <w:tabs>
                <w:tab w:val="left" w:pos="244"/>
              </w:tabs>
              <w:spacing w:line="720" w:lineRule="auto"/>
              <w:jc w:val="center"/>
              <w:rPr>
                <w:rFonts w:cs="Arial"/>
                <w:b/>
                <w:sz w:val="20"/>
                <w:szCs w:val="20"/>
                <w:lang w:val="pt-BR"/>
              </w:rPr>
            </w:pPr>
            <w:r w:rsidRPr="00391D22">
              <w:rPr>
                <w:rFonts w:cs="Arial"/>
                <w:b/>
                <w:sz w:val="20"/>
                <w:szCs w:val="20"/>
              </w:rPr>
              <w:t>Duração</w:t>
            </w:r>
          </w:p>
        </w:tc>
      </w:tr>
      <w:tr w:rsidR="00E8674E" w:rsidRPr="00391D22" w:rsidTr="00E8674E">
        <w:tc>
          <w:tcPr>
            <w:tcW w:w="738" w:type="dxa"/>
            <w:tcBorders>
              <w:top w:val="single" w:sz="18" w:space="0" w:color="auto"/>
              <w:bottom w:val="single" w:sz="4" w:space="0" w:color="auto"/>
              <w:right w:val="single" w:sz="4" w:space="0" w:color="auto"/>
            </w:tcBorders>
          </w:tcPr>
          <w:p w:rsidR="00E8674E" w:rsidRPr="00391D22" w:rsidRDefault="00E8674E" w:rsidP="00E8674E">
            <w:pPr>
              <w:spacing w:before="60" w:after="60" w:line="720" w:lineRule="auto"/>
              <w:ind w:left="-110" w:right="-108"/>
              <w:jc w:val="center"/>
              <w:rPr>
                <w:rFonts w:cs="Arial"/>
                <w:sz w:val="20"/>
                <w:szCs w:val="20"/>
              </w:rPr>
            </w:pPr>
            <w:r w:rsidRPr="00391D22">
              <w:rPr>
                <w:rFonts w:cs="Arial"/>
                <w:sz w:val="20"/>
                <w:szCs w:val="20"/>
              </w:rPr>
              <w:t>1</w:t>
            </w:r>
          </w:p>
        </w:tc>
        <w:tc>
          <w:tcPr>
            <w:tcW w:w="3690" w:type="dxa"/>
            <w:tcBorders>
              <w:top w:val="single" w:sz="18" w:space="0" w:color="auto"/>
              <w:left w:val="single" w:sz="4" w:space="0" w:color="auto"/>
              <w:bottom w:val="single" w:sz="4" w:space="0" w:color="auto"/>
              <w:right w:val="single" w:sz="4" w:space="0" w:color="auto"/>
            </w:tcBorders>
            <w:vAlign w:val="center"/>
          </w:tcPr>
          <w:p w:rsidR="00E8674E" w:rsidRPr="00391D22" w:rsidRDefault="00E8674E" w:rsidP="00E8674E">
            <w:pPr>
              <w:tabs>
                <w:tab w:val="left" w:pos="244"/>
              </w:tabs>
              <w:spacing w:before="60" w:after="60" w:line="720" w:lineRule="auto"/>
              <w:rPr>
                <w:rFonts w:cs="Arial"/>
                <w:sz w:val="20"/>
                <w:szCs w:val="20"/>
              </w:rPr>
            </w:pPr>
            <w:r w:rsidRPr="00391D22">
              <w:rPr>
                <w:rFonts w:cs="Arial"/>
                <w:sz w:val="20"/>
                <w:szCs w:val="20"/>
              </w:rPr>
              <w:t>Introdução à Aula</w:t>
            </w:r>
          </w:p>
        </w:tc>
        <w:tc>
          <w:tcPr>
            <w:tcW w:w="3870" w:type="dxa"/>
            <w:tcBorders>
              <w:top w:val="single" w:sz="18" w:space="0" w:color="auto"/>
              <w:left w:val="single" w:sz="4" w:space="0" w:color="auto"/>
              <w:bottom w:val="single" w:sz="4" w:space="0" w:color="auto"/>
              <w:right w:val="single" w:sz="4" w:space="0" w:color="auto"/>
            </w:tcBorders>
          </w:tcPr>
          <w:p w:rsidR="00E8674E" w:rsidRPr="00391D22" w:rsidRDefault="00E8674E" w:rsidP="00E8674E">
            <w:pPr>
              <w:tabs>
                <w:tab w:val="left" w:pos="244"/>
              </w:tabs>
              <w:spacing w:before="60" w:after="60" w:line="720" w:lineRule="auto"/>
              <w:rPr>
                <w:rFonts w:cs="Arial"/>
                <w:sz w:val="20"/>
                <w:szCs w:val="20"/>
              </w:rPr>
            </w:pPr>
          </w:p>
        </w:tc>
        <w:tc>
          <w:tcPr>
            <w:tcW w:w="1800" w:type="dxa"/>
            <w:tcBorders>
              <w:top w:val="single" w:sz="18" w:space="0" w:color="auto"/>
              <w:left w:val="single" w:sz="4" w:space="0" w:color="auto"/>
              <w:bottom w:val="single" w:sz="4" w:space="0" w:color="auto"/>
            </w:tcBorders>
          </w:tcPr>
          <w:p w:rsidR="00E8674E" w:rsidRPr="00391D22" w:rsidRDefault="00E8674E" w:rsidP="00E8674E">
            <w:pPr>
              <w:tabs>
                <w:tab w:val="left" w:pos="244"/>
              </w:tabs>
              <w:spacing w:before="60" w:after="60" w:line="720" w:lineRule="auto"/>
              <w:jc w:val="right"/>
              <w:rPr>
                <w:rFonts w:cs="Arial"/>
                <w:sz w:val="20"/>
                <w:szCs w:val="20"/>
              </w:rPr>
            </w:pPr>
          </w:p>
        </w:tc>
      </w:tr>
      <w:tr w:rsidR="00E8674E" w:rsidRPr="00FC6E81" w:rsidTr="00E8674E">
        <w:tc>
          <w:tcPr>
            <w:tcW w:w="738" w:type="dxa"/>
            <w:tcBorders>
              <w:top w:val="single" w:sz="4" w:space="0" w:color="auto"/>
              <w:bottom w:val="single" w:sz="4" w:space="0" w:color="auto"/>
              <w:right w:val="single" w:sz="4" w:space="0" w:color="auto"/>
            </w:tcBorders>
            <w:shd w:val="clear" w:color="auto" w:fill="D9D9D9"/>
          </w:tcPr>
          <w:p w:rsidR="00E8674E" w:rsidRPr="00391D22" w:rsidRDefault="00E8674E" w:rsidP="00E8674E">
            <w:pPr>
              <w:spacing w:before="60" w:after="60" w:line="720" w:lineRule="auto"/>
              <w:ind w:left="-110" w:right="-108"/>
              <w:jc w:val="center"/>
              <w:rPr>
                <w:rFonts w:cs="Arial"/>
                <w:sz w:val="20"/>
                <w:szCs w:val="20"/>
              </w:rPr>
            </w:pPr>
            <w:r w:rsidRPr="00391D22">
              <w:rPr>
                <w:rFonts w:cs="Arial"/>
                <w:sz w:val="20"/>
                <w:szCs w:val="20"/>
              </w:rPr>
              <w:t>2</w:t>
            </w:r>
          </w:p>
        </w:tc>
        <w:tc>
          <w:tcPr>
            <w:tcW w:w="3690" w:type="dxa"/>
            <w:tcBorders>
              <w:top w:val="single" w:sz="4" w:space="0" w:color="auto"/>
              <w:left w:val="single" w:sz="4" w:space="0" w:color="auto"/>
              <w:bottom w:val="single" w:sz="4" w:space="0" w:color="auto"/>
              <w:right w:val="single" w:sz="4" w:space="0" w:color="auto"/>
            </w:tcBorders>
            <w:shd w:val="clear" w:color="auto" w:fill="D9D9D9"/>
          </w:tcPr>
          <w:p w:rsidR="00E8674E" w:rsidRPr="00391D22" w:rsidRDefault="00E8674E" w:rsidP="00E8674E">
            <w:pPr>
              <w:tabs>
                <w:tab w:val="left" w:pos="244"/>
              </w:tabs>
              <w:spacing w:before="60" w:after="60" w:line="720" w:lineRule="auto"/>
              <w:rPr>
                <w:rFonts w:cs="Arial"/>
                <w:sz w:val="20"/>
                <w:szCs w:val="20"/>
                <w:lang w:val="pt-BR"/>
              </w:rPr>
            </w:pPr>
            <w:r w:rsidRPr="00391D22">
              <w:rPr>
                <w:rFonts w:cs="Arial"/>
                <w:sz w:val="20"/>
                <w:szCs w:val="20"/>
                <w:lang w:val="pt-BR"/>
              </w:rPr>
              <w:t>Estrutura e Morfologia dos Vírus</w:t>
            </w:r>
          </w:p>
        </w:tc>
        <w:tc>
          <w:tcPr>
            <w:tcW w:w="3870" w:type="dxa"/>
            <w:tcBorders>
              <w:top w:val="single" w:sz="4" w:space="0" w:color="auto"/>
              <w:left w:val="single" w:sz="4" w:space="0" w:color="auto"/>
              <w:bottom w:val="single" w:sz="4" w:space="0" w:color="auto"/>
              <w:right w:val="single" w:sz="4" w:space="0" w:color="auto"/>
            </w:tcBorders>
            <w:shd w:val="clear" w:color="auto" w:fill="D9D9D9"/>
          </w:tcPr>
          <w:p w:rsidR="00E8674E" w:rsidRPr="00391D22" w:rsidRDefault="00E8674E" w:rsidP="00E8674E">
            <w:pPr>
              <w:spacing w:before="60" w:after="60" w:line="720" w:lineRule="auto"/>
              <w:ind w:left="-18" w:firstLine="18"/>
              <w:rPr>
                <w:rFonts w:cs="Arial"/>
                <w:sz w:val="20"/>
                <w:szCs w:val="20"/>
                <w:lang w:val="pt-BR"/>
              </w:rPr>
            </w:pPr>
          </w:p>
        </w:tc>
        <w:tc>
          <w:tcPr>
            <w:tcW w:w="1800" w:type="dxa"/>
            <w:tcBorders>
              <w:top w:val="single" w:sz="4" w:space="0" w:color="auto"/>
              <w:left w:val="single" w:sz="4" w:space="0" w:color="auto"/>
              <w:bottom w:val="single" w:sz="4" w:space="0" w:color="auto"/>
            </w:tcBorders>
            <w:shd w:val="clear" w:color="auto" w:fill="D9D9D9"/>
          </w:tcPr>
          <w:p w:rsidR="00E8674E" w:rsidRPr="00391D22" w:rsidRDefault="00E8674E" w:rsidP="00E8674E">
            <w:pPr>
              <w:spacing w:before="60" w:after="60" w:line="720" w:lineRule="auto"/>
              <w:ind w:left="-18" w:firstLine="18"/>
              <w:jc w:val="right"/>
              <w:rPr>
                <w:rFonts w:cs="Arial"/>
                <w:sz w:val="20"/>
                <w:szCs w:val="20"/>
                <w:lang w:val="pt-BR"/>
              </w:rPr>
            </w:pPr>
          </w:p>
        </w:tc>
      </w:tr>
      <w:tr w:rsidR="00E8674E" w:rsidRPr="00391D22" w:rsidTr="00E8674E">
        <w:tc>
          <w:tcPr>
            <w:tcW w:w="738" w:type="dxa"/>
            <w:tcBorders>
              <w:top w:val="single" w:sz="4" w:space="0" w:color="auto"/>
              <w:bottom w:val="single" w:sz="4" w:space="0" w:color="auto"/>
              <w:right w:val="single" w:sz="4" w:space="0" w:color="auto"/>
            </w:tcBorders>
            <w:shd w:val="clear" w:color="auto" w:fill="FFFFFF"/>
          </w:tcPr>
          <w:p w:rsidR="00E8674E" w:rsidRPr="00391D22" w:rsidRDefault="00E8674E" w:rsidP="00E8674E">
            <w:pPr>
              <w:spacing w:before="60" w:after="60" w:line="720" w:lineRule="auto"/>
              <w:ind w:left="-110" w:right="-108"/>
              <w:jc w:val="center"/>
              <w:rPr>
                <w:rFonts w:cs="Arial"/>
                <w:sz w:val="20"/>
                <w:szCs w:val="20"/>
              </w:rPr>
            </w:pPr>
            <w:r w:rsidRPr="00391D22">
              <w:rPr>
                <w:rFonts w:cs="Arial"/>
                <w:sz w:val="20"/>
                <w:szCs w:val="20"/>
              </w:rPr>
              <w:t>3</w:t>
            </w:r>
          </w:p>
        </w:tc>
        <w:tc>
          <w:tcPr>
            <w:tcW w:w="3690" w:type="dxa"/>
            <w:tcBorders>
              <w:top w:val="single" w:sz="4" w:space="0" w:color="auto"/>
              <w:left w:val="single" w:sz="4" w:space="0" w:color="auto"/>
              <w:bottom w:val="single" w:sz="4" w:space="0" w:color="auto"/>
              <w:right w:val="single" w:sz="4" w:space="0" w:color="auto"/>
            </w:tcBorders>
            <w:shd w:val="clear" w:color="auto" w:fill="FFFFFF"/>
          </w:tcPr>
          <w:p w:rsidR="00E8674E" w:rsidRPr="00391D22" w:rsidRDefault="00E8674E" w:rsidP="00E8674E">
            <w:pPr>
              <w:tabs>
                <w:tab w:val="left" w:pos="244"/>
              </w:tabs>
              <w:spacing w:before="60" w:after="60" w:line="720" w:lineRule="auto"/>
              <w:rPr>
                <w:rFonts w:cs="Arial"/>
                <w:sz w:val="20"/>
                <w:szCs w:val="20"/>
              </w:rPr>
            </w:pPr>
            <w:r w:rsidRPr="00391D22">
              <w:rPr>
                <w:rFonts w:cs="Arial"/>
                <w:sz w:val="20"/>
                <w:szCs w:val="20"/>
              </w:rPr>
              <w:t>Patogenia da Infecção Viral</w:t>
            </w:r>
          </w:p>
        </w:tc>
        <w:tc>
          <w:tcPr>
            <w:tcW w:w="3870" w:type="dxa"/>
            <w:tcBorders>
              <w:top w:val="single" w:sz="4" w:space="0" w:color="auto"/>
              <w:left w:val="single" w:sz="4" w:space="0" w:color="auto"/>
              <w:bottom w:val="single" w:sz="4" w:space="0" w:color="auto"/>
              <w:right w:val="single" w:sz="4" w:space="0" w:color="auto"/>
            </w:tcBorders>
            <w:shd w:val="clear" w:color="auto" w:fill="FFFFFF"/>
          </w:tcPr>
          <w:p w:rsidR="00E8674E" w:rsidRPr="00391D22" w:rsidRDefault="00E8674E" w:rsidP="00E8674E">
            <w:pPr>
              <w:spacing w:before="60" w:after="60" w:line="720" w:lineRule="auto"/>
              <w:ind w:left="-18" w:firstLine="18"/>
              <w:rPr>
                <w:rFonts w:cs="Arial"/>
                <w:sz w:val="20"/>
                <w:szCs w:val="20"/>
              </w:rPr>
            </w:pPr>
          </w:p>
        </w:tc>
        <w:tc>
          <w:tcPr>
            <w:tcW w:w="1800" w:type="dxa"/>
            <w:tcBorders>
              <w:top w:val="single" w:sz="4" w:space="0" w:color="auto"/>
              <w:left w:val="single" w:sz="4" w:space="0" w:color="auto"/>
              <w:bottom w:val="single" w:sz="4" w:space="0" w:color="auto"/>
            </w:tcBorders>
            <w:shd w:val="clear" w:color="auto" w:fill="FFFFFF"/>
          </w:tcPr>
          <w:p w:rsidR="00E8674E" w:rsidRPr="00391D22" w:rsidRDefault="00E8674E" w:rsidP="00E8674E">
            <w:pPr>
              <w:spacing w:before="60" w:after="60" w:line="720" w:lineRule="auto"/>
              <w:ind w:left="-18" w:firstLine="18"/>
              <w:jc w:val="right"/>
              <w:rPr>
                <w:rFonts w:cs="Arial"/>
                <w:sz w:val="20"/>
                <w:szCs w:val="20"/>
              </w:rPr>
            </w:pPr>
          </w:p>
        </w:tc>
      </w:tr>
      <w:tr w:rsidR="00E8674E" w:rsidRPr="00FC6E81" w:rsidTr="00E8674E">
        <w:tc>
          <w:tcPr>
            <w:tcW w:w="738" w:type="dxa"/>
            <w:tcBorders>
              <w:top w:val="single" w:sz="4" w:space="0" w:color="auto"/>
              <w:bottom w:val="single" w:sz="4" w:space="0" w:color="auto"/>
              <w:right w:val="single" w:sz="4" w:space="0" w:color="auto"/>
            </w:tcBorders>
            <w:shd w:val="clear" w:color="auto" w:fill="D9D9D9"/>
          </w:tcPr>
          <w:p w:rsidR="00E8674E" w:rsidRPr="00391D22" w:rsidRDefault="00E8674E" w:rsidP="00E8674E">
            <w:pPr>
              <w:spacing w:before="60" w:after="60" w:line="720" w:lineRule="auto"/>
              <w:ind w:left="-110" w:right="-108"/>
              <w:jc w:val="center"/>
              <w:rPr>
                <w:rFonts w:cs="Arial"/>
                <w:sz w:val="20"/>
                <w:szCs w:val="20"/>
              </w:rPr>
            </w:pPr>
            <w:r w:rsidRPr="00391D22">
              <w:rPr>
                <w:rFonts w:cs="Arial"/>
                <w:sz w:val="20"/>
                <w:szCs w:val="20"/>
              </w:rPr>
              <w:t>4</w:t>
            </w:r>
          </w:p>
        </w:tc>
        <w:tc>
          <w:tcPr>
            <w:tcW w:w="3690" w:type="dxa"/>
            <w:tcBorders>
              <w:top w:val="single" w:sz="4" w:space="0" w:color="auto"/>
              <w:left w:val="single" w:sz="4" w:space="0" w:color="auto"/>
              <w:bottom w:val="single" w:sz="4" w:space="0" w:color="auto"/>
              <w:right w:val="single" w:sz="4" w:space="0" w:color="auto"/>
            </w:tcBorders>
            <w:shd w:val="clear" w:color="auto" w:fill="D9D9D9"/>
          </w:tcPr>
          <w:p w:rsidR="00E8674E" w:rsidRPr="00391D22" w:rsidRDefault="00E8674E" w:rsidP="00E8674E">
            <w:pPr>
              <w:tabs>
                <w:tab w:val="left" w:pos="244"/>
              </w:tabs>
              <w:spacing w:before="60" w:after="60" w:line="720" w:lineRule="auto"/>
              <w:rPr>
                <w:rFonts w:cs="Arial"/>
                <w:sz w:val="20"/>
                <w:szCs w:val="20"/>
                <w:lang w:val="pt-BR"/>
              </w:rPr>
            </w:pPr>
            <w:r w:rsidRPr="00391D22">
              <w:rPr>
                <w:rFonts w:cs="Arial"/>
                <w:sz w:val="20"/>
                <w:szCs w:val="20"/>
                <w:lang w:val="pt-BR"/>
              </w:rPr>
              <w:t>Aspectos Gerais da Infecção pelo HIV</w:t>
            </w:r>
          </w:p>
        </w:tc>
        <w:tc>
          <w:tcPr>
            <w:tcW w:w="3870" w:type="dxa"/>
            <w:tcBorders>
              <w:top w:val="single" w:sz="4" w:space="0" w:color="auto"/>
              <w:left w:val="single" w:sz="4" w:space="0" w:color="auto"/>
              <w:bottom w:val="single" w:sz="4" w:space="0" w:color="auto"/>
              <w:right w:val="single" w:sz="4" w:space="0" w:color="auto"/>
            </w:tcBorders>
            <w:shd w:val="clear" w:color="auto" w:fill="D9D9D9"/>
          </w:tcPr>
          <w:p w:rsidR="00E8674E" w:rsidRPr="00391D22" w:rsidRDefault="00E8674E" w:rsidP="00E8674E">
            <w:pPr>
              <w:spacing w:before="60" w:after="60" w:line="720" w:lineRule="auto"/>
              <w:ind w:left="-18" w:firstLine="18"/>
              <w:rPr>
                <w:rFonts w:cs="Arial"/>
                <w:sz w:val="20"/>
                <w:szCs w:val="20"/>
                <w:lang w:val="pt-BR"/>
              </w:rPr>
            </w:pPr>
          </w:p>
        </w:tc>
        <w:tc>
          <w:tcPr>
            <w:tcW w:w="1800" w:type="dxa"/>
            <w:tcBorders>
              <w:top w:val="single" w:sz="4" w:space="0" w:color="auto"/>
              <w:left w:val="single" w:sz="4" w:space="0" w:color="auto"/>
              <w:bottom w:val="single" w:sz="4" w:space="0" w:color="auto"/>
            </w:tcBorders>
            <w:shd w:val="clear" w:color="auto" w:fill="D9D9D9"/>
          </w:tcPr>
          <w:p w:rsidR="00E8674E" w:rsidRPr="00391D22" w:rsidRDefault="00E8674E" w:rsidP="00E8674E">
            <w:pPr>
              <w:spacing w:before="60" w:after="60" w:line="720" w:lineRule="auto"/>
              <w:ind w:left="-18" w:firstLine="18"/>
              <w:jc w:val="right"/>
              <w:rPr>
                <w:rFonts w:cs="Arial"/>
                <w:sz w:val="20"/>
                <w:szCs w:val="20"/>
                <w:lang w:val="pt-BR"/>
              </w:rPr>
            </w:pPr>
          </w:p>
        </w:tc>
      </w:tr>
      <w:tr w:rsidR="00E8674E" w:rsidRPr="00FC6E81" w:rsidTr="00E8674E">
        <w:tc>
          <w:tcPr>
            <w:tcW w:w="738" w:type="dxa"/>
            <w:tcBorders>
              <w:top w:val="single" w:sz="4" w:space="0" w:color="auto"/>
              <w:bottom w:val="single" w:sz="4" w:space="0" w:color="auto"/>
              <w:right w:val="single" w:sz="4" w:space="0" w:color="auto"/>
            </w:tcBorders>
            <w:shd w:val="clear" w:color="auto" w:fill="FFFFFF"/>
          </w:tcPr>
          <w:p w:rsidR="00E8674E" w:rsidRPr="00391D22" w:rsidRDefault="00E8674E" w:rsidP="00E8674E">
            <w:pPr>
              <w:spacing w:before="60" w:after="60" w:line="720" w:lineRule="auto"/>
              <w:ind w:left="-110" w:right="-108"/>
              <w:jc w:val="center"/>
              <w:rPr>
                <w:rFonts w:cs="Arial"/>
                <w:sz w:val="20"/>
                <w:szCs w:val="20"/>
              </w:rPr>
            </w:pPr>
            <w:r>
              <w:rPr>
                <w:rFonts w:cs="Arial"/>
                <w:sz w:val="20"/>
                <w:szCs w:val="20"/>
              </w:rPr>
              <w:t>5</w:t>
            </w:r>
          </w:p>
        </w:tc>
        <w:tc>
          <w:tcPr>
            <w:tcW w:w="3690" w:type="dxa"/>
            <w:tcBorders>
              <w:top w:val="single" w:sz="4" w:space="0" w:color="auto"/>
              <w:left w:val="single" w:sz="4" w:space="0" w:color="auto"/>
              <w:bottom w:val="single" w:sz="4" w:space="0" w:color="auto"/>
              <w:right w:val="single" w:sz="4" w:space="0" w:color="auto"/>
            </w:tcBorders>
            <w:shd w:val="clear" w:color="auto" w:fill="FFFFFF"/>
          </w:tcPr>
          <w:p w:rsidR="00E8674E" w:rsidRPr="00391D22" w:rsidRDefault="00E8674E" w:rsidP="00E8674E">
            <w:pPr>
              <w:tabs>
                <w:tab w:val="left" w:pos="244"/>
              </w:tabs>
              <w:spacing w:before="60" w:after="60" w:line="720" w:lineRule="auto"/>
              <w:rPr>
                <w:rFonts w:cs="Arial"/>
                <w:sz w:val="20"/>
                <w:szCs w:val="20"/>
                <w:lang w:val="pt-BR"/>
              </w:rPr>
            </w:pPr>
            <w:r>
              <w:rPr>
                <w:rFonts w:cs="Arial"/>
                <w:sz w:val="20"/>
                <w:szCs w:val="20"/>
                <w:lang w:val="pt-BR"/>
              </w:rPr>
              <w:t>Virus do Sarampo, Varicela, Herpes e Hepatites</w:t>
            </w:r>
          </w:p>
        </w:tc>
        <w:tc>
          <w:tcPr>
            <w:tcW w:w="3870" w:type="dxa"/>
            <w:tcBorders>
              <w:top w:val="single" w:sz="4" w:space="0" w:color="auto"/>
              <w:left w:val="single" w:sz="4" w:space="0" w:color="auto"/>
              <w:bottom w:val="single" w:sz="4" w:space="0" w:color="auto"/>
              <w:right w:val="single" w:sz="4" w:space="0" w:color="auto"/>
            </w:tcBorders>
            <w:shd w:val="clear" w:color="auto" w:fill="FFFFFF"/>
          </w:tcPr>
          <w:p w:rsidR="00E8674E" w:rsidRPr="00391D22" w:rsidRDefault="00E8674E" w:rsidP="00E8674E">
            <w:pPr>
              <w:spacing w:before="60" w:after="60" w:line="720" w:lineRule="auto"/>
              <w:ind w:left="-18" w:firstLine="18"/>
              <w:rPr>
                <w:rFonts w:cs="Arial"/>
                <w:sz w:val="20"/>
                <w:szCs w:val="20"/>
                <w:lang w:val="pt-BR"/>
              </w:rPr>
            </w:pPr>
          </w:p>
        </w:tc>
        <w:tc>
          <w:tcPr>
            <w:tcW w:w="1800" w:type="dxa"/>
            <w:tcBorders>
              <w:top w:val="single" w:sz="4" w:space="0" w:color="auto"/>
              <w:left w:val="single" w:sz="4" w:space="0" w:color="auto"/>
              <w:bottom w:val="single" w:sz="4" w:space="0" w:color="auto"/>
            </w:tcBorders>
            <w:shd w:val="clear" w:color="auto" w:fill="FFFFFF"/>
          </w:tcPr>
          <w:p w:rsidR="00E8674E" w:rsidRPr="00391D22" w:rsidRDefault="00E8674E" w:rsidP="00E8674E">
            <w:pPr>
              <w:spacing w:before="60" w:after="60" w:line="720" w:lineRule="auto"/>
              <w:ind w:left="-18" w:firstLine="18"/>
              <w:jc w:val="right"/>
              <w:rPr>
                <w:rFonts w:cs="Arial"/>
                <w:sz w:val="20"/>
                <w:szCs w:val="20"/>
                <w:lang w:val="pt-BR"/>
              </w:rPr>
            </w:pPr>
          </w:p>
        </w:tc>
      </w:tr>
      <w:tr w:rsidR="00E8674E" w:rsidRPr="00391D22" w:rsidTr="00E8674E">
        <w:tc>
          <w:tcPr>
            <w:tcW w:w="738" w:type="dxa"/>
            <w:tcBorders>
              <w:top w:val="single" w:sz="4" w:space="0" w:color="auto"/>
              <w:bottom w:val="single" w:sz="18" w:space="0" w:color="auto"/>
              <w:right w:val="single" w:sz="4" w:space="0" w:color="auto"/>
            </w:tcBorders>
            <w:shd w:val="clear" w:color="auto" w:fill="D9D9D9"/>
          </w:tcPr>
          <w:p w:rsidR="00E8674E" w:rsidRPr="00391D22" w:rsidRDefault="00E8674E" w:rsidP="00E8674E">
            <w:pPr>
              <w:spacing w:before="60" w:after="60" w:line="720" w:lineRule="auto"/>
              <w:ind w:left="-110" w:right="-108"/>
              <w:jc w:val="center"/>
              <w:rPr>
                <w:rFonts w:cs="Arial"/>
                <w:sz w:val="20"/>
                <w:szCs w:val="20"/>
              </w:rPr>
            </w:pPr>
            <w:r>
              <w:rPr>
                <w:rFonts w:cs="Arial"/>
                <w:sz w:val="20"/>
                <w:szCs w:val="20"/>
              </w:rPr>
              <w:t>6</w:t>
            </w:r>
          </w:p>
        </w:tc>
        <w:tc>
          <w:tcPr>
            <w:tcW w:w="3690" w:type="dxa"/>
            <w:tcBorders>
              <w:top w:val="single" w:sz="4" w:space="0" w:color="auto"/>
              <w:left w:val="single" w:sz="4" w:space="0" w:color="auto"/>
              <w:bottom w:val="single" w:sz="18" w:space="0" w:color="auto"/>
              <w:right w:val="single" w:sz="4" w:space="0" w:color="auto"/>
            </w:tcBorders>
            <w:shd w:val="clear" w:color="auto" w:fill="D9D9D9"/>
            <w:vAlign w:val="center"/>
          </w:tcPr>
          <w:p w:rsidR="00E8674E" w:rsidRPr="00391D22" w:rsidRDefault="00E8674E" w:rsidP="00E8674E">
            <w:pPr>
              <w:tabs>
                <w:tab w:val="left" w:pos="244"/>
              </w:tabs>
              <w:spacing w:before="60" w:after="60" w:line="720" w:lineRule="auto"/>
              <w:rPr>
                <w:rFonts w:cs="Arial"/>
                <w:i/>
                <w:iCs/>
                <w:sz w:val="20"/>
                <w:szCs w:val="20"/>
              </w:rPr>
            </w:pPr>
            <w:r w:rsidRPr="00391D22">
              <w:rPr>
                <w:rFonts w:cs="Arial"/>
                <w:sz w:val="20"/>
                <w:szCs w:val="20"/>
              </w:rPr>
              <w:t>Pontos-chave</w:t>
            </w:r>
          </w:p>
        </w:tc>
        <w:tc>
          <w:tcPr>
            <w:tcW w:w="3870" w:type="dxa"/>
            <w:tcBorders>
              <w:top w:val="single" w:sz="4" w:space="0" w:color="auto"/>
              <w:left w:val="single" w:sz="4" w:space="0" w:color="auto"/>
              <w:bottom w:val="single" w:sz="18" w:space="0" w:color="auto"/>
              <w:right w:val="single" w:sz="4" w:space="0" w:color="auto"/>
            </w:tcBorders>
            <w:shd w:val="clear" w:color="auto" w:fill="D9D9D9"/>
          </w:tcPr>
          <w:p w:rsidR="00E8674E" w:rsidRPr="00391D22" w:rsidRDefault="00E8674E" w:rsidP="00E8674E">
            <w:pPr>
              <w:spacing w:before="60" w:after="60" w:line="720" w:lineRule="auto"/>
              <w:ind w:left="-18" w:firstLine="18"/>
              <w:rPr>
                <w:rFonts w:cs="Arial"/>
                <w:sz w:val="20"/>
                <w:szCs w:val="20"/>
              </w:rPr>
            </w:pPr>
          </w:p>
        </w:tc>
        <w:tc>
          <w:tcPr>
            <w:tcW w:w="1800" w:type="dxa"/>
            <w:tcBorders>
              <w:top w:val="single" w:sz="4" w:space="0" w:color="auto"/>
              <w:left w:val="single" w:sz="4" w:space="0" w:color="auto"/>
              <w:bottom w:val="single" w:sz="18" w:space="0" w:color="auto"/>
            </w:tcBorders>
            <w:shd w:val="clear" w:color="auto" w:fill="D9D9D9"/>
          </w:tcPr>
          <w:p w:rsidR="00E8674E" w:rsidRPr="00391D22" w:rsidRDefault="00E8674E" w:rsidP="00E8674E">
            <w:pPr>
              <w:spacing w:before="60" w:after="60" w:line="720" w:lineRule="auto"/>
              <w:ind w:left="-18" w:firstLine="18"/>
              <w:jc w:val="right"/>
              <w:rPr>
                <w:rFonts w:cs="Arial"/>
                <w:sz w:val="20"/>
                <w:szCs w:val="20"/>
              </w:rPr>
            </w:pPr>
          </w:p>
        </w:tc>
      </w:tr>
    </w:tbl>
    <w:p w:rsidR="00E8674E" w:rsidRDefault="00E8674E" w:rsidP="00E8674E">
      <w:pPr>
        <w:tabs>
          <w:tab w:val="left" w:pos="424"/>
        </w:tabs>
        <w:jc w:val="both"/>
        <w:rPr>
          <w:rFonts w:cs="Arial"/>
          <w:b/>
          <w:lang w:val="pt-BR"/>
        </w:rPr>
      </w:pPr>
    </w:p>
    <w:p w:rsidR="00774441" w:rsidRDefault="00774441" w:rsidP="00E8674E">
      <w:pPr>
        <w:tabs>
          <w:tab w:val="left" w:pos="424"/>
        </w:tabs>
        <w:jc w:val="both"/>
        <w:rPr>
          <w:rFonts w:cs="Arial"/>
          <w:b/>
          <w:lang w:val="pt-BR"/>
        </w:rPr>
      </w:pPr>
    </w:p>
    <w:p w:rsidR="00774441" w:rsidRDefault="00774441" w:rsidP="00E8674E">
      <w:pPr>
        <w:tabs>
          <w:tab w:val="left" w:pos="424"/>
        </w:tabs>
        <w:jc w:val="both"/>
        <w:rPr>
          <w:rFonts w:cs="Arial"/>
          <w:b/>
          <w:lang w:val="pt-BR"/>
        </w:rPr>
      </w:pPr>
    </w:p>
    <w:p w:rsidR="00774441" w:rsidRPr="00391D22" w:rsidRDefault="00774441" w:rsidP="00E8674E">
      <w:pPr>
        <w:tabs>
          <w:tab w:val="left" w:pos="424"/>
        </w:tabs>
        <w:jc w:val="both"/>
        <w:rPr>
          <w:rFonts w:cs="Arial"/>
          <w:b/>
          <w:lang w:val="pt-BR"/>
        </w:rPr>
      </w:pPr>
    </w:p>
    <w:p w:rsidR="00E8674E" w:rsidRPr="00391D22" w:rsidRDefault="00E8674E" w:rsidP="00E8674E">
      <w:pPr>
        <w:tabs>
          <w:tab w:val="left" w:pos="424"/>
        </w:tabs>
        <w:jc w:val="both"/>
        <w:rPr>
          <w:rFonts w:cs="Arial"/>
          <w:b/>
          <w:lang w:val="pt-BR"/>
        </w:rPr>
      </w:pPr>
      <w:r w:rsidRPr="00391D22">
        <w:rPr>
          <w:rFonts w:cs="Arial"/>
          <w:b/>
          <w:lang w:val="pt-BR"/>
        </w:rPr>
        <w:lastRenderedPageBreak/>
        <w:t>Equipamentos e meios audiovisuais necessários:</w:t>
      </w:r>
    </w:p>
    <w:p w:rsidR="00E8674E" w:rsidRDefault="00E8674E" w:rsidP="00E8674E">
      <w:pPr>
        <w:tabs>
          <w:tab w:val="left" w:pos="424"/>
        </w:tabs>
        <w:jc w:val="both"/>
        <w:rPr>
          <w:rFonts w:cs="Arial"/>
          <w:b/>
          <w:lang w:val="pt-BR"/>
        </w:rPr>
      </w:pPr>
    </w:p>
    <w:p w:rsidR="00E8674E" w:rsidRDefault="00E8674E" w:rsidP="00E8674E">
      <w:pPr>
        <w:tabs>
          <w:tab w:val="left" w:pos="424"/>
        </w:tabs>
        <w:jc w:val="both"/>
        <w:rPr>
          <w:rFonts w:cs="Arial"/>
          <w:b/>
          <w:lang w:val="pt-BR"/>
        </w:rPr>
      </w:pPr>
    </w:p>
    <w:p w:rsidR="00E8674E" w:rsidRDefault="00E8674E" w:rsidP="00E8674E">
      <w:pPr>
        <w:tabs>
          <w:tab w:val="left" w:pos="424"/>
        </w:tabs>
        <w:jc w:val="both"/>
        <w:rPr>
          <w:rFonts w:cs="Arial"/>
          <w:b/>
          <w:lang w:val="pt-BR"/>
        </w:rPr>
      </w:pPr>
    </w:p>
    <w:p w:rsidR="00774441" w:rsidRDefault="00774441" w:rsidP="00E8674E">
      <w:pPr>
        <w:tabs>
          <w:tab w:val="left" w:pos="424"/>
        </w:tabs>
        <w:jc w:val="both"/>
        <w:rPr>
          <w:rFonts w:cs="Arial"/>
          <w:b/>
          <w:lang w:val="pt-BR"/>
        </w:rPr>
      </w:pPr>
    </w:p>
    <w:p w:rsidR="00774441" w:rsidRDefault="00774441" w:rsidP="00E8674E">
      <w:pPr>
        <w:tabs>
          <w:tab w:val="left" w:pos="424"/>
        </w:tabs>
        <w:jc w:val="both"/>
        <w:rPr>
          <w:rFonts w:cs="Arial"/>
          <w:b/>
          <w:lang w:val="pt-BR"/>
        </w:rPr>
      </w:pPr>
    </w:p>
    <w:p w:rsidR="00774441" w:rsidRDefault="00774441" w:rsidP="00E8674E">
      <w:pPr>
        <w:tabs>
          <w:tab w:val="left" w:pos="424"/>
        </w:tabs>
        <w:jc w:val="both"/>
        <w:rPr>
          <w:rFonts w:cs="Arial"/>
          <w:b/>
          <w:lang w:val="pt-BR"/>
        </w:rPr>
      </w:pPr>
    </w:p>
    <w:p w:rsidR="00774441" w:rsidRDefault="00774441" w:rsidP="00E8674E">
      <w:pPr>
        <w:tabs>
          <w:tab w:val="left" w:pos="424"/>
        </w:tabs>
        <w:jc w:val="both"/>
        <w:rPr>
          <w:rFonts w:cs="Arial"/>
          <w:b/>
          <w:lang w:val="pt-BR"/>
        </w:rPr>
      </w:pPr>
    </w:p>
    <w:p w:rsidR="00E8674E" w:rsidRDefault="00E8674E" w:rsidP="00E8674E">
      <w:pPr>
        <w:tabs>
          <w:tab w:val="left" w:pos="424"/>
        </w:tabs>
        <w:jc w:val="both"/>
        <w:rPr>
          <w:rFonts w:cs="Arial"/>
          <w:b/>
          <w:lang w:val="pt-BR"/>
        </w:rPr>
      </w:pPr>
    </w:p>
    <w:p w:rsidR="00E8674E" w:rsidRPr="00391D22" w:rsidRDefault="00E8674E" w:rsidP="00E8674E">
      <w:pPr>
        <w:tabs>
          <w:tab w:val="left" w:pos="424"/>
        </w:tabs>
        <w:jc w:val="both"/>
        <w:rPr>
          <w:rFonts w:cs="Arial"/>
          <w:lang w:val="pt-BR"/>
        </w:rPr>
      </w:pPr>
      <w:r w:rsidRPr="00391D22">
        <w:rPr>
          <w:rFonts w:cs="Arial"/>
          <w:b/>
          <w:lang w:val="pt-BR"/>
        </w:rPr>
        <w:t>Trabalhos para casa (TPC), Exercícios e textos para leitura – incluir data a ser entregue:</w:t>
      </w:r>
      <w:r w:rsidRPr="00391D22">
        <w:rPr>
          <w:rFonts w:cs="Arial"/>
          <w:lang w:val="pt-BR"/>
        </w:rPr>
        <w:t xml:space="preserve"> </w:t>
      </w:r>
    </w:p>
    <w:p w:rsidR="00E8674E" w:rsidRPr="00391D22" w:rsidRDefault="00E8674E" w:rsidP="00E8674E">
      <w:pPr>
        <w:tabs>
          <w:tab w:val="left" w:pos="424"/>
        </w:tabs>
        <w:jc w:val="both"/>
        <w:rPr>
          <w:rFonts w:cs="Arial"/>
          <w:lang w:val="pt-BR"/>
        </w:rPr>
      </w:pPr>
    </w:p>
    <w:p w:rsidR="00E8674E" w:rsidRDefault="00E8674E" w:rsidP="00E8674E">
      <w:pPr>
        <w:tabs>
          <w:tab w:val="left" w:pos="424"/>
        </w:tabs>
        <w:jc w:val="both"/>
        <w:rPr>
          <w:rFonts w:cs="Arial"/>
          <w:lang w:val="pt-BR"/>
        </w:rPr>
      </w:pPr>
    </w:p>
    <w:p w:rsidR="00F8000A" w:rsidRDefault="00F8000A" w:rsidP="00E8674E">
      <w:pPr>
        <w:tabs>
          <w:tab w:val="left" w:pos="424"/>
        </w:tabs>
        <w:jc w:val="both"/>
        <w:rPr>
          <w:rFonts w:cs="Arial"/>
          <w:lang w:val="pt-BR"/>
        </w:rPr>
      </w:pPr>
    </w:p>
    <w:p w:rsidR="00F8000A" w:rsidRDefault="00F8000A" w:rsidP="00E8674E">
      <w:pPr>
        <w:tabs>
          <w:tab w:val="left" w:pos="424"/>
        </w:tabs>
        <w:jc w:val="both"/>
        <w:rPr>
          <w:rFonts w:cs="Arial"/>
          <w:lang w:val="pt-BR"/>
        </w:rPr>
      </w:pPr>
    </w:p>
    <w:p w:rsidR="00F8000A" w:rsidRDefault="00F8000A" w:rsidP="00E8674E">
      <w:pPr>
        <w:tabs>
          <w:tab w:val="left" w:pos="424"/>
        </w:tabs>
        <w:jc w:val="both"/>
        <w:rPr>
          <w:rFonts w:cs="Arial"/>
          <w:lang w:val="pt-BR"/>
        </w:rPr>
      </w:pPr>
    </w:p>
    <w:p w:rsidR="00F8000A" w:rsidRDefault="00F8000A" w:rsidP="00E8674E">
      <w:pPr>
        <w:tabs>
          <w:tab w:val="left" w:pos="424"/>
        </w:tabs>
        <w:jc w:val="both"/>
        <w:rPr>
          <w:rFonts w:cs="Arial"/>
          <w:lang w:val="pt-BR"/>
        </w:rPr>
      </w:pPr>
    </w:p>
    <w:p w:rsidR="00774441" w:rsidRDefault="00774441" w:rsidP="00E8674E">
      <w:pPr>
        <w:tabs>
          <w:tab w:val="left" w:pos="424"/>
        </w:tabs>
        <w:jc w:val="both"/>
        <w:rPr>
          <w:rFonts w:cs="Arial"/>
          <w:lang w:val="pt-BR"/>
        </w:rPr>
      </w:pPr>
    </w:p>
    <w:p w:rsidR="00774441" w:rsidRDefault="00774441" w:rsidP="00E8674E">
      <w:pPr>
        <w:tabs>
          <w:tab w:val="left" w:pos="424"/>
        </w:tabs>
        <w:jc w:val="both"/>
        <w:rPr>
          <w:rFonts w:cs="Arial"/>
          <w:lang w:val="pt-BR"/>
        </w:rPr>
      </w:pPr>
    </w:p>
    <w:p w:rsidR="00774441" w:rsidRDefault="00774441" w:rsidP="00E8674E">
      <w:pPr>
        <w:tabs>
          <w:tab w:val="left" w:pos="424"/>
        </w:tabs>
        <w:jc w:val="both"/>
        <w:rPr>
          <w:rFonts w:cs="Arial"/>
          <w:lang w:val="pt-BR"/>
        </w:rPr>
      </w:pPr>
    </w:p>
    <w:p w:rsidR="00774441" w:rsidRDefault="00774441" w:rsidP="00E8674E">
      <w:pPr>
        <w:tabs>
          <w:tab w:val="left" w:pos="424"/>
        </w:tabs>
        <w:jc w:val="both"/>
        <w:rPr>
          <w:rFonts w:cs="Arial"/>
          <w:lang w:val="pt-BR"/>
        </w:rPr>
      </w:pPr>
    </w:p>
    <w:p w:rsidR="00774441" w:rsidRDefault="00774441" w:rsidP="00E8674E">
      <w:pPr>
        <w:tabs>
          <w:tab w:val="left" w:pos="424"/>
        </w:tabs>
        <w:jc w:val="both"/>
        <w:rPr>
          <w:rFonts w:cs="Arial"/>
          <w:lang w:val="pt-BR"/>
        </w:rPr>
      </w:pPr>
    </w:p>
    <w:p w:rsidR="00F8000A" w:rsidRDefault="00F8000A" w:rsidP="00E8674E">
      <w:pPr>
        <w:tabs>
          <w:tab w:val="left" w:pos="424"/>
        </w:tabs>
        <w:jc w:val="both"/>
        <w:rPr>
          <w:rFonts w:cs="Arial"/>
          <w:lang w:val="pt-BR"/>
        </w:rPr>
      </w:pPr>
    </w:p>
    <w:p w:rsidR="009B602C" w:rsidRDefault="009B602C" w:rsidP="00E8674E">
      <w:pPr>
        <w:tabs>
          <w:tab w:val="left" w:pos="424"/>
        </w:tabs>
        <w:jc w:val="both"/>
        <w:rPr>
          <w:rFonts w:cs="Arial"/>
          <w:lang w:val="pt-BR"/>
        </w:rPr>
      </w:pPr>
    </w:p>
    <w:p w:rsidR="009B602C" w:rsidRDefault="009B602C" w:rsidP="00E8674E">
      <w:pPr>
        <w:tabs>
          <w:tab w:val="left" w:pos="424"/>
        </w:tabs>
        <w:jc w:val="both"/>
        <w:rPr>
          <w:rFonts w:cs="Arial"/>
          <w:lang w:val="pt-BR"/>
        </w:rPr>
      </w:pPr>
    </w:p>
    <w:p w:rsidR="009B602C" w:rsidRDefault="009B602C" w:rsidP="00E8674E">
      <w:pPr>
        <w:tabs>
          <w:tab w:val="left" w:pos="424"/>
        </w:tabs>
        <w:jc w:val="both"/>
        <w:rPr>
          <w:rFonts w:cs="Arial"/>
          <w:lang w:val="pt-BR"/>
        </w:rPr>
      </w:pPr>
    </w:p>
    <w:p w:rsidR="00F8000A" w:rsidRPr="00391D22" w:rsidRDefault="00F8000A" w:rsidP="00E8674E">
      <w:pPr>
        <w:tabs>
          <w:tab w:val="left" w:pos="424"/>
        </w:tabs>
        <w:jc w:val="both"/>
        <w:rPr>
          <w:rFonts w:cs="Arial"/>
          <w:lang w:val="pt-BR"/>
        </w:rPr>
      </w:pPr>
    </w:p>
    <w:p w:rsidR="00E8674E" w:rsidRPr="00391D22" w:rsidRDefault="00E8674E" w:rsidP="00E8674E">
      <w:pPr>
        <w:tabs>
          <w:tab w:val="left" w:pos="424"/>
        </w:tabs>
        <w:jc w:val="both"/>
        <w:rPr>
          <w:rFonts w:cs="Arial"/>
          <w:b/>
          <w:lang w:val="pt-BR"/>
        </w:rPr>
      </w:pPr>
      <w:r w:rsidRPr="00391D22">
        <w:rPr>
          <w:rFonts w:cs="Arial"/>
          <w:b/>
          <w:lang w:val="pt-BR"/>
        </w:rPr>
        <w:t>Bibliografia (referências usadas para o desenvolvimento do conteúdo):</w:t>
      </w:r>
    </w:p>
    <w:p w:rsidR="00E8674E" w:rsidRPr="00391D22" w:rsidRDefault="00E8674E" w:rsidP="00E8674E">
      <w:pPr>
        <w:rPr>
          <w:lang w:val="pt-BR"/>
        </w:rPr>
      </w:pPr>
      <w:r w:rsidRPr="00391D22">
        <w:rPr>
          <w:lang w:val="pt-BR"/>
        </w:rPr>
        <w:t xml:space="preserve">Engelkirk, P.G. Gwendolyn, B. Microbiologia para as Ciências da Saúde. 7ª. Ed. Guanabara Koogan. </w:t>
      </w:r>
    </w:p>
    <w:p w:rsidR="00E8674E" w:rsidRPr="00F47FAF" w:rsidRDefault="00E8674E" w:rsidP="00E8674E">
      <w:pPr>
        <w:rPr>
          <w:lang w:val="pt-BR"/>
        </w:rPr>
      </w:pPr>
      <w:r w:rsidRPr="00E8674E">
        <w:rPr>
          <w:lang w:val="pt-BR"/>
        </w:rPr>
        <w:t xml:space="preserve">Jawetz, M. Adelberg. Microbiologia Médica. </w:t>
      </w:r>
      <w:r w:rsidRPr="00F47FAF">
        <w:rPr>
          <w:lang w:val="pt-BR"/>
        </w:rPr>
        <w:t>22ª. Ed. McGraw Hill, 2004.</w:t>
      </w:r>
    </w:p>
    <w:p w:rsidR="00E8674E" w:rsidRPr="00F47FAF" w:rsidRDefault="00E8674E" w:rsidP="00E8674E">
      <w:pPr>
        <w:rPr>
          <w:rFonts w:cs="Arial"/>
          <w:lang w:val="pt-BR"/>
        </w:rPr>
      </w:pPr>
    </w:p>
    <w:p w:rsidR="00E8674E" w:rsidRPr="00F47FAF" w:rsidRDefault="00E8674E" w:rsidP="00E8674E">
      <w:pPr>
        <w:shd w:val="clear" w:color="auto" w:fill="B8CCE4"/>
        <w:tabs>
          <w:tab w:val="left" w:pos="1276"/>
          <w:tab w:val="right" w:pos="8550"/>
        </w:tabs>
        <w:spacing w:before="120" w:after="120"/>
        <w:ind w:right="2"/>
        <w:jc w:val="both"/>
        <w:rPr>
          <w:rFonts w:cs="Arial"/>
          <w:b/>
          <w:sz w:val="24"/>
          <w:szCs w:val="24"/>
          <w:lang w:val="pt-BR"/>
        </w:rPr>
      </w:pPr>
      <w:r w:rsidRPr="00F47FAF">
        <w:rPr>
          <w:rFonts w:cs="Arial"/>
          <w:b/>
          <w:sz w:val="24"/>
          <w:szCs w:val="24"/>
          <w:lang w:val="pt-BR"/>
        </w:rPr>
        <w:lastRenderedPageBreak/>
        <w:t>BLOCO 1: INTRODUÇÃO À AULA</w:t>
      </w:r>
    </w:p>
    <w:p w:rsidR="00E8674E" w:rsidRDefault="00E8674E" w:rsidP="00C52E09">
      <w:pPr>
        <w:pStyle w:val="ListParagraph"/>
        <w:numPr>
          <w:ilvl w:val="1"/>
          <w:numId w:val="87"/>
        </w:numPr>
        <w:spacing w:before="120" w:after="0"/>
        <w:ind w:right="2"/>
        <w:jc w:val="both"/>
        <w:rPr>
          <w:rFonts w:cs="Arial"/>
          <w:lang w:val="pt-BR"/>
        </w:rPr>
      </w:pPr>
      <w:r w:rsidRPr="00E8674E">
        <w:rPr>
          <w:rFonts w:cs="Arial"/>
          <w:lang w:val="pt-BR"/>
        </w:rPr>
        <w:t>Apresentação do tópico, conteúdos e objectivos de aprendizagem.</w:t>
      </w:r>
    </w:p>
    <w:p w:rsidR="00E8674E" w:rsidRDefault="00E8674E" w:rsidP="00C52E09">
      <w:pPr>
        <w:pStyle w:val="ListParagraph"/>
        <w:numPr>
          <w:ilvl w:val="1"/>
          <w:numId w:val="87"/>
        </w:numPr>
        <w:spacing w:before="120" w:after="0"/>
        <w:ind w:right="2"/>
        <w:jc w:val="both"/>
        <w:rPr>
          <w:rFonts w:cs="Arial"/>
          <w:lang w:val="pt-BR"/>
        </w:rPr>
      </w:pPr>
      <w:r w:rsidRPr="00E8674E">
        <w:rPr>
          <w:rFonts w:cs="Arial"/>
          <w:lang w:val="pt-BR"/>
        </w:rPr>
        <w:t>Apresentação da estrutura da aula.</w:t>
      </w:r>
    </w:p>
    <w:p w:rsidR="00E8674E" w:rsidRDefault="00E8674E" w:rsidP="00C52E09">
      <w:pPr>
        <w:pStyle w:val="ListParagraph"/>
        <w:numPr>
          <w:ilvl w:val="1"/>
          <w:numId w:val="87"/>
        </w:numPr>
        <w:spacing w:before="120" w:after="0"/>
        <w:ind w:right="2"/>
        <w:jc w:val="both"/>
        <w:rPr>
          <w:rFonts w:cs="Arial"/>
          <w:lang w:val="pt-BR"/>
        </w:rPr>
      </w:pPr>
      <w:r w:rsidRPr="00E8674E">
        <w:rPr>
          <w:rFonts w:cs="Arial"/>
          <w:lang w:val="pt-BR"/>
        </w:rPr>
        <w:t>Apresentação da bibliografia que o aluno deverá manejar para ampliar os conhecimentos.</w:t>
      </w:r>
    </w:p>
    <w:p w:rsidR="00F8000A" w:rsidRPr="00E8674E" w:rsidRDefault="00F8000A" w:rsidP="00774441">
      <w:pPr>
        <w:pStyle w:val="ListParagraph"/>
        <w:spacing w:before="120" w:after="0" w:line="240" w:lineRule="auto"/>
        <w:ind w:right="2"/>
        <w:jc w:val="both"/>
        <w:rPr>
          <w:rFonts w:cs="Arial"/>
          <w:lang w:val="pt-BR"/>
        </w:rPr>
      </w:pPr>
    </w:p>
    <w:p w:rsidR="00E8674E" w:rsidRPr="00391D22" w:rsidRDefault="00D76085" w:rsidP="00E8674E">
      <w:pPr>
        <w:shd w:val="clear" w:color="auto" w:fill="B8CCE4"/>
        <w:tabs>
          <w:tab w:val="left" w:pos="1276"/>
          <w:tab w:val="right" w:pos="8550"/>
        </w:tabs>
        <w:spacing w:before="120" w:after="120"/>
        <w:ind w:right="2"/>
        <w:jc w:val="both"/>
        <w:rPr>
          <w:rFonts w:cs="Arial"/>
          <w:lang w:val="pt-BR"/>
        </w:rPr>
      </w:pPr>
      <w:r>
        <w:rPr>
          <w:rFonts w:eastAsia="Calibri" w:cs="Arial"/>
          <w:b/>
          <w:sz w:val="24"/>
          <w:szCs w:val="24"/>
          <w:lang w:val="pt-BR"/>
        </w:rPr>
        <w:t>BLOCO 2. ESTRU</w:t>
      </w:r>
      <w:r w:rsidR="00E8674E" w:rsidRPr="00E8674E">
        <w:rPr>
          <w:rFonts w:eastAsia="Calibri" w:cs="Arial"/>
          <w:b/>
          <w:sz w:val="24"/>
          <w:szCs w:val="24"/>
          <w:lang w:val="pt-BR"/>
        </w:rPr>
        <w:t>TURA E MORFOLOGIA DO VÍRUS</w:t>
      </w:r>
      <w:r w:rsidR="00E8674E" w:rsidRPr="00391D22">
        <w:rPr>
          <w:rFonts w:cs="Arial"/>
          <w:lang w:val="pt-BR"/>
        </w:rPr>
        <w:tab/>
      </w:r>
    </w:p>
    <w:p w:rsidR="00E8674E" w:rsidRPr="00391D22" w:rsidRDefault="00E8674E" w:rsidP="00C52E09">
      <w:pPr>
        <w:pStyle w:val="TM-2n"/>
        <w:numPr>
          <w:ilvl w:val="1"/>
          <w:numId w:val="88"/>
        </w:numPr>
        <w:spacing w:before="120" w:after="0" w:line="276" w:lineRule="auto"/>
      </w:pPr>
      <w:r w:rsidRPr="00391D22">
        <w:t>Vírus são microrganismos acelulares mais pequenos que as bactérias, não possuem organelas nem capacidade para realizar os diferentes processos metabólicos que as células realizam. Portanto, são parasitas intracelulares obrigatórios, uma vez que para a sua multiplicação precisam de usarem os mecanismos metabólicos das células que infectam, desviando os processos metabólicos normais da célula para a produção de cópias do vírus.</w:t>
      </w:r>
    </w:p>
    <w:p w:rsidR="00E8674E" w:rsidRPr="00391D22" w:rsidRDefault="00E8674E" w:rsidP="00C52E09">
      <w:pPr>
        <w:pStyle w:val="TM-2n"/>
        <w:numPr>
          <w:ilvl w:val="1"/>
          <w:numId w:val="88"/>
        </w:numPr>
        <w:spacing w:before="120" w:after="0" w:line="276" w:lineRule="auto"/>
      </w:pPr>
      <w:r w:rsidRPr="00391D22">
        <w:t>Os vírus que infectam as bactérias são chamados de bacteriófagos</w:t>
      </w:r>
    </w:p>
    <w:p w:rsidR="00E8674E" w:rsidRPr="00391D22" w:rsidRDefault="00E8674E" w:rsidP="00C52E09">
      <w:pPr>
        <w:pStyle w:val="TM-2n"/>
        <w:numPr>
          <w:ilvl w:val="1"/>
          <w:numId w:val="88"/>
        </w:numPr>
        <w:spacing w:before="120" w:after="0" w:line="276" w:lineRule="auto"/>
        <w:ind w:left="547" w:hanging="547"/>
      </w:pPr>
      <w:r w:rsidRPr="00391D22">
        <w:t>Características dos vírus</w:t>
      </w:r>
    </w:p>
    <w:p w:rsidR="00E8674E" w:rsidRPr="00391D22" w:rsidRDefault="00E8674E" w:rsidP="00C52E09">
      <w:pPr>
        <w:pStyle w:val="TM-2n"/>
        <w:numPr>
          <w:ilvl w:val="2"/>
          <w:numId w:val="88"/>
        </w:numPr>
        <w:spacing w:before="120" w:after="0" w:line="276" w:lineRule="auto"/>
        <w:ind w:firstLine="0"/>
      </w:pPr>
      <w:r w:rsidRPr="00391D22">
        <w:t>São acelulares</w:t>
      </w:r>
    </w:p>
    <w:p w:rsidR="00E8674E" w:rsidRPr="00391D22" w:rsidRDefault="00E8674E" w:rsidP="00C52E09">
      <w:pPr>
        <w:pStyle w:val="TM-2n"/>
        <w:numPr>
          <w:ilvl w:val="2"/>
          <w:numId w:val="88"/>
        </w:numPr>
        <w:spacing w:before="120" w:after="0" w:line="276" w:lineRule="auto"/>
        <w:ind w:firstLine="0"/>
      </w:pPr>
      <w:r w:rsidRPr="00391D22">
        <w:t>Genoma com ADN ou ARN</w:t>
      </w:r>
    </w:p>
    <w:p w:rsidR="00E8674E" w:rsidRPr="00391D22" w:rsidRDefault="00E8674E" w:rsidP="00C52E09">
      <w:pPr>
        <w:pStyle w:val="TM-2n"/>
        <w:numPr>
          <w:ilvl w:val="2"/>
          <w:numId w:val="88"/>
        </w:numPr>
        <w:spacing w:before="120" w:after="0" w:line="276" w:lineRule="auto"/>
        <w:ind w:firstLine="0"/>
      </w:pPr>
      <w:r w:rsidRPr="00391D22">
        <w:t>Incapazes de replicar por si só, necessitando da célula hospedeira para o efeito</w:t>
      </w:r>
    </w:p>
    <w:p w:rsidR="00E8674E" w:rsidRPr="00391D22" w:rsidRDefault="00E8674E" w:rsidP="00C52E09">
      <w:pPr>
        <w:pStyle w:val="TM-2n"/>
        <w:numPr>
          <w:ilvl w:val="2"/>
          <w:numId w:val="88"/>
        </w:numPr>
        <w:spacing w:before="120" w:after="0" w:line="276" w:lineRule="auto"/>
        <w:ind w:firstLine="0"/>
      </w:pPr>
      <w:r w:rsidRPr="00391D22">
        <w:t>Não possuem ribossomas</w:t>
      </w:r>
    </w:p>
    <w:p w:rsidR="00E8674E" w:rsidRPr="00391D22" w:rsidRDefault="00E8674E" w:rsidP="00C52E09">
      <w:pPr>
        <w:pStyle w:val="TM-2n"/>
        <w:numPr>
          <w:ilvl w:val="2"/>
          <w:numId w:val="88"/>
        </w:numPr>
        <w:spacing w:before="120" w:after="0" w:line="276" w:lineRule="auto"/>
        <w:ind w:firstLine="0"/>
      </w:pPr>
      <w:r w:rsidRPr="00391D22">
        <w:t>Não se dividem por divisão binária, mitose ou meiose</w:t>
      </w:r>
    </w:p>
    <w:p w:rsidR="00E8674E" w:rsidRPr="00391D22" w:rsidRDefault="00E8674E" w:rsidP="00C52E09">
      <w:pPr>
        <w:pStyle w:val="TM-2n"/>
        <w:numPr>
          <w:ilvl w:val="1"/>
          <w:numId w:val="88"/>
        </w:numPr>
        <w:spacing w:before="120" w:after="0" w:line="276" w:lineRule="auto"/>
        <w:ind w:left="547" w:hanging="547"/>
      </w:pPr>
      <w:r w:rsidRPr="00391D22">
        <w:t>Estrutura dos vírus:</w:t>
      </w:r>
    </w:p>
    <w:p w:rsidR="00E8674E" w:rsidRPr="00391D22" w:rsidRDefault="00E8674E" w:rsidP="00C52E09">
      <w:pPr>
        <w:pStyle w:val="TM-2n"/>
        <w:numPr>
          <w:ilvl w:val="2"/>
          <w:numId w:val="88"/>
        </w:numPr>
        <w:spacing w:before="120" w:after="0" w:line="276" w:lineRule="auto"/>
        <w:ind w:firstLine="0"/>
      </w:pPr>
      <w:r w:rsidRPr="00391D22">
        <w:rPr>
          <w:lang w:val="pt-BR"/>
        </w:rPr>
        <w:t>Tamanho – 10 a 300 nanômetros – visíveis apenas pela microscopia electrónica</w:t>
      </w:r>
    </w:p>
    <w:p w:rsidR="00E8674E" w:rsidRPr="00391D22" w:rsidRDefault="00E8674E" w:rsidP="00C52E09">
      <w:pPr>
        <w:pStyle w:val="TM-2n"/>
        <w:numPr>
          <w:ilvl w:val="2"/>
          <w:numId w:val="88"/>
        </w:numPr>
        <w:spacing w:before="120" w:after="0" w:line="276" w:lineRule="auto"/>
        <w:ind w:firstLine="0"/>
      </w:pPr>
      <w:r w:rsidRPr="00391D22">
        <w:t>Genoma com ADN ou ARN</w:t>
      </w:r>
    </w:p>
    <w:p w:rsidR="00E8674E" w:rsidRPr="00391D22" w:rsidRDefault="00E8674E" w:rsidP="00C52E09">
      <w:pPr>
        <w:pStyle w:val="TM-2n"/>
        <w:numPr>
          <w:ilvl w:val="2"/>
          <w:numId w:val="88"/>
        </w:numPr>
        <w:spacing w:before="120" w:after="0" w:line="276" w:lineRule="auto"/>
        <w:ind w:firstLine="0"/>
      </w:pPr>
      <w:r w:rsidRPr="00391D22">
        <w:rPr>
          <w:lang w:val="pt-BR"/>
        </w:rPr>
        <w:t>Capsídeo – capa de proteina composta por pequenas unidades protéicas – os capsómeros</w:t>
      </w:r>
    </w:p>
    <w:p w:rsidR="00E8674E" w:rsidRPr="00391D22" w:rsidRDefault="00E8674E" w:rsidP="00C52E09">
      <w:pPr>
        <w:pStyle w:val="TM-2n"/>
        <w:numPr>
          <w:ilvl w:val="2"/>
          <w:numId w:val="88"/>
        </w:numPr>
        <w:spacing w:before="120" w:after="0" w:line="276" w:lineRule="auto"/>
        <w:ind w:firstLine="0"/>
      </w:pPr>
      <w:r w:rsidRPr="00391D22">
        <w:rPr>
          <w:lang w:val="pt-BR"/>
        </w:rPr>
        <w:t>Envelope – alguns vírus possuem um envelope externo composto de lípidos e polissacarídeo (exemplo: vírus do HIV, vírus da gripe)</w:t>
      </w:r>
    </w:p>
    <w:p w:rsidR="00E8674E" w:rsidRPr="00391D22" w:rsidRDefault="00E8674E" w:rsidP="00C52E09">
      <w:pPr>
        <w:pStyle w:val="TM-2n"/>
        <w:numPr>
          <w:ilvl w:val="2"/>
          <w:numId w:val="88"/>
        </w:numPr>
        <w:spacing w:before="120" w:after="0" w:line="276" w:lineRule="auto"/>
        <w:ind w:firstLine="0"/>
      </w:pPr>
      <w:r w:rsidRPr="00391D22">
        <w:rPr>
          <w:lang w:val="pt-BR"/>
        </w:rPr>
        <w:t>Cauda, bainha e fibras caudais – encontrado nos bacteriófagos</w:t>
      </w:r>
    </w:p>
    <w:p w:rsidR="00E8674E" w:rsidRPr="00391D22" w:rsidRDefault="00E8674E" w:rsidP="00E8674E">
      <w:pPr>
        <w:pStyle w:val="TM-2n"/>
        <w:numPr>
          <w:ilvl w:val="0"/>
          <w:numId w:val="0"/>
        </w:numPr>
        <w:spacing w:before="120" w:after="0" w:line="276" w:lineRule="auto"/>
        <w:ind w:left="547"/>
        <w:jc w:val="center"/>
        <w:rPr>
          <w:lang w:val="en-GB"/>
        </w:rPr>
      </w:pPr>
      <w:r>
        <w:rPr>
          <w:noProof/>
          <w:lang w:val="en-ZW" w:eastAsia="en-ZW"/>
        </w:rPr>
        <w:drawing>
          <wp:inline distT="0" distB="0" distL="0" distR="0" wp14:anchorId="3690F602" wp14:editId="723A834A">
            <wp:extent cx="2609850" cy="2956291"/>
            <wp:effectExtent l="19050" t="0" r="0" b="0"/>
            <wp:docPr id="1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srcRect/>
                    <a:stretch>
                      <a:fillRect/>
                    </a:stretch>
                  </pic:blipFill>
                  <pic:spPr bwMode="auto">
                    <a:xfrm>
                      <a:off x="0" y="0"/>
                      <a:ext cx="2614643" cy="2961721"/>
                    </a:xfrm>
                    <a:prstGeom prst="rect">
                      <a:avLst/>
                    </a:prstGeom>
                    <a:noFill/>
                    <a:ln w="9525">
                      <a:noFill/>
                      <a:miter lim="800000"/>
                      <a:headEnd/>
                      <a:tailEnd/>
                    </a:ln>
                  </pic:spPr>
                </pic:pic>
              </a:graphicData>
            </a:graphic>
          </wp:inline>
        </w:drawing>
      </w:r>
    </w:p>
    <w:p w:rsidR="00E8674E" w:rsidRPr="00391D22" w:rsidRDefault="00E8674E" w:rsidP="00E8674E">
      <w:pPr>
        <w:pStyle w:val="TM-2n"/>
        <w:numPr>
          <w:ilvl w:val="0"/>
          <w:numId w:val="0"/>
        </w:numPr>
        <w:spacing w:before="120" w:after="0" w:line="276" w:lineRule="auto"/>
        <w:ind w:left="547"/>
        <w:jc w:val="center"/>
      </w:pPr>
      <w:r w:rsidRPr="00EB2A96">
        <w:rPr>
          <w:b/>
          <w:lang w:val="en-GB"/>
        </w:rPr>
        <w:t>Figura 1:</w:t>
      </w:r>
      <w:r w:rsidRPr="00391D22">
        <w:rPr>
          <w:lang w:val="en-GB"/>
        </w:rPr>
        <w:t xml:space="preserve"> Estrutura do vírus</w:t>
      </w:r>
    </w:p>
    <w:p w:rsidR="00E8674E" w:rsidRPr="00391D22" w:rsidRDefault="00E8674E" w:rsidP="00C52E09">
      <w:pPr>
        <w:pStyle w:val="TM-2n"/>
        <w:numPr>
          <w:ilvl w:val="1"/>
          <w:numId w:val="88"/>
        </w:numPr>
        <w:spacing w:before="120" w:after="0" w:line="276" w:lineRule="auto"/>
        <w:ind w:left="540"/>
      </w:pPr>
      <w:r w:rsidRPr="00391D22">
        <w:lastRenderedPageBreak/>
        <w:t>Os vários tipos de vírus conhecidos apresentam diferentes formas e tamanhos, e também não têm um padrão único de estrutura. De maneira geral, podem-se definir quatro estruturas morfológicas virais:</w:t>
      </w:r>
    </w:p>
    <w:p w:rsidR="00E8674E" w:rsidRPr="00391D22" w:rsidRDefault="00E8674E" w:rsidP="00C52E09">
      <w:pPr>
        <w:pStyle w:val="TM-3n"/>
        <w:numPr>
          <w:ilvl w:val="2"/>
          <w:numId w:val="88"/>
        </w:numPr>
        <w:tabs>
          <w:tab w:val="clear" w:pos="1276"/>
        </w:tabs>
        <w:spacing w:before="120" w:after="0" w:line="276" w:lineRule="auto"/>
        <w:ind w:firstLine="90"/>
      </w:pPr>
      <w:r w:rsidRPr="00391D22">
        <w:rPr>
          <w:b/>
        </w:rPr>
        <w:t>Helicoidal</w:t>
      </w:r>
      <w:r w:rsidRPr="00391D22">
        <w:t>: Os capsómeros se organizam ao redor de um eixo central, formando uma estrutura tubular helicoidal. O ácido nucleico situa-se no interior de esta estrutura.</w:t>
      </w:r>
    </w:p>
    <w:p w:rsidR="00E8674E" w:rsidRPr="00391D22" w:rsidRDefault="00E8674E" w:rsidP="00C52E09">
      <w:pPr>
        <w:pStyle w:val="TM-3n"/>
        <w:numPr>
          <w:ilvl w:val="2"/>
          <w:numId w:val="88"/>
        </w:numPr>
        <w:tabs>
          <w:tab w:val="clear" w:pos="1276"/>
        </w:tabs>
        <w:spacing w:before="120" w:after="0" w:line="276" w:lineRule="auto"/>
        <w:ind w:left="1260" w:hanging="450"/>
      </w:pPr>
      <w:r w:rsidRPr="00391D22">
        <w:rPr>
          <w:b/>
        </w:rPr>
        <w:t>Icosaédrica</w:t>
      </w:r>
      <w:r w:rsidRPr="00391D22">
        <w:t>: Os capsómeros se dispõem em forma de icosaedro regular ou de quase-esfera, com o ácido nucleico no seu interior. A maior parte dos vírus animais tem esta estrutura.</w:t>
      </w:r>
    </w:p>
    <w:p w:rsidR="00E8674E" w:rsidRPr="00391D22" w:rsidRDefault="00E8674E" w:rsidP="00C52E09">
      <w:pPr>
        <w:pStyle w:val="TM-3n"/>
        <w:numPr>
          <w:ilvl w:val="2"/>
          <w:numId w:val="88"/>
        </w:numPr>
        <w:tabs>
          <w:tab w:val="clear" w:pos="1276"/>
        </w:tabs>
        <w:spacing w:before="120" w:after="0" w:line="276" w:lineRule="auto"/>
        <w:ind w:left="1260" w:hanging="450"/>
      </w:pPr>
      <w:r w:rsidRPr="00391D22">
        <w:rPr>
          <w:b/>
        </w:rPr>
        <w:t>Envelope:</w:t>
      </w:r>
      <w:r w:rsidRPr="00391D22">
        <w:t xml:space="preserve"> Alguns vírus podem se rodear de um envelope lipídico derivado da membrana da célula hospedeira, diminuindo assim a capacidade dos organismos infectados para reconhece-los. O vírus da gripe e o HIV utilizam esta estratégia.</w:t>
      </w:r>
    </w:p>
    <w:p w:rsidR="00E8674E" w:rsidRPr="00391D22" w:rsidRDefault="00E8674E" w:rsidP="00C52E09">
      <w:pPr>
        <w:pStyle w:val="TM-3n"/>
        <w:numPr>
          <w:ilvl w:val="2"/>
          <w:numId w:val="88"/>
        </w:numPr>
        <w:tabs>
          <w:tab w:val="clear" w:pos="1276"/>
        </w:tabs>
        <w:spacing w:before="120" w:after="0" w:line="276" w:lineRule="auto"/>
        <w:ind w:left="1260" w:hanging="540"/>
      </w:pPr>
      <w:r w:rsidRPr="00391D22">
        <w:rPr>
          <w:b/>
        </w:rPr>
        <w:t>Complexa</w:t>
      </w:r>
      <w:r w:rsidRPr="00391D22">
        <w:t>: Alguns vírus possuem estruturas específicas, como caudas proteicas ou paredes externas especiais. Os bacteriófagos, que são vírus que infectam bactérias, pertencem a esta categoria.</w:t>
      </w:r>
    </w:p>
    <w:p w:rsidR="00E8674E" w:rsidRPr="00391D22" w:rsidRDefault="00E8674E" w:rsidP="00E8674E">
      <w:pPr>
        <w:jc w:val="center"/>
        <w:rPr>
          <w:rFonts w:cs="Arial"/>
          <w:noProof/>
        </w:rPr>
      </w:pPr>
      <w:r>
        <w:rPr>
          <w:rFonts w:cs="Arial"/>
          <w:noProof/>
          <w:lang w:val="en-ZW" w:eastAsia="en-ZW"/>
        </w:rPr>
        <w:drawing>
          <wp:inline distT="0" distB="0" distL="0" distR="0" wp14:anchorId="49CBA28C" wp14:editId="2427A7A8">
            <wp:extent cx="3022600" cy="2552700"/>
            <wp:effectExtent l="19050" t="0" r="6350" b="0"/>
            <wp:docPr id="10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grayscl/>
                    </a:blip>
                    <a:srcRect/>
                    <a:stretch>
                      <a:fillRect/>
                    </a:stretch>
                  </pic:blipFill>
                  <pic:spPr bwMode="auto">
                    <a:xfrm>
                      <a:off x="0" y="0"/>
                      <a:ext cx="3022600" cy="2552700"/>
                    </a:xfrm>
                    <a:prstGeom prst="rect">
                      <a:avLst/>
                    </a:prstGeom>
                    <a:noFill/>
                    <a:ln w="9525">
                      <a:noFill/>
                      <a:miter lim="800000"/>
                      <a:headEnd/>
                      <a:tailEnd/>
                    </a:ln>
                  </pic:spPr>
                </pic:pic>
              </a:graphicData>
            </a:graphic>
          </wp:inline>
        </w:drawing>
      </w:r>
    </w:p>
    <w:p w:rsidR="00E8674E" w:rsidRPr="00391D22" w:rsidRDefault="00E8674E" w:rsidP="00E8674E">
      <w:pPr>
        <w:jc w:val="center"/>
        <w:rPr>
          <w:rFonts w:cs="Arial"/>
          <w:sz w:val="20"/>
          <w:lang w:val="pt-BR"/>
        </w:rPr>
      </w:pPr>
      <w:r w:rsidRPr="00EB2A96">
        <w:rPr>
          <w:rFonts w:cs="Arial"/>
          <w:b/>
          <w:noProof/>
        </w:rPr>
        <w:t>Figura 2:</w:t>
      </w:r>
      <w:r w:rsidRPr="00391D22">
        <w:rPr>
          <w:rFonts w:cs="Arial"/>
          <w:noProof/>
        </w:rPr>
        <w:t xml:space="preserve"> Estruturas morfológicas virais</w:t>
      </w:r>
    </w:p>
    <w:p w:rsidR="00E8674E" w:rsidRPr="00391D22" w:rsidRDefault="00E8674E" w:rsidP="00C52E09">
      <w:pPr>
        <w:pStyle w:val="TM-2n"/>
        <w:numPr>
          <w:ilvl w:val="1"/>
          <w:numId w:val="88"/>
        </w:numPr>
        <w:spacing w:before="120" w:after="0" w:line="276" w:lineRule="auto"/>
        <w:ind w:left="540" w:hanging="540"/>
      </w:pPr>
      <w:r w:rsidRPr="00391D22">
        <w:t>Atendendo ao ácido nucleico que possuem, e ao uso de transcriptase reversa para sintetizar o ARN codificante, os vírus podem-se dividir em:</w:t>
      </w:r>
    </w:p>
    <w:p w:rsidR="00E8674E" w:rsidRPr="00391D22" w:rsidRDefault="00E8674E" w:rsidP="00C52E09">
      <w:pPr>
        <w:pStyle w:val="TM-3n"/>
        <w:numPr>
          <w:ilvl w:val="2"/>
          <w:numId w:val="88"/>
        </w:numPr>
        <w:tabs>
          <w:tab w:val="left" w:pos="1134"/>
        </w:tabs>
        <w:spacing w:before="120" w:after="0" w:line="276" w:lineRule="auto"/>
        <w:ind w:firstLine="0"/>
      </w:pPr>
      <w:r w:rsidRPr="00391D22">
        <w:t>Vírus ADN. Por exemplo, os herpesvírus.</w:t>
      </w:r>
    </w:p>
    <w:p w:rsidR="00E8674E" w:rsidRPr="00391D22" w:rsidRDefault="00E8674E" w:rsidP="00C52E09">
      <w:pPr>
        <w:pStyle w:val="TM-3n"/>
        <w:numPr>
          <w:ilvl w:val="2"/>
          <w:numId w:val="88"/>
        </w:numPr>
        <w:tabs>
          <w:tab w:val="left" w:pos="1134"/>
        </w:tabs>
        <w:spacing w:before="120" w:after="0" w:line="276" w:lineRule="auto"/>
        <w:ind w:firstLine="0"/>
      </w:pPr>
      <w:r w:rsidRPr="00391D22">
        <w:t>Vírus ARN. Por exemplo, os vírus da hepatite C, da febre amarela, HIV e o Ébola.</w:t>
      </w:r>
    </w:p>
    <w:p w:rsidR="00E8674E" w:rsidRPr="00391D22" w:rsidRDefault="00E8674E" w:rsidP="00C52E09">
      <w:pPr>
        <w:pStyle w:val="TM-3n"/>
        <w:numPr>
          <w:ilvl w:val="2"/>
          <w:numId w:val="88"/>
        </w:numPr>
        <w:tabs>
          <w:tab w:val="left" w:pos="1134"/>
        </w:tabs>
        <w:spacing w:before="120" w:after="0" w:line="276" w:lineRule="auto"/>
        <w:ind w:firstLine="0"/>
      </w:pPr>
      <w:r w:rsidRPr="00391D22">
        <w:t>Vírus que utilizam transcriptase reversa:</w:t>
      </w:r>
    </w:p>
    <w:p w:rsidR="00E8674E" w:rsidRPr="00391D22" w:rsidRDefault="00E8674E" w:rsidP="00C52E09">
      <w:pPr>
        <w:pStyle w:val="TM-4n"/>
        <w:numPr>
          <w:ilvl w:val="0"/>
          <w:numId w:val="83"/>
        </w:numPr>
        <w:tabs>
          <w:tab w:val="clear" w:pos="1134"/>
        </w:tabs>
        <w:spacing w:before="120" w:after="0" w:line="276" w:lineRule="auto"/>
      </w:pPr>
      <w:r w:rsidRPr="00391D22">
        <w:t>Vírus ADN. Por exemplo, o vírus da hepatite B</w:t>
      </w:r>
    </w:p>
    <w:p w:rsidR="00E8674E" w:rsidRDefault="00E8674E" w:rsidP="00C52E09">
      <w:pPr>
        <w:pStyle w:val="TM-4n"/>
        <w:numPr>
          <w:ilvl w:val="0"/>
          <w:numId w:val="83"/>
        </w:numPr>
        <w:tabs>
          <w:tab w:val="clear" w:pos="1134"/>
        </w:tabs>
        <w:spacing w:before="120" w:after="0" w:line="276" w:lineRule="auto"/>
      </w:pPr>
      <w:r w:rsidRPr="00391D22">
        <w:t>Vírus ARN. O HIV pertence a este grupo</w:t>
      </w:r>
    </w:p>
    <w:p w:rsidR="00F8000A" w:rsidRPr="00391D22" w:rsidRDefault="00F8000A" w:rsidP="00F8000A">
      <w:pPr>
        <w:pStyle w:val="TM-4n"/>
        <w:numPr>
          <w:ilvl w:val="0"/>
          <w:numId w:val="0"/>
        </w:numPr>
        <w:tabs>
          <w:tab w:val="clear" w:pos="1134"/>
        </w:tabs>
        <w:spacing w:before="120" w:after="0" w:line="276" w:lineRule="auto"/>
        <w:ind w:left="1639"/>
      </w:pPr>
    </w:p>
    <w:p w:rsidR="00E8674E" w:rsidRPr="00F8000A" w:rsidRDefault="00E8674E" w:rsidP="00E8674E">
      <w:pPr>
        <w:shd w:val="clear" w:color="auto" w:fill="B8CCE4"/>
        <w:tabs>
          <w:tab w:val="left" w:pos="1276"/>
          <w:tab w:val="right" w:pos="8550"/>
        </w:tabs>
        <w:spacing w:before="120" w:after="120"/>
        <w:ind w:right="2"/>
        <w:jc w:val="both"/>
        <w:rPr>
          <w:rFonts w:eastAsia="Calibri" w:cs="Arial"/>
          <w:b/>
          <w:sz w:val="24"/>
          <w:szCs w:val="24"/>
          <w:lang w:val="pt-PT"/>
        </w:rPr>
      </w:pPr>
      <w:r w:rsidRPr="00F8000A">
        <w:rPr>
          <w:rFonts w:eastAsia="Calibri" w:cs="Arial"/>
          <w:b/>
          <w:sz w:val="24"/>
          <w:szCs w:val="24"/>
          <w:lang w:val="pt-PT"/>
        </w:rPr>
        <w:t>BLOCO 3. PATOGENIA DA INFECÇÃO VIRAL</w:t>
      </w:r>
    </w:p>
    <w:p w:rsidR="00E8674E" w:rsidRPr="00391D22" w:rsidRDefault="00E8674E" w:rsidP="00C52E09">
      <w:pPr>
        <w:pStyle w:val="TM-2n"/>
        <w:numPr>
          <w:ilvl w:val="1"/>
          <w:numId w:val="84"/>
        </w:numPr>
        <w:spacing w:before="120" w:after="0" w:line="276" w:lineRule="auto"/>
        <w:ind w:left="450"/>
      </w:pPr>
      <w:r w:rsidRPr="00391D22">
        <w:t>Para provocar doença, é necessário que os vírus penetrem num hospedeiro, entrem em contacto com células susceptíveis, se repliquem, e causem lesão celular.</w:t>
      </w:r>
    </w:p>
    <w:p w:rsidR="00E8674E" w:rsidRPr="00391D22" w:rsidRDefault="00E8674E" w:rsidP="00E8674E">
      <w:pPr>
        <w:pStyle w:val="TM-2n"/>
        <w:numPr>
          <w:ilvl w:val="0"/>
          <w:numId w:val="0"/>
        </w:numPr>
        <w:spacing w:before="120" w:after="0" w:line="276" w:lineRule="auto"/>
        <w:ind w:left="540"/>
        <w:jc w:val="center"/>
        <w:rPr>
          <w:lang w:val="en-GB"/>
        </w:rPr>
      </w:pPr>
      <w:r>
        <w:rPr>
          <w:noProof/>
          <w:lang w:val="en-ZW" w:eastAsia="en-ZW"/>
        </w:rPr>
        <w:lastRenderedPageBreak/>
        <w:drawing>
          <wp:inline distT="0" distB="0" distL="0" distR="0" wp14:anchorId="2057A6DC" wp14:editId="5DA8FCB1">
            <wp:extent cx="2552700" cy="4394200"/>
            <wp:effectExtent l="19050" t="0" r="0" b="0"/>
            <wp:docPr id="1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print">
                      <a:grayscl/>
                    </a:blip>
                    <a:srcRect l="70882" t="24219" r="18823" b="6422"/>
                    <a:stretch>
                      <a:fillRect/>
                    </a:stretch>
                  </pic:blipFill>
                  <pic:spPr bwMode="auto">
                    <a:xfrm>
                      <a:off x="0" y="0"/>
                      <a:ext cx="2552700" cy="4394200"/>
                    </a:xfrm>
                    <a:prstGeom prst="rect">
                      <a:avLst/>
                    </a:prstGeom>
                    <a:noFill/>
                    <a:ln w="9525">
                      <a:noFill/>
                      <a:miter lim="800000"/>
                      <a:headEnd/>
                      <a:tailEnd/>
                    </a:ln>
                  </pic:spPr>
                </pic:pic>
              </a:graphicData>
            </a:graphic>
          </wp:inline>
        </w:drawing>
      </w:r>
    </w:p>
    <w:p w:rsidR="00E8674E" w:rsidRPr="00391D22" w:rsidRDefault="00E8674E" w:rsidP="00E8674E">
      <w:pPr>
        <w:pStyle w:val="TM-2n"/>
        <w:numPr>
          <w:ilvl w:val="0"/>
          <w:numId w:val="0"/>
        </w:numPr>
        <w:spacing w:before="120" w:after="0" w:line="276" w:lineRule="auto"/>
        <w:ind w:left="540"/>
        <w:jc w:val="center"/>
      </w:pPr>
      <w:r w:rsidRPr="00EB2A96">
        <w:rPr>
          <w:b/>
          <w:lang w:val="en-GB"/>
        </w:rPr>
        <w:t>Figura 3:</w:t>
      </w:r>
      <w:r w:rsidRPr="00391D22">
        <w:rPr>
          <w:lang w:val="en-GB"/>
        </w:rPr>
        <w:t xml:space="preserve"> Etapas da Infecção Viral</w:t>
      </w:r>
    </w:p>
    <w:p w:rsidR="00E8674E" w:rsidRPr="00391D22" w:rsidRDefault="00E8674E" w:rsidP="00C52E09">
      <w:pPr>
        <w:pStyle w:val="TM-2n"/>
        <w:numPr>
          <w:ilvl w:val="1"/>
          <w:numId w:val="84"/>
        </w:numPr>
        <w:spacing w:before="120" w:after="0" w:line="276" w:lineRule="auto"/>
        <w:ind w:left="630" w:hanging="630"/>
      </w:pPr>
      <w:r w:rsidRPr="00391D22">
        <w:t>As etapas específicas envolvidas na patogenia viral, são as seguintes:</w:t>
      </w:r>
    </w:p>
    <w:p w:rsidR="00E8674E" w:rsidRPr="00391D22" w:rsidRDefault="00E8674E" w:rsidP="00C52E09">
      <w:pPr>
        <w:pStyle w:val="TM-3n"/>
        <w:numPr>
          <w:ilvl w:val="2"/>
          <w:numId w:val="84"/>
        </w:numPr>
        <w:tabs>
          <w:tab w:val="clear" w:pos="1276"/>
        </w:tabs>
        <w:spacing w:before="120" w:after="0" w:line="276" w:lineRule="auto"/>
        <w:ind w:left="1170" w:hanging="630"/>
        <w:rPr>
          <w:b/>
        </w:rPr>
      </w:pPr>
      <w:r w:rsidRPr="00391D22">
        <w:rPr>
          <w:b/>
        </w:rPr>
        <w:t>Penetração e Replicação Primária</w:t>
      </w:r>
    </w:p>
    <w:p w:rsidR="00E8674E" w:rsidRPr="00391D22" w:rsidRDefault="00E8674E" w:rsidP="00C52E09">
      <w:pPr>
        <w:pStyle w:val="TM-4n"/>
        <w:numPr>
          <w:ilvl w:val="0"/>
          <w:numId w:val="83"/>
        </w:numPr>
        <w:tabs>
          <w:tab w:val="clear" w:pos="1134"/>
        </w:tabs>
        <w:spacing w:before="120" w:after="0" w:line="276" w:lineRule="auto"/>
      </w:pPr>
      <w:r w:rsidRPr="00391D22">
        <w:t>Para que ocorra a infecção, é necessário que o vírus se fixe as células de uma das superfícies corporais (pele, vias respiratórias, tracto gastrointestinal, tracto urogenital ou conjuntiva) e penetre nelas.</w:t>
      </w:r>
    </w:p>
    <w:p w:rsidR="00E8674E" w:rsidRPr="00391D22" w:rsidRDefault="00E8674E" w:rsidP="00C52E09">
      <w:pPr>
        <w:pStyle w:val="TM-4n"/>
        <w:numPr>
          <w:ilvl w:val="0"/>
          <w:numId w:val="83"/>
        </w:numPr>
        <w:tabs>
          <w:tab w:val="clear" w:pos="1134"/>
        </w:tabs>
        <w:spacing w:before="120" w:after="0" w:line="276" w:lineRule="auto"/>
      </w:pPr>
      <w:r w:rsidRPr="00391D22">
        <w:t>A maior parte dos vírus penetra através da mucosa das vias respiratórias ou do tracto gastrointestinal.</w:t>
      </w:r>
    </w:p>
    <w:p w:rsidR="00E8674E" w:rsidRPr="00391D22" w:rsidRDefault="00E8674E" w:rsidP="00C52E09">
      <w:pPr>
        <w:pStyle w:val="TM-4n"/>
        <w:numPr>
          <w:ilvl w:val="0"/>
          <w:numId w:val="83"/>
        </w:numPr>
        <w:tabs>
          <w:tab w:val="clear" w:pos="1134"/>
        </w:tabs>
        <w:spacing w:before="120" w:after="0" w:line="276" w:lineRule="auto"/>
      </w:pPr>
      <w:r w:rsidRPr="00391D22">
        <w:t>Porem, alguns vírus são introduzidos directamente no sangue por agulhas, transfusões sanguíneas, ou picadas de insectos.</w:t>
      </w:r>
    </w:p>
    <w:p w:rsidR="00E8674E" w:rsidRPr="00391D22" w:rsidRDefault="00E8674E" w:rsidP="00C52E09">
      <w:pPr>
        <w:pStyle w:val="TM-4n"/>
        <w:numPr>
          <w:ilvl w:val="0"/>
          <w:numId w:val="83"/>
        </w:numPr>
        <w:tabs>
          <w:tab w:val="clear" w:pos="1134"/>
        </w:tabs>
        <w:spacing w:before="120" w:after="0" w:line="276" w:lineRule="auto"/>
      </w:pPr>
      <w:r w:rsidRPr="00391D22">
        <w:t>Alguns vírus penetram inteiros no interior da célula hospedeira (por exemplo, o vírus da gripe). Porém, outros apenas inje</w:t>
      </w:r>
      <w:r>
        <w:t>ctam na célula o seu ácido nuclé</w:t>
      </w:r>
      <w:r w:rsidRPr="00391D22">
        <w:t>ico, que transporta a informação necessária para iniciar a produção de novas partículas virais. (exemplo: vírus do HIV)</w:t>
      </w:r>
    </w:p>
    <w:p w:rsidR="00E8674E" w:rsidRPr="00391D22" w:rsidRDefault="00E8674E" w:rsidP="00C52E09">
      <w:pPr>
        <w:pStyle w:val="TM-4n"/>
        <w:numPr>
          <w:ilvl w:val="0"/>
          <w:numId w:val="83"/>
        </w:numPr>
        <w:tabs>
          <w:tab w:val="clear" w:pos="1134"/>
        </w:tabs>
        <w:spacing w:before="120" w:after="0" w:line="276" w:lineRule="auto"/>
      </w:pPr>
      <w:r w:rsidRPr="00391D22">
        <w:t>Após a sua entrada nas células, o vírus começa a replicar-se no local de entrada.</w:t>
      </w:r>
    </w:p>
    <w:p w:rsidR="00E8674E" w:rsidRPr="00391D22" w:rsidRDefault="00E8674E" w:rsidP="00C52E09">
      <w:pPr>
        <w:pStyle w:val="TM-4n"/>
        <w:numPr>
          <w:ilvl w:val="0"/>
          <w:numId w:val="83"/>
        </w:numPr>
        <w:tabs>
          <w:tab w:val="clear" w:pos="1134"/>
        </w:tabs>
        <w:spacing w:before="120" w:after="0" w:line="276" w:lineRule="auto"/>
      </w:pPr>
      <w:r w:rsidRPr="00391D22">
        <w:t>Alguns vírus provocam doença no local de entrada, e não precisam de se disseminar.</w:t>
      </w:r>
    </w:p>
    <w:p w:rsidR="00E8674E" w:rsidRPr="00391D22" w:rsidRDefault="00E8674E" w:rsidP="00C52E09">
      <w:pPr>
        <w:pStyle w:val="TM-3n"/>
        <w:numPr>
          <w:ilvl w:val="2"/>
          <w:numId w:val="84"/>
        </w:numPr>
        <w:tabs>
          <w:tab w:val="clear" w:pos="1276"/>
        </w:tabs>
        <w:spacing w:before="120" w:after="0" w:line="276" w:lineRule="auto"/>
        <w:ind w:left="1170" w:hanging="630"/>
        <w:rPr>
          <w:b/>
        </w:rPr>
      </w:pPr>
      <w:r w:rsidRPr="00391D22">
        <w:rPr>
          <w:b/>
        </w:rPr>
        <w:t>Propagação Viral</w:t>
      </w:r>
    </w:p>
    <w:p w:rsidR="00E8674E" w:rsidRPr="00391D22" w:rsidRDefault="00E8674E" w:rsidP="00C52E09">
      <w:pPr>
        <w:pStyle w:val="TM-4n"/>
        <w:numPr>
          <w:ilvl w:val="0"/>
          <w:numId w:val="83"/>
        </w:numPr>
        <w:tabs>
          <w:tab w:val="clear" w:pos="1134"/>
        </w:tabs>
        <w:spacing w:before="120" w:after="0" w:line="276" w:lineRule="auto"/>
      </w:pPr>
      <w:r w:rsidRPr="00391D22">
        <w:t>Após a replicação no local de entrada, muitos vírus provocam doenças em locais distantes do seu ponto de entrada.</w:t>
      </w:r>
    </w:p>
    <w:p w:rsidR="00E8674E" w:rsidRPr="00391D22" w:rsidRDefault="00E8674E" w:rsidP="00C52E09">
      <w:pPr>
        <w:pStyle w:val="TM-4n"/>
        <w:numPr>
          <w:ilvl w:val="0"/>
          <w:numId w:val="83"/>
        </w:numPr>
        <w:tabs>
          <w:tab w:val="clear" w:pos="1134"/>
        </w:tabs>
        <w:spacing w:before="120" w:after="0" w:line="276" w:lineRule="auto"/>
      </w:pPr>
      <w:r w:rsidRPr="00391D22">
        <w:t>Os mecanismos de propagação viral são variáveis, porém as vias mais comuns são  através das correntes sanguínea e linfática.</w:t>
      </w:r>
    </w:p>
    <w:p w:rsidR="00E8674E" w:rsidRPr="00391D22" w:rsidRDefault="00E8674E" w:rsidP="00C52E09">
      <w:pPr>
        <w:pStyle w:val="TM-4n"/>
        <w:numPr>
          <w:ilvl w:val="0"/>
          <w:numId w:val="83"/>
        </w:numPr>
        <w:tabs>
          <w:tab w:val="clear" w:pos="1134"/>
        </w:tabs>
        <w:spacing w:before="120" w:after="0" w:line="276" w:lineRule="auto"/>
      </w:pPr>
      <w:r w:rsidRPr="00391D22">
        <w:lastRenderedPageBreak/>
        <w:t>Os vírus tendem a exibir tropismo ou capacidade específica para infectar determinados órgãos e células.</w:t>
      </w:r>
    </w:p>
    <w:p w:rsidR="00E8674E" w:rsidRPr="00391D22" w:rsidRDefault="00E8674E" w:rsidP="00E8674E">
      <w:pPr>
        <w:pStyle w:val="TM-4n"/>
        <w:numPr>
          <w:ilvl w:val="0"/>
          <w:numId w:val="0"/>
        </w:numPr>
        <w:spacing w:before="120" w:after="0" w:line="276" w:lineRule="auto"/>
        <w:ind w:left="1639"/>
      </w:pPr>
    </w:p>
    <w:p w:rsidR="00E8674E" w:rsidRPr="00391D22" w:rsidRDefault="00E8674E" w:rsidP="00C52E09">
      <w:pPr>
        <w:pStyle w:val="TM-3n"/>
        <w:numPr>
          <w:ilvl w:val="2"/>
          <w:numId w:val="84"/>
        </w:numPr>
        <w:tabs>
          <w:tab w:val="clear" w:pos="1276"/>
        </w:tabs>
        <w:spacing w:before="120" w:after="0" w:line="276" w:lineRule="auto"/>
        <w:ind w:left="1170" w:hanging="630"/>
        <w:rPr>
          <w:b/>
        </w:rPr>
      </w:pPr>
      <w:r w:rsidRPr="00391D22">
        <w:rPr>
          <w:b/>
        </w:rPr>
        <w:t>Lesão Celular e Doença Clínica</w:t>
      </w:r>
    </w:p>
    <w:p w:rsidR="00E8674E" w:rsidRPr="00391D22" w:rsidRDefault="00E8674E" w:rsidP="00C52E09">
      <w:pPr>
        <w:pStyle w:val="TM-4n"/>
        <w:numPr>
          <w:ilvl w:val="0"/>
          <w:numId w:val="83"/>
        </w:numPr>
        <w:tabs>
          <w:tab w:val="clear" w:pos="1134"/>
        </w:tabs>
        <w:spacing w:before="120" w:after="0" w:line="276" w:lineRule="auto"/>
      </w:pPr>
      <w:r w:rsidRPr="00391D22">
        <w:t>A destruição das células infectadas pelos vírus e as alterações fisiológicas induzidas pela lesão dos tecidos determinam a ocorrência da  doença.</w:t>
      </w:r>
    </w:p>
    <w:p w:rsidR="00E8674E" w:rsidRPr="00391D22" w:rsidRDefault="00E8674E" w:rsidP="00C52E09">
      <w:pPr>
        <w:pStyle w:val="TM-4n"/>
        <w:numPr>
          <w:ilvl w:val="0"/>
          <w:numId w:val="83"/>
        </w:numPr>
        <w:tabs>
          <w:tab w:val="clear" w:pos="1134"/>
        </w:tabs>
        <w:spacing w:before="120" w:after="0" w:line="276" w:lineRule="auto"/>
      </w:pPr>
      <w:r w:rsidRPr="00391D22">
        <w:t>A resposta imune do hospedeiro pode provocar sintomas generalizados e não específicos a uma determinada infecção viral, como mau estar, febre e anorexia (falta de apetite).</w:t>
      </w:r>
    </w:p>
    <w:p w:rsidR="00E8674E" w:rsidRPr="00391D22" w:rsidRDefault="00E8674E" w:rsidP="00C52E09">
      <w:pPr>
        <w:pStyle w:val="TM-4n"/>
        <w:numPr>
          <w:ilvl w:val="0"/>
          <w:numId w:val="83"/>
        </w:numPr>
        <w:tabs>
          <w:tab w:val="clear" w:pos="1134"/>
        </w:tabs>
        <w:spacing w:before="120" w:after="0" w:line="276" w:lineRule="auto"/>
      </w:pPr>
      <w:r w:rsidRPr="00391D22">
        <w:t>Muitas infecções virais provocam uma infecção subclínica (assintomática).</w:t>
      </w:r>
    </w:p>
    <w:p w:rsidR="00E8674E" w:rsidRPr="00391D22" w:rsidRDefault="00E8674E" w:rsidP="00C52E09">
      <w:pPr>
        <w:pStyle w:val="TM-3n"/>
        <w:numPr>
          <w:ilvl w:val="2"/>
          <w:numId w:val="84"/>
        </w:numPr>
        <w:tabs>
          <w:tab w:val="clear" w:pos="1276"/>
        </w:tabs>
        <w:spacing w:before="120" w:after="0" w:line="276" w:lineRule="auto"/>
        <w:ind w:left="1170" w:hanging="630"/>
        <w:rPr>
          <w:b/>
        </w:rPr>
      </w:pPr>
      <w:r w:rsidRPr="00391D22">
        <w:rPr>
          <w:b/>
        </w:rPr>
        <w:t>Recuperação da Infecção</w:t>
      </w:r>
    </w:p>
    <w:p w:rsidR="00E8674E" w:rsidRPr="00391D22" w:rsidRDefault="00E8674E" w:rsidP="00C52E09">
      <w:pPr>
        <w:pStyle w:val="TM-4n"/>
        <w:numPr>
          <w:ilvl w:val="0"/>
          <w:numId w:val="83"/>
        </w:numPr>
        <w:tabs>
          <w:tab w:val="clear" w:pos="1134"/>
        </w:tabs>
        <w:spacing w:before="120" w:after="0" w:line="276" w:lineRule="auto"/>
      </w:pPr>
      <w:r w:rsidRPr="00391D22">
        <w:t>Os mecanismos de recuperação da infecção incluem as respostas imune inata e adaptativa.</w:t>
      </w:r>
    </w:p>
    <w:p w:rsidR="00E8674E" w:rsidRPr="00391D22" w:rsidRDefault="00E8674E" w:rsidP="00C52E09">
      <w:pPr>
        <w:pStyle w:val="TM-4n"/>
        <w:numPr>
          <w:ilvl w:val="0"/>
          <w:numId w:val="83"/>
        </w:numPr>
        <w:tabs>
          <w:tab w:val="clear" w:pos="1134"/>
        </w:tabs>
        <w:spacing w:before="120" w:after="0" w:line="276" w:lineRule="auto"/>
      </w:pPr>
      <w:r w:rsidRPr="00391D22">
        <w:t>Nas infecções agudas, a recuperação está associada à eliminação do vírus. Por exemplo, a infecção pelo vírus da gripe.</w:t>
      </w:r>
    </w:p>
    <w:p w:rsidR="00E8674E" w:rsidRPr="00391D22" w:rsidRDefault="00E8674E" w:rsidP="00C52E09">
      <w:pPr>
        <w:pStyle w:val="TM-4n"/>
        <w:numPr>
          <w:ilvl w:val="0"/>
          <w:numId w:val="83"/>
        </w:numPr>
        <w:tabs>
          <w:tab w:val="clear" w:pos="1134"/>
        </w:tabs>
        <w:spacing w:before="120" w:after="0" w:line="276" w:lineRule="auto"/>
      </w:pPr>
      <w:r w:rsidRPr="00391D22">
        <w:t>Porém, existem circunstâncias em que o hospedeiro fica persistentemente infectado pelo vírus, dando lugar a doença crónica. O exemplo mais conhecido em Moçambique é a infecção pelo HIV (vírus da imunodeficiência humana).</w:t>
      </w:r>
    </w:p>
    <w:p w:rsidR="00E8674E" w:rsidRPr="00391D22" w:rsidRDefault="00E8674E" w:rsidP="00C52E09">
      <w:pPr>
        <w:pStyle w:val="TM-3n"/>
        <w:numPr>
          <w:ilvl w:val="2"/>
          <w:numId w:val="84"/>
        </w:numPr>
        <w:tabs>
          <w:tab w:val="clear" w:pos="1276"/>
        </w:tabs>
        <w:spacing w:before="120" w:after="0" w:line="276" w:lineRule="auto"/>
        <w:ind w:left="1170" w:hanging="630"/>
        <w:rPr>
          <w:b/>
        </w:rPr>
      </w:pPr>
      <w:r w:rsidRPr="00391D22">
        <w:rPr>
          <w:b/>
        </w:rPr>
        <w:t>Transmissão do Vírus</w:t>
      </w:r>
    </w:p>
    <w:p w:rsidR="00E8674E" w:rsidRPr="00391D22" w:rsidRDefault="00E8674E" w:rsidP="00C52E09">
      <w:pPr>
        <w:pStyle w:val="TM-4n"/>
        <w:numPr>
          <w:ilvl w:val="0"/>
          <w:numId w:val="83"/>
        </w:numPr>
        <w:tabs>
          <w:tab w:val="clear" w:pos="1134"/>
        </w:tabs>
        <w:spacing w:before="120" w:after="0" w:line="276" w:lineRule="auto"/>
      </w:pPr>
      <w:r w:rsidRPr="00391D22">
        <w:t>É o último estágio na patogenia da infecção viral, e consiste na disseminação do vírus infeccioso, contagiando a outros indivíduos.</w:t>
      </w:r>
    </w:p>
    <w:p w:rsidR="00E8674E" w:rsidRPr="00391D22" w:rsidRDefault="00E8674E" w:rsidP="00C52E09">
      <w:pPr>
        <w:pStyle w:val="TM-4n"/>
        <w:numPr>
          <w:ilvl w:val="0"/>
          <w:numId w:val="83"/>
        </w:numPr>
        <w:tabs>
          <w:tab w:val="clear" w:pos="1134"/>
        </w:tabs>
        <w:spacing w:before="120" w:after="0" w:line="276" w:lineRule="auto"/>
      </w:pPr>
      <w:r w:rsidRPr="00391D22">
        <w:t>Esta etapa é necessária para manter a infecção viral na população de hospedeiros.</w:t>
      </w:r>
    </w:p>
    <w:p w:rsidR="00E8674E" w:rsidRPr="00391D22" w:rsidRDefault="00E8674E" w:rsidP="00C52E09">
      <w:pPr>
        <w:pStyle w:val="TM-4n"/>
        <w:numPr>
          <w:ilvl w:val="0"/>
          <w:numId w:val="83"/>
        </w:numPr>
        <w:tabs>
          <w:tab w:val="clear" w:pos="1134"/>
        </w:tabs>
        <w:spacing w:before="120" w:after="0" w:line="276" w:lineRule="auto"/>
      </w:pPr>
      <w:r w:rsidRPr="00391D22">
        <w:t>Normalmente, a transmissão viral ocorre a partir das superfícies corporais envolvidas na penetração do vírus.</w:t>
      </w:r>
    </w:p>
    <w:p w:rsidR="00E8674E" w:rsidRPr="00391D22" w:rsidRDefault="00E8674E" w:rsidP="00C52E09">
      <w:pPr>
        <w:pStyle w:val="TM-4n"/>
        <w:numPr>
          <w:ilvl w:val="0"/>
          <w:numId w:val="83"/>
        </w:numPr>
        <w:tabs>
          <w:tab w:val="clear" w:pos="1134"/>
        </w:tabs>
        <w:spacing w:before="120" w:after="0" w:line="276" w:lineRule="auto"/>
      </w:pPr>
      <w:r w:rsidRPr="00391D22">
        <w:t>Nesta etapa, o indivíduo infectado torna-se infeccioso para os contactos.</w:t>
      </w:r>
    </w:p>
    <w:p w:rsidR="00E8674E" w:rsidRDefault="00E8674E" w:rsidP="00C52E09">
      <w:pPr>
        <w:pStyle w:val="TM-4n"/>
        <w:numPr>
          <w:ilvl w:val="0"/>
          <w:numId w:val="83"/>
        </w:numPr>
        <w:tabs>
          <w:tab w:val="clear" w:pos="1134"/>
        </w:tabs>
        <w:spacing w:before="120" w:after="0" w:line="276" w:lineRule="auto"/>
      </w:pPr>
      <w:r w:rsidRPr="00391D22">
        <w:t>Em algumas infecções virais, o ser humano é o ponto terminal da infecção, não havendo transmissão.</w:t>
      </w:r>
    </w:p>
    <w:p w:rsidR="00E8674E" w:rsidRPr="00391D22" w:rsidRDefault="00E8674E" w:rsidP="00702601">
      <w:pPr>
        <w:pStyle w:val="TM-4n"/>
        <w:numPr>
          <w:ilvl w:val="0"/>
          <w:numId w:val="0"/>
        </w:numPr>
        <w:spacing w:before="120" w:after="0" w:line="276" w:lineRule="auto"/>
      </w:pPr>
    </w:p>
    <w:p w:rsidR="00E8674E" w:rsidRPr="00E8674E" w:rsidRDefault="00E8674E" w:rsidP="00E8674E">
      <w:pPr>
        <w:shd w:val="clear" w:color="auto" w:fill="B8CCE4"/>
        <w:tabs>
          <w:tab w:val="left" w:pos="1276"/>
          <w:tab w:val="right" w:pos="8550"/>
        </w:tabs>
        <w:spacing w:before="120" w:after="120"/>
        <w:ind w:right="2"/>
        <w:jc w:val="both"/>
        <w:rPr>
          <w:rFonts w:cs="Arial"/>
          <w:b/>
          <w:sz w:val="24"/>
          <w:szCs w:val="24"/>
          <w:lang w:val="pt-BR"/>
        </w:rPr>
      </w:pPr>
      <w:r w:rsidRPr="00E8674E">
        <w:rPr>
          <w:rFonts w:cs="Arial"/>
          <w:b/>
          <w:sz w:val="24"/>
          <w:szCs w:val="24"/>
          <w:lang w:val="pt-BR"/>
        </w:rPr>
        <w:t>BLOCO 4. ASPECTOS GERAIS DA INFECÇÃO PELO HIV</w:t>
      </w:r>
    </w:p>
    <w:p w:rsidR="00E8674E" w:rsidRPr="00391D22" w:rsidRDefault="00E8674E" w:rsidP="00C52E09">
      <w:pPr>
        <w:pStyle w:val="TM-2n"/>
        <w:numPr>
          <w:ilvl w:val="1"/>
          <w:numId w:val="85"/>
        </w:numPr>
        <w:spacing w:before="120" w:after="0" w:line="276" w:lineRule="auto"/>
        <w:ind w:hanging="645"/>
      </w:pPr>
      <w:r w:rsidRPr="00391D22">
        <w:t>O vírus do HIV – vírus da imunodeficiência humana é um vírus ARN, que faz a transcriptase reversa</w:t>
      </w:r>
      <w:r w:rsidRPr="00391D22">
        <w:rPr>
          <w:b/>
        </w:rPr>
        <w:t xml:space="preserve">. </w:t>
      </w:r>
      <w:r w:rsidRPr="00391D22">
        <w:t>No seu interior tem 2 cópias de ARN de cadeia simples que codificam os 9 genes do vírus. A cápside é de forma cónica, e está composta por unidades iguais de uma proteína chamada p17</w:t>
      </w:r>
    </w:p>
    <w:p w:rsidR="00E8674E" w:rsidRPr="00391D22" w:rsidRDefault="00E8674E" w:rsidP="00C52E09">
      <w:pPr>
        <w:pStyle w:val="TM-2n"/>
        <w:numPr>
          <w:ilvl w:val="1"/>
          <w:numId w:val="85"/>
        </w:numPr>
        <w:spacing w:before="120" w:after="0" w:line="276" w:lineRule="auto"/>
        <w:ind w:hanging="645"/>
      </w:pPr>
      <w:r w:rsidRPr="00391D22">
        <w:t>Dentro da cápside, as moléculas de ARN estão acompanhadas por algumas enzimas necessárias para a produção de viriões, como transcriptase reversa, protease, integrase, e ribonuclease</w:t>
      </w:r>
    </w:p>
    <w:p w:rsidR="00E8674E" w:rsidRPr="00391D22" w:rsidRDefault="00E8674E" w:rsidP="00C52E09">
      <w:pPr>
        <w:pStyle w:val="TM-2n"/>
        <w:numPr>
          <w:ilvl w:val="1"/>
          <w:numId w:val="85"/>
        </w:numPr>
        <w:spacing w:before="120" w:after="0" w:line="276" w:lineRule="auto"/>
        <w:ind w:hanging="645"/>
      </w:pPr>
      <w:r w:rsidRPr="00391D22">
        <w:t>A cápside está rodeada por um envelope lipídico de duas camadas. Inseridos no envelope encontram-se complexos proteícos chamados Env, formados pelas proteínas gp120 e gp41. Estas proteínas são responsáveis pelo acoplamento e entrada do material viral na célula hospedeira</w:t>
      </w:r>
    </w:p>
    <w:p w:rsidR="00E8674E" w:rsidRPr="00391D22" w:rsidRDefault="00E8674E" w:rsidP="00C52E09">
      <w:pPr>
        <w:pStyle w:val="TM-2n"/>
        <w:numPr>
          <w:ilvl w:val="1"/>
          <w:numId w:val="85"/>
        </w:numPr>
        <w:spacing w:before="120" w:after="0" w:line="276" w:lineRule="auto"/>
        <w:ind w:hanging="645"/>
      </w:pPr>
      <w:r w:rsidRPr="00391D22">
        <w:lastRenderedPageBreak/>
        <w:t>O HIV tem afinidade por certas células do sistema imune, como linfócitos CD4 e macrófagos. O vírus entra nestas células através da interacção entre as proteínas virais gp120 e gp41, e alguns receptores presentes nas células infectadas, dos quais  o CD4</w:t>
      </w:r>
    </w:p>
    <w:p w:rsidR="00E8674E" w:rsidRPr="00391D22" w:rsidRDefault="00E8674E" w:rsidP="00E8674E">
      <w:pPr>
        <w:pStyle w:val="TM-2n"/>
        <w:numPr>
          <w:ilvl w:val="0"/>
          <w:numId w:val="0"/>
        </w:numPr>
        <w:spacing w:before="120" w:after="0" w:line="276" w:lineRule="auto"/>
        <w:ind w:left="645"/>
        <w:jc w:val="center"/>
      </w:pPr>
      <w:r>
        <w:rPr>
          <w:noProof/>
          <w:lang w:val="en-ZW" w:eastAsia="en-ZW"/>
        </w:rPr>
        <w:drawing>
          <wp:inline distT="0" distB="0" distL="0" distR="0" wp14:anchorId="36F30A09" wp14:editId="24D4DF27">
            <wp:extent cx="3822700" cy="4025900"/>
            <wp:effectExtent l="19050" t="0" r="6350" b="0"/>
            <wp:docPr id="1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srcRect/>
                    <a:stretch>
                      <a:fillRect/>
                    </a:stretch>
                  </pic:blipFill>
                  <pic:spPr bwMode="auto">
                    <a:xfrm>
                      <a:off x="0" y="0"/>
                      <a:ext cx="3822700" cy="4025900"/>
                    </a:xfrm>
                    <a:prstGeom prst="rect">
                      <a:avLst/>
                    </a:prstGeom>
                    <a:noFill/>
                    <a:ln w="9525">
                      <a:noFill/>
                      <a:miter lim="800000"/>
                      <a:headEnd/>
                      <a:tailEnd/>
                    </a:ln>
                  </pic:spPr>
                </pic:pic>
              </a:graphicData>
            </a:graphic>
          </wp:inline>
        </w:drawing>
      </w:r>
    </w:p>
    <w:p w:rsidR="00E8674E" w:rsidRPr="00391D22" w:rsidRDefault="00E8674E" w:rsidP="00E8674E">
      <w:pPr>
        <w:pStyle w:val="TM-2n"/>
        <w:numPr>
          <w:ilvl w:val="0"/>
          <w:numId w:val="0"/>
        </w:numPr>
        <w:spacing w:before="120" w:after="0" w:line="276" w:lineRule="auto"/>
        <w:ind w:left="285"/>
        <w:jc w:val="center"/>
      </w:pPr>
      <w:r w:rsidRPr="00EB2A96">
        <w:rPr>
          <w:b/>
        </w:rPr>
        <w:t>Figura 4:</w:t>
      </w:r>
      <w:r w:rsidRPr="00391D22">
        <w:t xml:space="preserve"> Estrutura do HIV</w:t>
      </w:r>
    </w:p>
    <w:p w:rsidR="00E8674E" w:rsidRPr="00391D22" w:rsidRDefault="00E8674E" w:rsidP="00C52E09">
      <w:pPr>
        <w:pStyle w:val="TM-2n"/>
        <w:numPr>
          <w:ilvl w:val="1"/>
          <w:numId w:val="85"/>
        </w:numPr>
        <w:spacing w:before="120" w:after="0" w:line="276" w:lineRule="auto"/>
        <w:ind w:hanging="645"/>
      </w:pPr>
      <w:r w:rsidRPr="00391D22">
        <w:rPr>
          <w:b/>
        </w:rPr>
        <w:t>Vias de transmissão do HIV:</w:t>
      </w:r>
      <w:r w:rsidRPr="00391D22">
        <w:t xml:space="preserve"> Existem 3 vias principais de transmissão do HIV (todas transmissão directa):</w:t>
      </w:r>
    </w:p>
    <w:p w:rsidR="00E8674E" w:rsidRPr="00391D22" w:rsidRDefault="00E8674E" w:rsidP="00C52E09">
      <w:pPr>
        <w:pStyle w:val="TM-3n"/>
        <w:numPr>
          <w:ilvl w:val="2"/>
          <w:numId w:val="85"/>
        </w:numPr>
        <w:tabs>
          <w:tab w:val="clear" w:pos="1276"/>
          <w:tab w:val="left" w:pos="1350"/>
        </w:tabs>
        <w:spacing w:before="120" w:after="0" w:line="276" w:lineRule="auto"/>
        <w:ind w:hanging="660"/>
      </w:pPr>
      <w:r w:rsidRPr="00391D22">
        <w:t>Transmissão através de relações sexuais desprotegidas com pessoa infectada – forma mais frequente em Moçambique.</w:t>
      </w:r>
    </w:p>
    <w:p w:rsidR="00E8674E" w:rsidRPr="00391D22" w:rsidRDefault="00E8674E" w:rsidP="00C52E09">
      <w:pPr>
        <w:pStyle w:val="TM-3n"/>
        <w:numPr>
          <w:ilvl w:val="2"/>
          <w:numId w:val="85"/>
        </w:numPr>
        <w:tabs>
          <w:tab w:val="clear" w:pos="1276"/>
          <w:tab w:val="left" w:pos="1350"/>
        </w:tabs>
        <w:spacing w:before="120" w:after="0" w:line="276" w:lineRule="auto"/>
        <w:ind w:left="1350"/>
      </w:pPr>
      <w:r w:rsidRPr="00391D22">
        <w:t>Transmissão por inoculação ou contacto com sangue ou derivados de sangue, ou outros fluidos biológicos contaminados pelo HIV (transfusões, seringas, etc.).</w:t>
      </w:r>
    </w:p>
    <w:p w:rsidR="00E8674E" w:rsidRPr="00391D22" w:rsidRDefault="00E8674E" w:rsidP="00C52E09">
      <w:pPr>
        <w:pStyle w:val="TM-3n"/>
        <w:numPr>
          <w:ilvl w:val="2"/>
          <w:numId w:val="85"/>
        </w:numPr>
        <w:tabs>
          <w:tab w:val="clear" w:pos="1276"/>
          <w:tab w:val="left" w:pos="1350"/>
        </w:tabs>
        <w:spacing w:before="120" w:after="0" w:line="276" w:lineRule="auto"/>
        <w:ind w:left="1350"/>
      </w:pPr>
      <w:r w:rsidRPr="00391D22">
        <w:t>Transmissão de mãe para filho (transmissão vertical – durante a gravidez, parto e aleitamento materno)</w:t>
      </w:r>
    </w:p>
    <w:p w:rsidR="00E8674E" w:rsidRPr="00391D22" w:rsidRDefault="00E8674E" w:rsidP="00C52E09">
      <w:pPr>
        <w:pStyle w:val="TM-2n"/>
        <w:numPr>
          <w:ilvl w:val="1"/>
          <w:numId w:val="85"/>
        </w:numPr>
        <w:spacing w:before="120" w:after="0" w:line="276" w:lineRule="auto"/>
        <w:ind w:left="540" w:hanging="522"/>
      </w:pPr>
      <w:r w:rsidRPr="00391D22">
        <w:t>A infecção pelo HIV está associada a uma queda progressiva da contagem de linfócitos CD4 e a um aumento da carga viral, que é a quantidade de cópias do ARN viral presentes no plasma sanguíneo.</w:t>
      </w:r>
    </w:p>
    <w:p w:rsidR="00E8674E" w:rsidRPr="00391D22" w:rsidRDefault="00E8674E" w:rsidP="00C52E09">
      <w:pPr>
        <w:pStyle w:val="TM-2n"/>
        <w:numPr>
          <w:ilvl w:val="1"/>
          <w:numId w:val="85"/>
        </w:numPr>
        <w:spacing w:before="120" w:after="0" w:line="276" w:lineRule="auto"/>
        <w:ind w:left="540" w:hanging="522"/>
      </w:pPr>
      <w:r w:rsidRPr="00391D22">
        <w:rPr>
          <w:b/>
        </w:rPr>
        <w:t>Fases de infecção pelo HIV:</w:t>
      </w:r>
      <w:r w:rsidRPr="00391D22">
        <w:t xml:space="preserve"> A infecção pelo HIV ocorre basicamente em quatro fases:</w:t>
      </w:r>
    </w:p>
    <w:p w:rsidR="00E8674E" w:rsidRPr="00391D22" w:rsidRDefault="00E8674E" w:rsidP="00C52E09">
      <w:pPr>
        <w:pStyle w:val="TM-3n"/>
        <w:numPr>
          <w:ilvl w:val="2"/>
          <w:numId w:val="85"/>
        </w:numPr>
        <w:tabs>
          <w:tab w:val="clear" w:pos="1276"/>
          <w:tab w:val="left" w:pos="1350"/>
        </w:tabs>
        <w:spacing w:before="120" w:after="0" w:line="276" w:lineRule="auto"/>
        <w:ind w:left="1350"/>
      </w:pPr>
      <w:r w:rsidRPr="00391D22">
        <w:t>Fase de incubação, imediatamente após a infecção.</w:t>
      </w:r>
    </w:p>
    <w:p w:rsidR="00E8674E" w:rsidRPr="00391D22" w:rsidRDefault="00E8674E" w:rsidP="00C52E09">
      <w:pPr>
        <w:pStyle w:val="TM-3n"/>
        <w:numPr>
          <w:ilvl w:val="2"/>
          <w:numId w:val="85"/>
        </w:numPr>
        <w:tabs>
          <w:tab w:val="clear" w:pos="1276"/>
          <w:tab w:val="left" w:pos="1350"/>
        </w:tabs>
        <w:spacing w:before="120" w:after="0" w:line="276" w:lineRule="auto"/>
        <w:ind w:left="1350"/>
      </w:pPr>
      <w:r w:rsidRPr="00391D22">
        <w:t>Fase de infecção aguda, com sintomas similares aos da gripe, como febre, faringite, mialgias, mau estar geral. Nesta fase ocorre a multiplicação rápida do vírus, e queda significativa do número de linfócitos CD4.</w:t>
      </w:r>
    </w:p>
    <w:p w:rsidR="00E8674E" w:rsidRPr="00391D22" w:rsidRDefault="00E8674E" w:rsidP="00C52E09">
      <w:pPr>
        <w:pStyle w:val="TM-3n"/>
        <w:numPr>
          <w:ilvl w:val="2"/>
          <w:numId w:val="85"/>
        </w:numPr>
        <w:tabs>
          <w:tab w:val="clear" w:pos="1276"/>
          <w:tab w:val="left" w:pos="1350"/>
        </w:tabs>
        <w:spacing w:before="120" w:after="0" w:line="276" w:lineRule="auto"/>
        <w:ind w:left="1350"/>
      </w:pPr>
      <w:r w:rsidRPr="00391D22">
        <w:t>Fase de latência, o sistema imune reage à entrada do vírus no organismo, reduzindo o número de cópias circulantes do vírus e recuperando parcialmente os linfócitos CD4. Começa assim uma fase de latência que pode durar entre 2 e 20 anos (média 10 anos), dependendo das características específicas de cada indivíduo.</w:t>
      </w:r>
    </w:p>
    <w:p w:rsidR="00E8674E" w:rsidRPr="00391D22" w:rsidRDefault="00E8674E" w:rsidP="00C52E09">
      <w:pPr>
        <w:pStyle w:val="TM-3n"/>
        <w:numPr>
          <w:ilvl w:val="2"/>
          <w:numId w:val="85"/>
        </w:numPr>
        <w:tabs>
          <w:tab w:val="clear" w:pos="1276"/>
          <w:tab w:val="left" w:pos="1350"/>
        </w:tabs>
        <w:spacing w:before="120" w:after="0" w:line="276" w:lineRule="auto"/>
        <w:ind w:left="1350"/>
      </w:pPr>
      <w:r w:rsidRPr="00391D22">
        <w:lastRenderedPageBreak/>
        <w:t>SIDA (Sindrome de Imuno-Deficiência Adquirida), quando o número de linfócitos CD4 cai abaixo do nível crítico de 200 células/µl, o organismo perde a imunidade celular. Começam a aparecer uma série de infecções microbianas e outras doenças oportunistas, como herpes, cândida, tuberculose, sarcoma de Kaposi, e outras. Estas doenças oportunistas agravam-se, determinando a morte do paciente se não for tratado.</w:t>
      </w:r>
    </w:p>
    <w:p w:rsidR="00E8674E" w:rsidRPr="00391D22" w:rsidRDefault="00E8674E" w:rsidP="00E8674E">
      <w:pPr>
        <w:pStyle w:val="TM-3n"/>
        <w:numPr>
          <w:ilvl w:val="0"/>
          <w:numId w:val="0"/>
        </w:numPr>
        <w:ind w:left="851"/>
      </w:pPr>
    </w:p>
    <w:p w:rsidR="00E8674E" w:rsidRPr="00391D22" w:rsidRDefault="00E8674E" w:rsidP="00E8674E">
      <w:pPr>
        <w:jc w:val="center"/>
        <w:rPr>
          <w:rFonts w:cs="Arial"/>
          <w:sz w:val="20"/>
        </w:rPr>
      </w:pPr>
      <w:r>
        <w:rPr>
          <w:rFonts w:cs="Arial"/>
          <w:noProof/>
          <w:sz w:val="20"/>
          <w:lang w:val="en-ZW" w:eastAsia="en-ZW"/>
        </w:rPr>
        <w:drawing>
          <wp:inline distT="0" distB="0" distL="0" distR="0" wp14:anchorId="15819384" wp14:editId="2704F935">
            <wp:extent cx="5181600" cy="3048000"/>
            <wp:effectExtent l="19050" t="0" r="0" b="0"/>
            <wp:docPr id="1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cstate="print"/>
                    <a:srcRect/>
                    <a:stretch>
                      <a:fillRect/>
                    </a:stretch>
                  </pic:blipFill>
                  <pic:spPr bwMode="auto">
                    <a:xfrm>
                      <a:off x="0" y="0"/>
                      <a:ext cx="5181600" cy="3048000"/>
                    </a:xfrm>
                    <a:prstGeom prst="rect">
                      <a:avLst/>
                    </a:prstGeom>
                    <a:noFill/>
                    <a:ln w="9525">
                      <a:noFill/>
                      <a:miter lim="800000"/>
                      <a:headEnd/>
                      <a:tailEnd/>
                    </a:ln>
                  </pic:spPr>
                </pic:pic>
              </a:graphicData>
            </a:graphic>
          </wp:inline>
        </w:drawing>
      </w:r>
    </w:p>
    <w:p w:rsidR="00E8674E" w:rsidRPr="00E8674E" w:rsidRDefault="00E8674E" w:rsidP="00E8674E">
      <w:pPr>
        <w:jc w:val="center"/>
        <w:rPr>
          <w:rFonts w:cs="Arial"/>
          <w:sz w:val="20"/>
          <w:lang w:val="pt-BR"/>
        </w:rPr>
      </w:pPr>
      <w:r w:rsidRPr="00E8674E">
        <w:rPr>
          <w:rFonts w:cs="Arial"/>
          <w:b/>
          <w:sz w:val="20"/>
          <w:lang w:val="pt-BR"/>
        </w:rPr>
        <w:t>Figura 4</w:t>
      </w:r>
      <w:r w:rsidR="00EB2A96">
        <w:rPr>
          <w:rFonts w:cs="Arial"/>
          <w:b/>
          <w:sz w:val="20"/>
          <w:lang w:val="pt-BR"/>
        </w:rPr>
        <w:t>:</w:t>
      </w:r>
      <w:r w:rsidRPr="00E8674E">
        <w:rPr>
          <w:rFonts w:cs="Arial"/>
          <w:sz w:val="20"/>
          <w:lang w:val="pt-BR"/>
        </w:rPr>
        <w:t xml:space="preserve"> Etapas da infecção pelo HIV indicando as variações em número dos linfócitos CD4 e de cópias circulantes do vírus (carga viral).</w:t>
      </w:r>
    </w:p>
    <w:p w:rsidR="00E8674E" w:rsidRPr="00E8674E" w:rsidRDefault="00E8674E" w:rsidP="00EB2A96">
      <w:pPr>
        <w:spacing w:line="240" w:lineRule="auto"/>
        <w:jc w:val="both"/>
        <w:rPr>
          <w:rFonts w:cs="Arial"/>
          <w:sz w:val="20"/>
          <w:lang w:val="pt-BR"/>
        </w:rPr>
      </w:pPr>
    </w:p>
    <w:p w:rsidR="00E8674E" w:rsidRPr="00E8674E" w:rsidRDefault="00E8674E" w:rsidP="00E8674E">
      <w:pPr>
        <w:shd w:val="clear" w:color="auto" w:fill="B8CCE4"/>
        <w:tabs>
          <w:tab w:val="left" w:pos="1276"/>
          <w:tab w:val="right" w:pos="8550"/>
        </w:tabs>
        <w:spacing w:before="120" w:after="120"/>
        <w:ind w:right="2"/>
        <w:jc w:val="both"/>
        <w:rPr>
          <w:rFonts w:eastAsia="Calibri" w:cs="Arial"/>
          <w:b/>
          <w:sz w:val="24"/>
          <w:szCs w:val="24"/>
          <w:lang w:val="pt-BR"/>
        </w:rPr>
      </w:pPr>
      <w:r w:rsidRPr="00E8674E">
        <w:rPr>
          <w:rFonts w:eastAsia="Calibri" w:cs="Arial"/>
          <w:b/>
          <w:sz w:val="24"/>
          <w:szCs w:val="24"/>
          <w:lang w:val="pt-BR"/>
        </w:rPr>
        <w:t>BLOCO 5. VIRUS DO SARAMPO, VARICELA, HERPES E HEPATITE</w:t>
      </w:r>
    </w:p>
    <w:p w:rsidR="00E8674E" w:rsidRPr="00E8674E" w:rsidRDefault="00E8674E" w:rsidP="00E8674E">
      <w:pPr>
        <w:jc w:val="both"/>
        <w:rPr>
          <w:rFonts w:cs="Arial"/>
          <w:b/>
          <w:lang w:val="pt-BR"/>
        </w:rPr>
      </w:pPr>
      <w:r w:rsidRPr="00774441">
        <w:rPr>
          <w:rFonts w:cs="Arial"/>
          <w:b/>
          <w:lang w:val="pt-BR"/>
        </w:rPr>
        <w:t>5.1</w:t>
      </w:r>
      <w:r w:rsidRPr="00E8674E">
        <w:rPr>
          <w:rFonts w:cs="Arial"/>
          <w:b/>
          <w:lang w:val="pt-BR"/>
        </w:rPr>
        <w:t xml:space="preserve"> Sarampo</w:t>
      </w:r>
    </w:p>
    <w:p w:rsidR="00E8674E" w:rsidRPr="00E8674E" w:rsidRDefault="00E8674E" w:rsidP="00BA3C82">
      <w:pPr>
        <w:ind w:left="450"/>
        <w:jc w:val="both"/>
        <w:rPr>
          <w:rFonts w:cs="Arial"/>
          <w:lang w:val="pt-BR"/>
        </w:rPr>
      </w:pPr>
      <w:r w:rsidRPr="00774441">
        <w:rPr>
          <w:rFonts w:cs="Arial"/>
          <w:b/>
          <w:lang w:val="pt-BR"/>
        </w:rPr>
        <w:t>5.1.1</w:t>
      </w:r>
      <w:r w:rsidRPr="00E8674E">
        <w:rPr>
          <w:rFonts w:cs="Arial"/>
          <w:lang w:val="pt-BR"/>
        </w:rPr>
        <w:t xml:space="preserve"> O sarampo é causado pelo vírus do sarampo (um vírus ARN)</w:t>
      </w:r>
    </w:p>
    <w:p w:rsidR="00E8674E" w:rsidRPr="00E8674E" w:rsidRDefault="00E8674E" w:rsidP="00BA3C82">
      <w:pPr>
        <w:ind w:left="450"/>
        <w:jc w:val="both"/>
        <w:rPr>
          <w:rFonts w:cs="Arial"/>
          <w:lang w:val="pt-BR"/>
        </w:rPr>
      </w:pPr>
      <w:r w:rsidRPr="00774441">
        <w:rPr>
          <w:rFonts w:cs="Arial"/>
          <w:b/>
          <w:lang w:val="pt-BR"/>
        </w:rPr>
        <w:t>5.1.2</w:t>
      </w:r>
      <w:r w:rsidRPr="00E8674E">
        <w:rPr>
          <w:rFonts w:cs="Arial"/>
          <w:lang w:val="pt-BR"/>
        </w:rPr>
        <w:t xml:space="preserve"> Transmissão – a transmissão é pelas vias respiratórias (tosse, espirro) e afecta principalmente crianças.</w:t>
      </w:r>
    </w:p>
    <w:p w:rsidR="00E8674E" w:rsidRPr="00E8674E" w:rsidRDefault="00E8674E" w:rsidP="00BA3C82">
      <w:pPr>
        <w:ind w:left="450"/>
        <w:jc w:val="both"/>
        <w:rPr>
          <w:rFonts w:cs="Arial"/>
          <w:lang w:val="pt-BR"/>
        </w:rPr>
      </w:pPr>
      <w:r w:rsidRPr="00774441">
        <w:rPr>
          <w:rFonts w:cs="Arial"/>
          <w:b/>
          <w:lang w:val="pt-BR"/>
        </w:rPr>
        <w:t>5.1.3</w:t>
      </w:r>
      <w:r w:rsidRPr="00E8674E">
        <w:rPr>
          <w:rFonts w:cs="Arial"/>
          <w:lang w:val="pt-BR"/>
        </w:rPr>
        <w:t xml:space="preserve"> Período de incubação – 7 a 18 dias</w:t>
      </w:r>
    </w:p>
    <w:p w:rsidR="00E8674E" w:rsidRDefault="00E8674E" w:rsidP="00BA3C82">
      <w:pPr>
        <w:ind w:left="450"/>
        <w:jc w:val="both"/>
        <w:rPr>
          <w:rFonts w:cs="Arial"/>
          <w:lang w:val="pt-BR"/>
        </w:rPr>
      </w:pPr>
      <w:r w:rsidRPr="00774441">
        <w:rPr>
          <w:rFonts w:cs="Arial"/>
          <w:b/>
          <w:lang w:val="pt-BR"/>
        </w:rPr>
        <w:t>5.1.4</w:t>
      </w:r>
      <w:r w:rsidRPr="00E8674E">
        <w:rPr>
          <w:rFonts w:cs="Arial"/>
          <w:lang w:val="pt-BR"/>
        </w:rPr>
        <w:t xml:space="preserve"> Clinicamente caracteriza-se febre, tosse, congestão das mucosas conjuntivais (conjuntivite) e nasal, lacrimejamento, fotofobia (aversão à luz). Aparece um exantema que começa na cabeça (atrás das orelhas e progride para a face e pescoço) e depois progride para o tronco e extremidades (membros superiores e inferiores) sem afectar as palmas das mãos e plantas dos pés. O sinal característica são as manchas de Koplik (pequenos prontos brancos rodeados de uma zona vermelha na mucosa interna das bochechas). Pode complicar com infecções respiratórias (pneumonias), infecções do ouvido (otites), diarreia, e lesões oculares que podem levar a cegueira entre outras. O diagnóstico é fundamentalmente clínico através das características da doença.</w:t>
      </w:r>
    </w:p>
    <w:p w:rsidR="00E8674E" w:rsidRPr="00E8674E" w:rsidRDefault="00E8674E" w:rsidP="00E8674E">
      <w:pPr>
        <w:jc w:val="both"/>
        <w:rPr>
          <w:rFonts w:cs="Arial"/>
          <w:b/>
          <w:lang w:val="pt-BR"/>
        </w:rPr>
      </w:pPr>
      <w:r w:rsidRPr="00774441">
        <w:rPr>
          <w:rFonts w:cs="Arial"/>
          <w:b/>
          <w:lang w:val="pt-BR"/>
        </w:rPr>
        <w:t>5.2</w:t>
      </w:r>
      <w:r w:rsidRPr="00E8674E">
        <w:rPr>
          <w:rFonts w:cs="Arial"/>
          <w:b/>
          <w:lang w:val="pt-BR"/>
        </w:rPr>
        <w:t xml:space="preserve"> Varicela e Herpes Zoster</w:t>
      </w:r>
    </w:p>
    <w:p w:rsidR="00E8674E" w:rsidRPr="00E8674E" w:rsidRDefault="00E8674E" w:rsidP="00BA3C82">
      <w:pPr>
        <w:ind w:left="450"/>
        <w:jc w:val="both"/>
        <w:rPr>
          <w:rFonts w:cs="Arial"/>
          <w:lang w:val="pt-BR"/>
        </w:rPr>
      </w:pPr>
      <w:r w:rsidRPr="00774441">
        <w:rPr>
          <w:rFonts w:cs="Arial"/>
          <w:b/>
          <w:lang w:val="pt-BR"/>
        </w:rPr>
        <w:t>5.2.1</w:t>
      </w:r>
      <w:r w:rsidRPr="00E8674E">
        <w:rPr>
          <w:rFonts w:cs="Arial"/>
          <w:lang w:val="pt-BR"/>
        </w:rPr>
        <w:t xml:space="preserve"> A varicela e Herpes zóster são causadas pelo mesmo vírus – </w:t>
      </w:r>
      <w:r w:rsidRPr="00E8674E">
        <w:rPr>
          <w:rFonts w:cs="Arial"/>
          <w:i/>
          <w:lang w:val="pt-BR"/>
        </w:rPr>
        <w:t>Herpesvirus varicela – zóster</w:t>
      </w:r>
      <w:r w:rsidRPr="00E8674E">
        <w:rPr>
          <w:rFonts w:cs="Arial"/>
          <w:lang w:val="pt-BR"/>
        </w:rPr>
        <w:t xml:space="preserve"> (um vírus ADN)</w:t>
      </w:r>
    </w:p>
    <w:p w:rsidR="00E8674E" w:rsidRPr="00E8674E" w:rsidRDefault="00E8674E" w:rsidP="00BA3C82">
      <w:pPr>
        <w:ind w:left="450"/>
        <w:jc w:val="both"/>
        <w:rPr>
          <w:rFonts w:cs="Arial"/>
          <w:lang w:val="pt-BR"/>
        </w:rPr>
      </w:pPr>
      <w:r w:rsidRPr="00774441">
        <w:rPr>
          <w:rFonts w:cs="Arial"/>
          <w:b/>
          <w:lang w:val="pt-BR"/>
        </w:rPr>
        <w:lastRenderedPageBreak/>
        <w:t>5.2.2</w:t>
      </w:r>
      <w:r w:rsidRPr="00E8674E">
        <w:rPr>
          <w:rFonts w:cs="Arial"/>
          <w:lang w:val="pt-BR"/>
        </w:rPr>
        <w:t xml:space="preserve"> Transmissão – a transmissão é feita directamente a partir do fluido das vesículas e secreções respiratórias, podendo ser feita ainda por fômites (lenços, lençóis, panos, maçanetas) recentemente contaminados.</w:t>
      </w:r>
    </w:p>
    <w:p w:rsidR="00E8674E" w:rsidRPr="00E8674E" w:rsidRDefault="00E8674E" w:rsidP="00BA3C82">
      <w:pPr>
        <w:ind w:left="450"/>
        <w:jc w:val="both"/>
        <w:rPr>
          <w:rFonts w:cs="Arial"/>
          <w:lang w:val="pt-BR"/>
        </w:rPr>
      </w:pPr>
      <w:r w:rsidRPr="00E8674E">
        <w:rPr>
          <w:rFonts w:cs="Arial"/>
          <w:lang w:val="pt-BR"/>
        </w:rPr>
        <w:t xml:space="preserve">5.2.3 Período de incubação – 2 a 3 semanas. no entanto, o vírus fica latente (a dormir) por muito tempo nos gânglios da raiz nervosa dorsal ou gânglio gasser (do 5º par craniano). </w:t>
      </w:r>
    </w:p>
    <w:p w:rsidR="00E8674E" w:rsidRPr="00E8674E" w:rsidRDefault="00E8674E" w:rsidP="00BA3C82">
      <w:pPr>
        <w:ind w:left="450"/>
        <w:jc w:val="both"/>
        <w:rPr>
          <w:rFonts w:cs="Arial"/>
          <w:lang w:val="pt-BR"/>
        </w:rPr>
      </w:pPr>
      <w:r w:rsidRPr="00774441">
        <w:rPr>
          <w:rFonts w:cs="Arial"/>
          <w:b/>
          <w:lang w:val="pt-BR"/>
        </w:rPr>
        <w:t>5.2.4</w:t>
      </w:r>
      <w:r w:rsidRPr="00E8674E">
        <w:rPr>
          <w:rFonts w:cs="Arial"/>
          <w:lang w:val="pt-BR"/>
        </w:rPr>
        <w:t xml:space="preserve"> Clinicamente a varicela se caracteriza por uma erupção maculopapulosa pruriginosa de distribuição centrípeta (começa no tronco tipicamente e depois avança para outras partes do corpo). Surgem vesículas, crostas, e pústulas que terminam em descamação. Tipicamente as lesões se encontram em diferente estagio de evolução na mesma região do corpo (vesículas, pústulas, crostas). As vesículas tem um aspecto característico (líquido limpo em uma base eritematosa como se fosse gota de orvalho sobre pétalas de rosa).</w:t>
      </w:r>
    </w:p>
    <w:p w:rsidR="00E8674E" w:rsidRDefault="00E8674E" w:rsidP="00E8674E">
      <w:pPr>
        <w:jc w:val="center"/>
        <w:rPr>
          <w:rFonts w:cs="Arial"/>
          <w:lang w:val="en-GB"/>
        </w:rPr>
      </w:pPr>
      <w:r>
        <w:rPr>
          <w:rFonts w:cs="Arial"/>
          <w:noProof/>
          <w:lang w:val="en-ZW" w:eastAsia="en-ZW"/>
        </w:rPr>
        <w:drawing>
          <wp:inline distT="0" distB="0" distL="0" distR="0" wp14:anchorId="04D94052" wp14:editId="1D854A01">
            <wp:extent cx="4250800" cy="2305878"/>
            <wp:effectExtent l="19050" t="0" r="0" b="0"/>
            <wp:docPr id="99" name="Object 1"/>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644008" cy="3702605"/>
                      <a:chOff x="2483768" y="1412776"/>
                      <a:chExt cx="4644008" cy="3702605"/>
                    </a:xfrm>
                  </a:grpSpPr>
                  <a:grpSp>
                    <a:nvGrpSpPr>
                      <a:cNvPr id="5" name="Group 4"/>
                      <a:cNvGrpSpPr/>
                    </a:nvGrpSpPr>
                    <a:grpSpPr>
                      <a:xfrm>
                        <a:off x="2483768" y="1412776"/>
                        <a:ext cx="4644008" cy="3702605"/>
                        <a:chOff x="2483768" y="1412776"/>
                        <a:chExt cx="4644008" cy="3702605"/>
                      </a:xfrm>
                    </a:grpSpPr>
                    <a:pic>
                      <a:nvPicPr>
                        <a:cNvPr id="67586" name="Picture 2" descr="http://hardinmd.lib.uiowa.edu/pictures22/dermatlas/chickenpox_1_030217.jpg"/>
                        <a:cNvPicPr>
                          <a:picLocks noChangeAspect="1" noChangeArrowheads="1"/>
                        </a:cNvPicPr>
                      </a:nvPicPr>
                      <a:blipFill>
                        <a:blip r:embed="rId72"/>
                        <a:srcRect/>
                        <a:stretch>
                          <a:fillRect/>
                        </a:stretch>
                      </a:blipFill>
                      <a:spPr bwMode="auto">
                        <a:xfrm>
                          <a:off x="2483768" y="1412776"/>
                          <a:ext cx="4448175" cy="3333750"/>
                        </a:xfrm>
                        <a:prstGeom prst="rect">
                          <a:avLst/>
                        </a:prstGeom>
                        <a:noFill/>
                      </a:spPr>
                    </a:pic>
                    <a:sp>
                      <a:nvSpPr>
                        <a:cNvPr id="3" name="Rectangle 2"/>
                        <a:cNvSpPr/>
                      </a:nvSpPr>
                      <a:spPr>
                        <a:xfrm>
                          <a:off x="2555776" y="4869160"/>
                          <a:ext cx="4572000" cy="246221"/>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000" dirty="0" smtClean="0"/>
                              <a:t>http://hardinmd.lib.uiowa.edu/pictures22/dermatlas/chickenpox_1_030217.jpg</a:t>
                            </a:r>
                            <a:endParaRPr lang="en-GB" sz="1000" dirty="0"/>
                          </a:p>
                        </a:txBody>
                        <a:useSpRect/>
                      </a:txSp>
                    </a:sp>
                    <a:sp>
                      <a:nvSpPr>
                        <a:cNvPr id="4" name="TextBox 3"/>
                        <a:cNvSpPr txBox="1"/>
                      </a:nvSpPr>
                      <a:spPr>
                        <a:xfrm>
                          <a:off x="4067944" y="3717032"/>
                          <a:ext cx="1152128" cy="369332"/>
                        </a:xfrm>
                        <a:prstGeom prst="rect">
                          <a:avLst/>
                        </a:prstGeom>
                        <a:solidFill>
                          <a:schemeClr val="tx1"/>
                        </a:solidFill>
                      </a:spPr>
                      <a:txSp>
                        <a:txBody>
                          <a:bodyPr wrap="square" rtlCol="0">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GB" dirty="0"/>
                          </a:p>
                        </a:txBody>
                        <a:useSpRect/>
                      </a:txSp>
                    </a:sp>
                  </a:grpSp>
                </lc:lockedCanvas>
              </a:graphicData>
            </a:graphic>
          </wp:inline>
        </w:drawing>
      </w:r>
    </w:p>
    <w:p w:rsidR="00E8674E" w:rsidRPr="00F47FAF" w:rsidRDefault="00E8674E" w:rsidP="00E8674E">
      <w:pPr>
        <w:jc w:val="center"/>
        <w:rPr>
          <w:rFonts w:cs="Arial"/>
          <w:lang w:val="pt-BR"/>
        </w:rPr>
      </w:pPr>
      <w:r w:rsidRPr="00EB2A96">
        <w:rPr>
          <w:rFonts w:cs="Arial"/>
          <w:b/>
          <w:lang w:val="pt-BR"/>
        </w:rPr>
        <w:t>Figura 5:</w:t>
      </w:r>
      <w:r w:rsidRPr="00B92BC9">
        <w:rPr>
          <w:rFonts w:cs="Arial"/>
          <w:lang w:val="pt-BR"/>
        </w:rPr>
        <w:t xml:space="preserve"> Varicela</w:t>
      </w:r>
    </w:p>
    <w:p w:rsidR="00E8674E" w:rsidRPr="00E8674E" w:rsidRDefault="00E8674E" w:rsidP="00BA3C82">
      <w:pPr>
        <w:ind w:left="450"/>
        <w:jc w:val="both"/>
        <w:rPr>
          <w:rFonts w:cs="Arial"/>
          <w:lang w:val="pt-BR"/>
        </w:rPr>
      </w:pPr>
      <w:r w:rsidRPr="00774441">
        <w:rPr>
          <w:rFonts w:cs="Arial"/>
          <w:b/>
          <w:lang w:val="pt-BR"/>
        </w:rPr>
        <w:t>5.2.5</w:t>
      </w:r>
      <w:r w:rsidRPr="00E8674E">
        <w:rPr>
          <w:rFonts w:cs="Arial"/>
          <w:lang w:val="pt-BR"/>
        </w:rPr>
        <w:t xml:space="preserve"> Após a ocorrência da varicela, o vírus permanece em estado de latência no gânglio nervoso da raiz dorsal, podendo migrar para a pele produzindo o quadro clínico do Herpes Zoster: dor, sensação de queimação, seguindo sempre o trajecto de um nervo, com lesões semelhantes a da varicela que depois ulceram (provocam feridas). Pode ocorrer no tronco, face (na região do nervo oftálmico) ou em outra localização, mas sempre no trajecto de um nervo. É uma doença frequente em paciente imunodeprimidos. O diagnóstico é fundamentalmente clínico.</w:t>
      </w:r>
    </w:p>
    <w:p w:rsidR="00E8674E" w:rsidRDefault="00E8674E" w:rsidP="00E8674E">
      <w:pPr>
        <w:jc w:val="center"/>
        <w:rPr>
          <w:rFonts w:cs="Arial"/>
          <w:lang w:val="en-GB"/>
        </w:rPr>
      </w:pPr>
      <w:r>
        <w:rPr>
          <w:rFonts w:cs="Arial"/>
          <w:noProof/>
          <w:lang w:val="en-ZW" w:eastAsia="en-ZW"/>
        </w:rPr>
        <w:drawing>
          <wp:inline distT="0" distB="0" distL="0" distR="0" wp14:anchorId="1D74D564" wp14:editId="262B2CAE">
            <wp:extent cx="3818862" cy="2512612"/>
            <wp:effectExtent l="19050" t="0" r="0" b="0"/>
            <wp:docPr id="98" name="Object 2"/>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810000" cy="3255168"/>
                      <a:chOff x="1835696" y="1628800"/>
                      <a:chExt cx="3810000" cy="3255168"/>
                    </a:xfrm>
                  </a:grpSpPr>
                  <a:grpSp>
                    <a:nvGrpSpPr>
                      <a:cNvPr id="4" name="Group 3"/>
                      <a:cNvGrpSpPr/>
                    </a:nvGrpSpPr>
                    <a:grpSpPr>
                      <a:xfrm>
                        <a:off x="1835696" y="1628800"/>
                        <a:ext cx="3810000" cy="3255168"/>
                        <a:chOff x="1835696" y="1628800"/>
                        <a:chExt cx="3810000" cy="3255168"/>
                      </a:xfrm>
                    </a:grpSpPr>
                    <a:pic>
                      <a:nvPicPr>
                        <a:cNvPr id="66562" name="Picture 2" descr="http://www.umm.edu/graphics/images/es/19687.jpg"/>
                        <a:cNvPicPr>
                          <a:picLocks noChangeAspect="1" noChangeArrowheads="1"/>
                        </a:cNvPicPr>
                      </a:nvPicPr>
                      <a:blipFill>
                        <a:blip r:embed="rId73"/>
                        <a:srcRect/>
                        <a:stretch>
                          <a:fillRect/>
                        </a:stretch>
                      </a:blipFill>
                      <a:spPr bwMode="auto">
                        <a:xfrm>
                          <a:off x="1835696" y="1628800"/>
                          <a:ext cx="3810000" cy="3048000"/>
                        </a:xfrm>
                        <a:prstGeom prst="rect">
                          <a:avLst/>
                        </a:prstGeom>
                        <a:noFill/>
                      </a:spPr>
                    </a:pic>
                    <a:sp>
                      <a:nvSpPr>
                        <a:cNvPr id="3" name="Rectangle 2"/>
                        <a:cNvSpPr/>
                      </a:nvSpPr>
                      <a:spPr>
                        <a:xfrm>
                          <a:off x="2483768" y="4653136"/>
                          <a:ext cx="2880320" cy="230832"/>
                        </a:xfrm>
                        <a:prstGeom prst="rect">
                          <a:avLst/>
                        </a:prstGeom>
                      </a:spPr>
                      <a:txSp>
                        <a:txBody>
                          <a:bodyPr wrap="square">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900" dirty="0" smtClean="0"/>
                              <a:t>http://www.umm.edu/graphics/images/es/19687.jpg</a:t>
                            </a:r>
                            <a:endParaRPr lang="en-GB" sz="900" dirty="0"/>
                          </a:p>
                        </a:txBody>
                        <a:useSpRect/>
                      </a:txSp>
                    </a:sp>
                  </a:grpSp>
                </lc:lockedCanvas>
              </a:graphicData>
            </a:graphic>
          </wp:inline>
        </w:drawing>
      </w:r>
    </w:p>
    <w:p w:rsidR="00E8674E" w:rsidRPr="00E8674E" w:rsidRDefault="00E8674E" w:rsidP="00E8674E">
      <w:pPr>
        <w:jc w:val="center"/>
        <w:rPr>
          <w:rFonts w:cs="Arial"/>
          <w:lang w:val="pt-BR"/>
        </w:rPr>
      </w:pPr>
      <w:r w:rsidRPr="00EB2A96">
        <w:rPr>
          <w:rFonts w:cs="Arial"/>
          <w:b/>
          <w:lang w:val="pt-BR"/>
        </w:rPr>
        <w:t>Figura 6:</w:t>
      </w:r>
      <w:r w:rsidRPr="00B92BC9">
        <w:rPr>
          <w:rFonts w:cs="Arial"/>
          <w:lang w:val="pt-BR"/>
        </w:rPr>
        <w:t xml:space="preserve"> Herpes Zoster</w:t>
      </w:r>
    </w:p>
    <w:p w:rsidR="00E8674E" w:rsidRPr="00E8674E" w:rsidRDefault="00E8674E" w:rsidP="00E8674E">
      <w:pPr>
        <w:jc w:val="both"/>
        <w:rPr>
          <w:rFonts w:cs="Arial"/>
          <w:b/>
          <w:lang w:val="pt-BR"/>
        </w:rPr>
      </w:pPr>
      <w:r w:rsidRPr="00774441">
        <w:rPr>
          <w:rFonts w:cs="Arial"/>
          <w:b/>
          <w:lang w:val="pt-BR"/>
        </w:rPr>
        <w:lastRenderedPageBreak/>
        <w:t>5.3</w:t>
      </w:r>
      <w:r w:rsidRPr="00E8674E">
        <w:rPr>
          <w:rFonts w:cs="Arial"/>
          <w:b/>
          <w:lang w:val="pt-BR"/>
        </w:rPr>
        <w:t xml:space="preserve"> Herpes Labial e Genital</w:t>
      </w:r>
    </w:p>
    <w:p w:rsidR="00E8674E" w:rsidRPr="00E8674E" w:rsidRDefault="00E8674E" w:rsidP="00BA3C82">
      <w:pPr>
        <w:ind w:left="360"/>
        <w:jc w:val="both"/>
        <w:rPr>
          <w:rFonts w:cs="Arial"/>
          <w:lang w:val="pt-BR"/>
        </w:rPr>
      </w:pPr>
      <w:r w:rsidRPr="00774441">
        <w:rPr>
          <w:rFonts w:cs="Arial"/>
          <w:b/>
          <w:lang w:val="pt-BR"/>
        </w:rPr>
        <w:t>5.3.1</w:t>
      </w:r>
      <w:r w:rsidRPr="00E8674E">
        <w:rPr>
          <w:rFonts w:cs="Arial"/>
          <w:lang w:val="pt-BR"/>
        </w:rPr>
        <w:t xml:space="preserve"> São causados pelo vírus do Herpes (herpesvírus simples) tipo 1 (HSV-1) e tipo 2 (HSV-2). O HSV-1 causa o Herpes labial e o HSV-2 causa o Herpes genital. Também se comportam como vírus “persistentes” com infecção inicial seguida de período de latência prolongado sujeito a reactivação (reaparecimento da doença), tendo como factores desencadeantes o stress, febre, infecções, traumatismos, excesso de exposição à luz solar, entre outros.</w:t>
      </w:r>
    </w:p>
    <w:p w:rsidR="00E8674E" w:rsidRPr="00E8674E" w:rsidRDefault="00E8674E" w:rsidP="00BA3C82">
      <w:pPr>
        <w:ind w:left="360"/>
        <w:jc w:val="both"/>
        <w:rPr>
          <w:rFonts w:cs="Arial"/>
          <w:lang w:val="pt-BR"/>
        </w:rPr>
      </w:pPr>
      <w:r w:rsidRPr="00774441">
        <w:rPr>
          <w:rFonts w:cs="Arial"/>
          <w:b/>
          <w:lang w:val="pt-BR"/>
        </w:rPr>
        <w:t>5.3.2</w:t>
      </w:r>
      <w:r w:rsidRPr="00E8674E">
        <w:rPr>
          <w:rFonts w:cs="Arial"/>
          <w:lang w:val="pt-BR"/>
        </w:rPr>
        <w:t xml:space="preserve"> Transmissão – o HSV-1 é de transmissão directa (beijo, toque), enquanto que o HSV-2 é de transmissão sexual.</w:t>
      </w:r>
    </w:p>
    <w:p w:rsidR="00E8674E" w:rsidRDefault="00E8674E" w:rsidP="00BA3C82">
      <w:pPr>
        <w:ind w:left="360"/>
        <w:jc w:val="both"/>
        <w:rPr>
          <w:rFonts w:cs="Arial"/>
        </w:rPr>
      </w:pPr>
      <w:r w:rsidRPr="00774441">
        <w:rPr>
          <w:rFonts w:cs="Arial"/>
          <w:b/>
          <w:lang w:val="pt-BR"/>
        </w:rPr>
        <w:t>5.3.4</w:t>
      </w:r>
      <w:r w:rsidRPr="00E8674E">
        <w:rPr>
          <w:rFonts w:cs="Arial"/>
          <w:lang w:val="pt-BR"/>
        </w:rPr>
        <w:t xml:space="preserve"> Clinicamente as lesões são vesiculares, com úlceras (feridas) nas regiões preferências dos respectivos vírus: HSV-1 – orofaringe (lábios, gengivas, boca) e o HSV-2 – órgãos genitais (vulva e vagina na mulher e pénis no homem). </w:t>
      </w:r>
      <w:r>
        <w:rPr>
          <w:rFonts w:cs="Arial"/>
        </w:rPr>
        <w:t>O diagnóstico é fundamentalmente clínico.</w:t>
      </w:r>
    </w:p>
    <w:p w:rsidR="00E8674E" w:rsidRDefault="00E8674E" w:rsidP="00E8674E">
      <w:pPr>
        <w:jc w:val="center"/>
        <w:rPr>
          <w:rFonts w:cs="Arial"/>
          <w:lang w:val="en-GB"/>
        </w:rPr>
      </w:pPr>
      <w:r>
        <w:rPr>
          <w:rFonts w:cs="Arial"/>
          <w:noProof/>
          <w:lang w:val="en-ZW" w:eastAsia="en-ZW"/>
        </w:rPr>
        <w:drawing>
          <wp:inline distT="0" distB="0" distL="0" distR="0" wp14:anchorId="615DD066" wp14:editId="6710B3F1">
            <wp:extent cx="3503378" cy="2472856"/>
            <wp:effectExtent l="19050" t="0" r="0" b="0"/>
            <wp:docPr id="97" name="Object 3"/>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960440" cy="2982525"/>
                      <a:chOff x="899592" y="1196752"/>
                      <a:chExt cx="3960440" cy="2982525"/>
                    </a:xfrm>
                  </a:grpSpPr>
                  <a:pic>
                    <a:nvPicPr>
                      <a:cNvPr id="53250" name="Picture 2" descr="http://www.dent.ucla.edu/pic/visitors/herpes/images/HLabial1.jpg"/>
                      <a:cNvPicPr>
                        <a:picLocks noChangeAspect="1" noChangeArrowheads="1"/>
                      </a:cNvPicPr>
                    </a:nvPicPr>
                    <a:blipFill>
                      <a:blip r:embed="rId74"/>
                      <a:srcRect/>
                      <a:stretch>
                        <a:fillRect/>
                      </a:stretch>
                    </a:blipFill>
                    <a:spPr bwMode="auto">
                      <a:xfrm>
                        <a:off x="899592" y="1196752"/>
                        <a:ext cx="3848100" cy="2733675"/>
                      </a:xfrm>
                      <a:prstGeom prst="rect">
                        <a:avLst/>
                      </a:prstGeom>
                      <a:noFill/>
                    </a:spPr>
                  </a:pic>
                  <a:sp>
                    <a:nvSpPr>
                      <a:cNvPr id="3" name="Rectangle 2"/>
                      <a:cNvSpPr/>
                    </a:nvSpPr>
                    <a:spPr>
                      <a:xfrm>
                        <a:off x="899592" y="3933056"/>
                        <a:ext cx="3960440" cy="246221"/>
                      </a:xfrm>
                      <a:prstGeom prst="rect">
                        <a:avLst/>
                      </a:prstGeom>
                    </a:spPr>
                    <a:txSp>
                      <a:txBody>
                        <a:bodyPr wrap="square">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000" dirty="0" smtClean="0"/>
                            <a:t>http://www.dent.ucla.edu/pic/visitors/herpes/images/HLabial1.jpg</a:t>
                          </a:r>
                          <a:endParaRPr lang="en-GB" sz="1000" dirty="0"/>
                        </a:p>
                      </a:txBody>
                      <a:useSpRect/>
                    </a:txSp>
                  </a:sp>
                </lc:lockedCanvas>
              </a:graphicData>
            </a:graphic>
          </wp:inline>
        </w:drawing>
      </w:r>
    </w:p>
    <w:p w:rsidR="00E8674E" w:rsidRDefault="00E8674E" w:rsidP="00E8674E">
      <w:pPr>
        <w:jc w:val="center"/>
        <w:rPr>
          <w:rFonts w:cs="Arial"/>
          <w:lang w:val="en-GB"/>
        </w:rPr>
      </w:pPr>
      <w:r w:rsidRPr="00EB2A96">
        <w:rPr>
          <w:rFonts w:cs="Arial"/>
          <w:b/>
          <w:lang w:val="en-GB"/>
        </w:rPr>
        <w:t>Figura 7:</w:t>
      </w:r>
      <w:r>
        <w:rPr>
          <w:rFonts w:cs="Arial"/>
          <w:lang w:val="en-GB"/>
        </w:rPr>
        <w:t xml:space="preserve"> Herpes Labial</w:t>
      </w:r>
    </w:p>
    <w:p w:rsidR="00E8674E" w:rsidRDefault="00E8674E" w:rsidP="00E8674E">
      <w:pPr>
        <w:jc w:val="center"/>
        <w:rPr>
          <w:rFonts w:cs="Arial"/>
          <w:lang w:val="en-GB"/>
        </w:rPr>
      </w:pPr>
    </w:p>
    <w:p w:rsidR="00E8674E" w:rsidRDefault="00E8674E" w:rsidP="00E8674E">
      <w:pPr>
        <w:jc w:val="center"/>
        <w:rPr>
          <w:rFonts w:cs="Arial"/>
          <w:lang w:val="en-GB"/>
        </w:rPr>
      </w:pPr>
      <w:r>
        <w:rPr>
          <w:rFonts w:cs="Arial"/>
          <w:noProof/>
          <w:lang w:val="en-ZW" w:eastAsia="en-ZW"/>
        </w:rPr>
        <w:drawing>
          <wp:inline distT="0" distB="0" distL="0" distR="0" wp14:anchorId="06D40B0E" wp14:editId="0FB8DE26">
            <wp:extent cx="5112385" cy="3101008"/>
            <wp:effectExtent l="19050" t="0" r="0" b="0"/>
            <wp:docPr id="96" name="Object 4"/>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789623" cy="3342565"/>
                      <a:chOff x="2076692" y="980728"/>
                      <a:chExt cx="4789623" cy="3342565"/>
                    </a:xfrm>
                  </a:grpSpPr>
                  <a:grpSp>
                    <a:nvGrpSpPr>
                      <a:cNvPr id="4" name="Group 3"/>
                      <a:cNvGrpSpPr/>
                    </a:nvGrpSpPr>
                    <a:grpSpPr>
                      <a:xfrm>
                        <a:off x="2076692" y="980728"/>
                        <a:ext cx="4789623" cy="3342565"/>
                        <a:chOff x="2076692" y="980728"/>
                        <a:chExt cx="4789623" cy="3342565"/>
                      </a:xfrm>
                    </a:grpSpPr>
                    <a:pic>
                      <a:nvPicPr>
                        <a:cNvPr id="65538" name="Picture 2" descr="http://www.zo.utexas.edu/faculty/sjasper/images/hpv.jpg"/>
                        <a:cNvPicPr>
                          <a:picLocks noChangeAspect="1" noChangeArrowheads="1"/>
                        </a:cNvPicPr>
                      </a:nvPicPr>
                      <a:blipFill>
                        <a:blip r:embed="rId75"/>
                        <a:srcRect/>
                        <a:stretch>
                          <a:fillRect/>
                        </a:stretch>
                      </a:blipFill>
                      <a:spPr bwMode="auto">
                        <a:xfrm>
                          <a:off x="2076692" y="980728"/>
                          <a:ext cx="4789623" cy="3240360"/>
                        </a:xfrm>
                        <a:prstGeom prst="rect">
                          <a:avLst/>
                        </a:prstGeom>
                        <a:noFill/>
                      </a:spPr>
                    </a:pic>
                    <a:sp>
                      <a:nvSpPr>
                        <a:cNvPr id="3" name="Rectangle 2"/>
                        <a:cNvSpPr/>
                      </a:nvSpPr>
                      <a:spPr>
                        <a:xfrm>
                          <a:off x="2267744" y="4077072"/>
                          <a:ext cx="4572000" cy="246221"/>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000" dirty="0" smtClean="0"/>
                              <a:t>http://www.zo.utexas.edu/faculty/sjasper/images/hpv.jpg</a:t>
                            </a:r>
                            <a:endParaRPr lang="en-GB" sz="1000" dirty="0"/>
                          </a:p>
                        </a:txBody>
                        <a:useSpRect/>
                      </a:txSp>
                    </a:sp>
                  </a:grpSp>
                </lc:lockedCanvas>
              </a:graphicData>
            </a:graphic>
          </wp:inline>
        </w:drawing>
      </w:r>
    </w:p>
    <w:p w:rsidR="00E8674E" w:rsidRPr="00E8674E" w:rsidRDefault="00E8674E" w:rsidP="00E8674E">
      <w:pPr>
        <w:jc w:val="center"/>
        <w:rPr>
          <w:rFonts w:cs="Arial"/>
          <w:lang w:val="pt-BR"/>
        </w:rPr>
      </w:pPr>
      <w:r w:rsidRPr="00EB2A96">
        <w:rPr>
          <w:rFonts w:cs="Arial"/>
          <w:b/>
          <w:lang w:val="pt-BR"/>
        </w:rPr>
        <w:t>Figura 8:</w:t>
      </w:r>
      <w:r w:rsidRPr="00E8674E">
        <w:rPr>
          <w:rFonts w:cs="Arial"/>
          <w:lang w:val="pt-BR"/>
        </w:rPr>
        <w:t xml:space="preserve"> Herpes genital</w:t>
      </w:r>
    </w:p>
    <w:p w:rsidR="00E8674E" w:rsidRPr="00E8674E" w:rsidRDefault="00E8674E" w:rsidP="00E8674E">
      <w:pPr>
        <w:jc w:val="both"/>
        <w:rPr>
          <w:rFonts w:cs="Arial"/>
          <w:b/>
          <w:lang w:val="pt-BR"/>
        </w:rPr>
      </w:pPr>
      <w:r w:rsidRPr="00774441">
        <w:rPr>
          <w:rFonts w:cs="Arial"/>
          <w:b/>
          <w:lang w:val="pt-BR"/>
        </w:rPr>
        <w:lastRenderedPageBreak/>
        <w:t>5.4</w:t>
      </w:r>
      <w:r w:rsidRPr="00E8674E">
        <w:rPr>
          <w:rFonts w:cs="Arial"/>
          <w:b/>
          <w:lang w:val="pt-BR"/>
        </w:rPr>
        <w:t xml:space="preserve"> Sarcoma de Kaposi</w:t>
      </w:r>
    </w:p>
    <w:p w:rsidR="00E8674E" w:rsidRPr="00E8674E" w:rsidRDefault="00E8674E" w:rsidP="00BA3C82">
      <w:pPr>
        <w:ind w:left="450"/>
        <w:jc w:val="both"/>
        <w:rPr>
          <w:rFonts w:cs="Arial"/>
          <w:lang w:val="pt-BR"/>
        </w:rPr>
      </w:pPr>
      <w:r w:rsidRPr="00774441">
        <w:rPr>
          <w:rFonts w:cs="Arial"/>
          <w:b/>
          <w:lang w:val="pt-BR"/>
        </w:rPr>
        <w:t>5.4.1</w:t>
      </w:r>
      <w:r w:rsidRPr="00E8674E">
        <w:rPr>
          <w:rFonts w:cs="Arial"/>
          <w:lang w:val="pt-BR"/>
        </w:rPr>
        <w:t xml:space="preserve"> O sarcoma de kaposi é uma neoplasia maligna (cancro) dos vasos sanguíneos causada pelo vírus herpes 8 (HHV 8), também chamado de herpesvírus associado ao sarcoma de kaposi (KSHV). É um vírus com genoma ADN.</w:t>
      </w:r>
    </w:p>
    <w:p w:rsidR="00E8674E" w:rsidRPr="00E8674E" w:rsidRDefault="00E8674E" w:rsidP="00BA3C82">
      <w:pPr>
        <w:ind w:left="450"/>
        <w:jc w:val="both"/>
        <w:rPr>
          <w:rFonts w:cs="Arial"/>
          <w:lang w:val="pt-BR"/>
        </w:rPr>
      </w:pPr>
      <w:r w:rsidRPr="00774441">
        <w:rPr>
          <w:rFonts w:cs="Arial"/>
          <w:b/>
          <w:lang w:val="pt-BR"/>
        </w:rPr>
        <w:t>5.4.2</w:t>
      </w:r>
      <w:r w:rsidRPr="00E8674E">
        <w:rPr>
          <w:rFonts w:cs="Arial"/>
          <w:lang w:val="pt-BR"/>
        </w:rPr>
        <w:t xml:space="preserve"> É um vírus cuja doença, actualmente se manifesta principalmente em pacientes imunodeprimidos (principalmente HIV/SIDA) com lesões de cor arroxeada e pode afectar qualquer parte do corpo (pulmões, intestinos, boca, entre outros). O diagnóstico é fundamentalmente clínico, através das lesões e estado imunológico do paciente (geralmente HIV positivo). Será dicutido em detalhes na disciplina de AvaliaÇão e Manejo de doentes com HIV e SIDA.</w:t>
      </w:r>
    </w:p>
    <w:p w:rsidR="00E8674E" w:rsidRPr="00E8674E" w:rsidRDefault="00E8674E" w:rsidP="00E8674E">
      <w:pPr>
        <w:jc w:val="both"/>
        <w:rPr>
          <w:rFonts w:cs="Arial"/>
          <w:b/>
          <w:lang w:val="pt-BR"/>
        </w:rPr>
      </w:pPr>
      <w:r w:rsidRPr="00774441">
        <w:rPr>
          <w:rFonts w:cs="Arial"/>
          <w:b/>
          <w:lang w:val="pt-BR"/>
        </w:rPr>
        <w:t>6.4</w:t>
      </w:r>
      <w:r w:rsidRPr="00E8674E">
        <w:rPr>
          <w:rFonts w:cs="Arial"/>
          <w:b/>
          <w:lang w:val="pt-BR"/>
        </w:rPr>
        <w:t xml:space="preserve"> Hepatite</w:t>
      </w:r>
    </w:p>
    <w:p w:rsidR="00E8674E" w:rsidRPr="00E8674E" w:rsidRDefault="00E8674E" w:rsidP="00BA3C82">
      <w:pPr>
        <w:ind w:left="450"/>
        <w:jc w:val="both"/>
        <w:rPr>
          <w:rFonts w:cs="Arial"/>
          <w:lang w:val="pt-BR"/>
        </w:rPr>
      </w:pPr>
      <w:r w:rsidRPr="00774441">
        <w:rPr>
          <w:rFonts w:cs="Arial"/>
          <w:b/>
          <w:lang w:val="pt-BR"/>
        </w:rPr>
        <w:t>6.4.1</w:t>
      </w:r>
      <w:r w:rsidRPr="00E8674E">
        <w:rPr>
          <w:rFonts w:cs="Arial"/>
          <w:lang w:val="pt-BR"/>
        </w:rPr>
        <w:t xml:space="preserve"> A hepatite viral é causada por diferentes tipos de vírus que afectam o fígado. A tabela a seguir mostra os tipos de hepatite, seu genoma, período de incubação e sua transmissão.</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40"/>
        <w:gridCol w:w="1541"/>
        <w:gridCol w:w="1541"/>
        <w:gridCol w:w="1541"/>
        <w:gridCol w:w="1541"/>
        <w:gridCol w:w="1541"/>
      </w:tblGrid>
      <w:tr w:rsidR="00E8674E" w:rsidRPr="00881901" w:rsidTr="00E8674E">
        <w:tc>
          <w:tcPr>
            <w:tcW w:w="1540" w:type="dxa"/>
          </w:tcPr>
          <w:p w:rsidR="00E8674E" w:rsidRPr="00881901" w:rsidRDefault="00E8674E" w:rsidP="00E8674E">
            <w:pPr>
              <w:jc w:val="both"/>
              <w:rPr>
                <w:rFonts w:cs="Arial"/>
              </w:rPr>
            </w:pPr>
            <w:r w:rsidRPr="00881901">
              <w:rPr>
                <w:rFonts w:cs="Arial"/>
              </w:rPr>
              <w:t>Vírus</w:t>
            </w:r>
          </w:p>
        </w:tc>
        <w:tc>
          <w:tcPr>
            <w:tcW w:w="1541" w:type="dxa"/>
          </w:tcPr>
          <w:p w:rsidR="00E8674E" w:rsidRPr="00881901" w:rsidRDefault="00E8674E" w:rsidP="00E8674E">
            <w:pPr>
              <w:jc w:val="both"/>
              <w:rPr>
                <w:rFonts w:cs="Arial"/>
              </w:rPr>
            </w:pPr>
            <w:r w:rsidRPr="00881901">
              <w:rPr>
                <w:rFonts w:cs="Arial"/>
              </w:rPr>
              <w:t>Hepatite A</w:t>
            </w:r>
          </w:p>
        </w:tc>
        <w:tc>
          <w:tcPr>
            <w:tcW w:w="1541" w:type="dxa"/>
          </w:tcPr>
          <w:p w:rsidR="00E8674E" w:rsidRPr="00881901" w:rsidRDefault="00E8674E" w:rsidP="00E8674E">
            <w:pPr>
              <w:jc w:val="both"/>
              <w:rPr>
                <w:rFonts w:cs="Arial"/>
              </w:rPr>
            </w:pPr>
            <w:r w:rsidRPr="00881901">
              <w:rPr>
                <w:rFonts w:cs="Arial"/>
              </w:rPr>
              <w:t>Hepatite B</w:t>
            </w:r>
          </w:p>
        </w:tc>
        <w:tc>
          <w:tcPr>
            <w:tcW w:w="1541" w:type="dxa"/>
          </w:tcPr>
          <w:p w:rsidR="00E8674E" w:rsidRPr="00881901" w:rsidRDefault="00E8674E" w:rsidP="00E8674E">
            <w:pPr>
              <w:jc w:val="both"/>
              <w:rPr>
                <w:rFonts w:cs="Arial"/>
              </w:rPr>
            </w:pPr>
            <w:r w:rsidRPr="00881901">
              <w:rPr>
                <w:rFonts w:cs="Arial"/>
              </w:rPr>
              <w:t>Hepatite C</w:t>
            </w:r>
          </w:p>
        </w:tc>
        <w:tc>
          <w:tcPr>
            <w:tcW w:w="1541" w:type="dxa"/>
          </w:tcPr>
          <w:p w:rsidR="00E8674E" w:rsidRPr="00881901" w:rsidRDefault="00E8674E" w:rsidP="00E8674E">
            <w:pPr>
              <w:jc w:val="both"/>
              <w:rPr>
                <w:rFonts w:cs="Arial"/>
              </w:rPr>
            </w:pPr>
            <w:r w:rsidRPr="00881901">
              <w:rPr>
                <w:rFonts w:cs="Arial"/>
              </w:rPr>
              <w:t>Hepatite D</w:t>
            </w:r>
          </w:p>
        </w:tc>
        <w:tc>
          <w:tcPr>
            <w:tcW w:w="1541" w:type="dxa"/>
          </w:tcPr>
          <w:p w:rsidR="00E8674E" w:rsidRPr="00881901" w:rsidRDefault="00E8674E" w:rsidP="00E8674E">
            <w:pPr>
              <w:jc w:val="both"/>
              <w:rPr>
                <w:rFonts w:cs="Arial"/>
              </w:rPr>
            </w:pPr>
            <w:r w:rsidRPr="00881901">
              <w:rPr>
                <w:rFonts w:cs="Arial"/>
              </w:rPr>
              <w:t>Hepatite E</w:t>
            </w:r>
          </w:p>
        </w:tc>
      </w:tr>
      <w:tr w:rsidR="00E8674E" w:rsidRPr="00881901" w:rsidTr="00E8674E">
        <w:tc>
          <w:tcPr>
            <w:tcW w:w="1540" w:type="dxa"/>
          </w:tcPr>
          <w:p w:rsidR="00E8674E" w:rsidRPr="00881901" w:rsidRDefault="00E8674E" w:rsidP="00E8674E">
            <w:pPr>
              <w:jc w:val="both"/>
              <w:rPr>
                <w:rFonts w:cs="Arial"/>
              </w:rPr>
            </w:pPr>
            <w:r w:rsidRPr="00881901">
              <w:rPr>
                <w:rFonts w:cs="Arial"/>
              </w:rPr>
              <w:t>Genoma</w:t>
            </w:r>
          </w:p>
        </w:tc>
        <w:tc>
          <w:tcPr>
            <w:tcW w:w="1541" w:type="dxa"/>
          </w:tcPr>
          <w:p w:rsidR="00E8674E" w:rsidRPr="00881901" w:rsidRDefault="00E8674E" w:rsidP="00E8674E">
            <w:pPr>
              <w:jc w:val="both"/>
              <w:rPr>
                <w:rFonts w:cs="Arial"/>
              </w:rPr>
            </w:pPr>
            <w:r w:rsidRPr="00881901">
              <w:rPr>
                <w:rFonts w:cs="Arial"/>
              </w:rPr>
              <w:t>ARN</w:t>
            </w:r>
          </w:p>
        </w:tc>
        <w:tc>
          <w:tcPr>
            <w:tcW w:w="1541" w:type="dxa"/>
          </w:tcPr>
          <w:p w:rsidR="00E8674E" w:rsidRPr="00881901" w:rsidRDefault="00E8674E" w:rsidP="00E8674E">
            <w:pPr>
              <w:jc w:val="both"/>
              <w:rPr>
                <w:rFonts w:cs="Arial"/>
              </w:rPr>
            </w:pPr>
            <w:r w:rsidRPr="00881901">
              <w:rPr>
                <w:rFonts w:cs="Arial"/>
              </w:rPr>
              <w:t>ADN</w:t>
            </w:r>
          </w:p>
        </w:tc>
        <w:tc>
          <w:tcPr>
            <w:tcW w:w="1541" w:type="dxa"/>
          </w:tcPr>
          <w:p w:rsidR="00E8674E" w:rsidRPr="00881901" w:rsidRDefault="00E8674E" w:rsidP="00E8674E">
            <w:pPr>
              <w:jc w:val="both"/>
              <w:rPr>
                <w:rFonts w:cs="Arial"/>
              </w:rPr>
            </w:pPr>
            <w:r w:rsidRPr="00881901">
              <w:rPr>
                <w:rFonts w:cs="Arial"/>
              </w:rPr>
              <w:t>ARN</w:t>
            </w:r>
          </w:p>
        </w:tc>
        <w:tc>
          <w:tcPr>
            <w:tcW w:w="1541" w:type="dxa"/>
          </w:tcPr>
          <w:p w:rsidR="00E8674E" w:rsidRPr="00881901" w:rsidRDefault="00E8674E" w:rsidP="00E8674E">
            <w:pPr>
              <w:jc w:val="both"/>
              <w:rPr>
                <w:rFonts w:cs="Arial"/>
              </w:rPr>
            </w:pPr>
            <w:r w:rsidRPr="00881901">
              <w:rPr>
                <w:rFonts w:cs="Arial"/>
              </w:rPr>
              <w:t>ARN</w:t>
            </w:r>
          </w:p>
        </w:tc>
        <w:tc>
          <w:tcPr>
            <w:tcW w:w="1541" w:type="dxa"/>
          </w:tcPr>
          <w:p w:rsidR="00E8674E" w:rsidRPr="00881901" w:rsidRDefault="00E8674E" w:rsidP="00E8674E">
            <w:pPr>
              <w:jc w:val="both"/>
              <w:rPr>
                <w:rFonts w:cs="Arial"/>
              </w:rPr>
            </w:pPr>
            <w:r w:rsidRPr="00881901">
              <w:rPr>
                <w:rFonts w:cs="Arial"/>
              </w:rPr>
              <w:t>ARN</w:t>
            </w:r>
          </w:p>
        </w:tc>
      </w:tr>
      <w:tr w:rsidR="00E8674E" w:rsidRPr="00881901" w:rsidTr="00E8674E">
        <w:tc>
          <w:tcPr>
            <w:tcW w:w="1540" w:type="dxa"/>
          </w:tcPr>
          <w:p w:rsidR="00E8674E" w:rsidRPr="00881901" w:rsidRDefault="00E8674E" w:rsidP="00E8674E">
            <w:pPr>
              <w:jc w:val="both"/>
              <w:rPr>
                <w:rFonts w:cs="Arial"/>
              </w:rPr>
            </w:pPr>
            <w:r w:rsidRPr="00881901">
              <w:rPr>
                <w:rFonts w:cs="Arial"/>
              </w:rPr>
              <w:t>Incubação (dias)</w:t>
            </w:r>
          </w:p>
        </w:tc>
        <w:tc>
          <w:tcPr>
            <w:tcW w:w="1541" w:type="dxa"/>
          </w:tcPr>
          <w:p w:rsidR="00E8674E" w:rsidRPr="00881901" w:rsidRDefault="00E8674E" w:rsidP="00E8674E">
            <w:pPr>
              <w:jc w:val="both"/>
              <w:rPr>
                <w:rFonts w:cs="Arial"/>
              </w:rPr>
            </w:pPr>
            <w:r w:rsidRPr="00881901">
              <w:rPr>
                <w:rFonts w:cs="Arial"/>
              </w:rPr>
              <w:t>15-45, média 30</w:t>
            </w:r>
          </w:p>
        </w:tc>
        <w:tc>
          <w:tcPr>
            <w:tcW w:w="1541" w:type="dxa"/>
          </w:tcPr>
          <w:p w:rsidR="00E8674E" w:rsidRPr="00881901" w:rsidRDefault="00E8674E" w:rsidP="00E8674E">
            <w:pPr>
              <w:jc w:val="both"/>
              <w:rPr>
                <w:rFonts w:cs="Arial"/>
              </w:rPr>
            </w:pPr>
            <w:r w:rsidRPr="00881901">
              <w:rPr>
                <w:rFonts w:cs="Arial"/>
              </w:rPr>
              <w:t>30-180, média 90</w:t>
            </w:r>
          </w:p>
        </w:tc>
        <w:tc>
          <w:tcPr>
            <w:tcW w:w="1541" w:type="dxa"/>
          </w:tcPr>
          <w:p w:rsidR="00E8674E" w:rsidRPr="00881901" w:rsidRDefault="00E8674E" w:rsidP="00E8674E">
            <w:pPr>
              <w:jc w:val="both"/>
              <w:rPr>
                <w:rFonts w:cs="Arial"/>
              </w:rPr>
            </w:pPr>
            <w:r w:rsidRPr="00881901">
              <w:rPr>
                <w:rFonts w:cs="Arial"/>
              </w:rPr>
              <w:t>15-160, média 50</w:t>
            </w:r>
          </w:p>
        </w:tc>
        <w:tc>
          <w:tcPr>
            <w:tcW w:w="1541" w:type="dxa"/>
          </w:tcPr>
          <w:p w:rsidR="00E8674E" w:rsidRPr="00881901" w:rsidRDefault="00E8674E" w:rsidP="00E8674E">
            <w:pPr>
              <w:jc w:val="both"/>
              <w:rPr>
                <w:rFonts w:cs="Arial"/>
              </w:rPr>
            </w:pPr>
            <w:r w:rsidRPr="00881901">
              <w:rPr>
                <w:rFonts w:cs="Arial"/>
              </w:rPr>
              <w:t>30-180, média 90</w:t>
            </w:r>
          </w:p>
        </w:tc>
        <w:tc>
          <w:tcPr>
            <w:tcW w:w="1541" w:type="dxa"/>
          </w:tcPr>
          <w:p w:rsidR="00E8674E" w:rsidRPr="00881901" w:rsidRDefault="00E8674E" w:rsidP="00E8674E">
            <w:pPr>
              <w:jc w:val="both"/>
              <w:rPr>
                <w:rFonts w:cs="Arial"/>
              </w:rPr>
            </w:pPr>
            <w:r w:rsidRPr="00881901">
              <w:rPr>
                <w:rFonts w:cs="Arial"/>
              </w:rPr>
              <w:t>14-60, média 40</w:t>
            </w:r>
          </w:p>
        </w:tc>
      </w:tr>
      <w:tr w:rsidR="00E8674E" w:rsidRPr="00881901" w:rsidTr="00E8674E">
        <w:tc>
          <w:tcPr>
            <w:tcW w:w="1540" w:type="dxa"/>
          </w:tcPr>
          <w:p w:rsidR="00E8674E" w:rsidRPr="00881901" w:rsidRDefault="00E8674E" w:rsidP="00E8674E">
            <w:pPr>
              <w:jc w:val="both"/>
              <w:rPr>
                <w:rFonts w:cs="Arial"/>
              </w:rPr>
            </w:pPr>
            <w:r w:rsidRPr="00881901">
              <w:rPr>
                <w:rFonts w:cs="Arial"/>
              </w:rPr>
              <w:t>Transmissão</w:t>
            </w:r>
          </w:p>
        </w:tc>
        <w:tc>
          <w:tcPr>
            <w:tcW w:w="1541" w:type="dxa"/>
          </w:tcPr>
          <w:p w:rsidR="00E8674E" w:rsidRPr="00881901" w:rsidRDefault="00E8674E" w:rsidP="00E8674E">
            <w:pPr>
              <w:jc w:val="both"/>
              <w:rPr>
                <w:rFonts w:cs="Arial"/>
                <w:b/>
              </w:rPr>
            </w:pPr>
            <w:r w:rsidRPr="00881901">
              <w:rPr>
                <w:rFonts w:cs="Arial"/>
                <w:b/>
              </w:rPr>
              <w:t>Fecal-oral</w:t>
            </w:r>
          </w:p>
        </w:tc>
        <w:tc>
          <w:tcPr>
            <w:tcW w:w="1541" w:type="dxa"/>
          </w:tcPr>
          <w:p w:rsidR="00E8674E" w:rsidRPr="00881901" w:rsidRDefault="00E8674E" w:rsidP="00E8674E">
            <w:pPr>
              <w:jc w:val="both"/>
              <w:rPr>
                <w:rFonts w:cs="Arial"/>
                <w:b/>
              </w:rPr>
            </w:pPr>
            <w:r w:rsidRPr="00881901">
              <w:rPr>
                <w:rFonts w:cs="Arial"/>
                <w:b/>
              </w:rPr>
              <w:t xml:space="preserve">Percutânea, perinatal, sexual </w:t>
            </w:r>
          </w:p>
        </w:tc>
        <w:tc>
          <w:tcPr>
            <w:tcW w:w="1541" w:type="dxa"/>
          </w:tcPr>
          <w:p w:rsidR="00E8674E" w:rsidRPr="00881901" w:rsidRDefault="00E8674E" w:rsidP="00E8674E">
            <w:pPr>
              <w:jc w:val="both"/>
              <w:rPr>
                <w:rFonts w:cs="Arial"/>
                <w:vertAlign w:val="superscript"/>
              </w:rPr>
            </w:pPr>
            <w:r w:rsidRPr="00881901">
              <w:rPr>
                <w:rFonts w:cs="Arial"/>
                <w:b/>
              </w:rPr>
              <w:t>Percutânea,</w:t>
            </w:r>
            <w:r w:rsidRPr="00881901">
              <w:rPr>
                <w:rFonts w:cs="Arial"/>
              </w:rPr>
              <w:t xml:space="preserve"> perinatal</w:t>
            </w:r>
            <w:r w:rsidRPr="00881901">
              <w:rPr>
                <w:rFonts w:cs="Arial"/>
                <w:vertAlign w:val="superscript"/>
              </w:rPr>
              <w:t>1</w:t>
            </w:r>
            <w:r w:rsidRPr="00881901">
              <w:rPr>
                <w:rFonts w:cs="Arial"/>
              </w:rPr>
              <w:t>, sexual</w:t>
            </w:r>
            <w:r w:rsidRPr="00881901">
              <w:rPr>
                <w:rFonts w:cs="Arial"/>
                <w:vertAlign w:val="superscript"/>
              </w:rPr>
              <w:t>1</w:t>
            </w:r>
          </w:p>
        </w:tc>
        <w:tc>
          <w:tcPr>
            <w:tcW w:w="1541" w:type="dxa"/>
          </w:tcPr>
          <w:p w:rsidR="00E8674E" w:rsidRPr="00881901" w:rsidRDefault="00E8674E" w:rsidP="00E8674E">
            <w:pPr>
              <w:jc w:val="both"/>
              <w:rPr>
                <w:rFonts w:cs="Arial"/>
              </w:rPr>
            </w:pPr>
            <w:r w:rsidRPr="00881901">
              <w:rPr>
                <w:rFonts w:cs="Arial"/>
                <w:b/>
              </w:rPr>
              <w:t>Percutânea,</w:t>
            </w:r>
            <w:r w:rsidRPr="00881901">
              <w:rPr>
                <w:rFonts w:cs="Arial"/>
              </w:rPr>
              <w:t xml:space="preserve"> perinatal, </w:t>
            </w:r>
            <w:r w:rsidRPr="00881901">
              <w:rPr>
                <w:rFonts w:cs="Arial"/>
                <w:b/>
              </w:rPr>
              <w:t>sexual</w:t>
            </w:r>
          </w:p>
        </w:tc>
        <w:tc>
          <w:tcPr>
            <w:tcW w:w="1541" w:type="dxa"/>
          </w:tcPr>
          <w:p w:rsidR="00E8674E" w:rsidRPr="00881901" w:rsidRDefault="00E8674E" w:rsidP="00E8674E">
            <w:pPr>
              <w:jc w:val="both"/>
              <w:rPr>
                <w:rFonts w:cs="Arial"/>
                <w:b/>
              </w:rPr>
            </w:pPr>
            <w:r w:rsidRPr="00881901">
              <w:rPr>
                <w:rFonts w:cs="Arial"/>
                <w:b/>
              </w:rPr>
              <w:t>Fecal-oral</w:t>
            </w:r>
          </w:p>
        </w:tc>
      </w:tr>
    </w:tbl>
    <w:p w:rsidR="00E8674E" w:rsidRPr="00E8674E" w:rsidRDefault="00E8674E" w:rsidP="00E8674E">
      <w:pPr>
        <w:jc w:val="both"/>
        <w:rPr>
          <w:rFonts w:cs="Arial"/>
          <w:i/>
          <w:sz w:val="18"/>
          <w:szCs w:val="18"/>
          <w:lang w:val="pt-BR"/>
        </w:rPr>
      </w:pPr>
      <w:r w:rsidRPr="00E8674E">
        <w:rPr>
          <w:rFonts w:cs="Arial"/>
          <w:i/>
          <w:sz w:val="18"/>
          <w:szCs w:val="18"/>
          <w:lang w:val="pt-BR"/>
        </w:rPr>
        <w:t>1 – Principalmente na co-infecção (infecção conjunta) pelo HIV.</w:t>
      </w:r>
    </w:p>
    <w:p w:rsidR="00E8674E" w:rsidRPr="00E8674E" w:rsidRDefault="00E8674E" w:rsidP="00E8674E">
      <w:pPr>
        <w:jc w:val="both"/>
        <w:rPr>
          <w:rFonts w:cs="Arial"/>
          <w:i/>
          <w:sz w:val="18"/>
          <w:szCs w:val="18"/>
          <w:lang w:val="pt-BR"/>
        </w:rPr>
      </w:pPr>
      <w:r w:rsidRPr="00E8674E">
        <w:rPr>
          <w:rFonts w:cs="Arial"/>
          <w:i/>
          <w:sz w:val="18"/>
          <w:szCs w:val="18"/>
          <w:lang w:val="pt-BR"/>
        </w:rPr>
        <w:t>Em negrito estão as principais vias de transmissão. Percutânea (agulhas e objectos cortantes contaminados). Perinatal (da mãe para o filho – transmissão vertical)</w:t>
      </w:r>
    </w:p>
    <w:p w:rsidR="00E8674E" w:rsidRPr="00E8674E" w:rsidRDefault="00E8674E" w:rsidP="00BA3C82">
      <w:pPr>
        <w:ind w:left="450"/>
        <w:jc w:val="both"/>
        <w:rPr>
          <w:rFonts w:cs="Arial"/>
          <w:lang w:val="pt-BR"/>
        </w:rPr>
      </w:pPr>
      <w:r w:rsidRPr="00E8674E">
        <w:rPr>
          <w:rFonts w:cs="Arial"/>
          <w:lang w:val="pt-BR"/>
        </w:rPr>
        <w:t xml:space="preserve">6.4.2 A clínica é referente a uma lesão do fígado (lesão hepática) com febre, mal-estar, anorexia, icterícia (coloração amarelada da pele e mucosas). Será discutida em detalhes da disciplina do aparelho gastrointestinal. </w:t>
      </w:r>
    </w:p>
    <w:p w:rsidR="00E8674E" w:rsidRPr="00E8674E" w:rsidRDefault="00E8674E" w:rsidP="00EB2A96">
      <w:pPr>
        <w:spacing w:line="240" w:lineRule="auto"/>
        <w:jc w:val="both"/>
        <w:rPr>
          <w:rFonts w:cs="Arial"/>
          <w:lang w:val="pt-BR"/>
        </w:rPr>
      </w:pPr>
    </w:p>
    <w:p w:rsidR="00E8674E" w:rsidRPr="00391D22" w:rsidRDefault="00E8674E" w:rsidP="00E8674E">
      <w:pPr>
        <w:shd w:val="clear" w:color="auto" w:fill="B8CCE4"/>
        <w:tabs>
          <w:tab w:val="left" w:pos="1276"/>
          <w:tab w:val="right" w:pos="8550"/>
        </w:tabs>
        <w:spacing w:before="120" w:after="120"/>
        <w:ind w:right="2"/>
        <w:jc w:val="both"/>
        <w:rPr>
          <w:rFonts w:eastAsia="Calibri" w:cs="Arial"/>
          <w:b/>
          <w:sz w:val="24"/>
          <w:szCs w:val="24"/>
        </w:rPr>
      </w:pPr>
      <w:r w:rsidRPr="00E8674E">
        <w:rPr>
          <w:rFonts w:eastAsia="Calibri" w:cs="Arial"/>
          <w:b/>
          <w:sz w:val="24"/>
          <w:szCs w:val="24"/>
          <w:lang w:val="pt-BR"/>
        </w:rPr>
        <w:t xml:space="preserve">BLOCO 6. </w:t>
      </w:r>
      <w:r w:rsidRPr="00391D22">
        <w:rPr>
          <w:rFonts w:eastAsia="Calibri" w:cs="Arial"/>
          <w:b/>
          <w:sz w:val="24"/>
          <w:szCs w:val="24"/>
        </w:rPr>
        <w:t>PONTOS-CHAVE</w:t>
      </w:r>
    </w:p>
    <w:p w:rsidR="00E8674E" w:rsidRDefault="00E8674E" w:rsidP="00C52E09">
      <w:pPr>
        <w:pStyle w:val="TM-4n"/>
        <w:numPr>
          <w:ilvl w:val="1"/>
          <w:numId w:val="86"/>
        </w:numPr>
        <w:tabs>
          <w:tab w:val="clear" w:pos="1134"/>
          <w:tab w:val="left" w:pos="540"/>
        </w:tabs>
        <w:spacing w:before="120" w:after="0" w:line="276" w:lineRule="auto"/>
        <w:ind w:left="90" w:firstLine="0"/>
      </w:pPr>
      <w:r w:rsidRPr="00391D22">
        <w:t>Os vírus são parasitas intracelulares obrigatórios, e não podem-se reproduzir isoladamente.</w:t>
      </w:r>
    </w:p>
    <w:p w:rsidR="00BA3C82" w:rsidRDefault="00BA3C82" w:rsidP="00C52E09">
      <w:pPr>
        <w:pStyle w:val="TM-4n"/>
        <w:numPr>
          <w:ilvl w:val="1"/>
          <w:numId w:val="86"/>
        </w:numPr>
        <w:tabs>
          <w:tab w:val="clear" w:pos="1134"/>
          <w:tab w:val="left" w:pos="540"/>
        </w:tabs>
        <w:spacing w:before="120" w:after="0" w:line="276" w:lineRule="auto"/>
        <w:ind w:left="90" w:firstLine="0"/>
      </w:pPr>
      <w:r w:rsidRPr="00391D22">
        <w:t>Uma partícula viral completa consiste em uma ou mais moléculas de ácido nucleico rodeado por uma cobertura protectora de proteínas</w:t>
      </w:r>
    </w:p>
    <w:p w:rsidR="00BA3C82" w:rsidRDefault="00BA3C82" w:rsidP="00C52E09">
      <w:pPr>
        <w:pStyle w:val="TM-4n"/>
        <w:numPr>
          <w:ilvl w:val="1"/>
          <w:numId w:val="86"/>
        </w:numPr>
        <w:tabs>
          <w:tab w:val="clear" w:pos="1134"/>
          <w:tab w:val="left" w:pos="540"/>
        </w:tabs>
        <w:spacing w:before="120" w:after="0" w:line="276" w:lineRule="auto"/>
        <w:ind w:left="90" w:firstLine="0"/>
      </w:pPr>
      <w:r w:rsidRPr="00391D22">
        <w:t>O ácido nucleico de um vírus pode ser ADN ou ARN</w:t>
      </w:r>
    </w:p>
    <w:p w:rsidR="00BA3C82" w:rsidRDefault="00BA3C82" w:rsidP="00C52E09">
      <w:pPr>
        <w:pStyle w:val="TM-4n"/>
        <w:numPr>
          <w:ilvl w:val="1"/>
          <w:numId w:val="86"/>
        </w:numPr>
        <w:tabs>
          <w:tab w:val="clear" w:pos="1134"/>
          <w:tab w:val="left" w:pos="540"/>
        </w:tabs>
        <w:spacing w:before="120" w:after="0" w:line="276" w:lineRule="auto"/>
        <w:ind w:left="90" w:firstLine="0"/>
      </w:pPr>
      <w:r w:rsidRPr="00391D22">
        <w:t>Para provocar doença, o vírus deve penetrar nas células e se replicar no interior delas</w:t>
      </w:r>
    </w:p>
    <w:p w:rsidR="00BA3C82" w:rsidRDefault="00BA3C82" w:rsidP="00C52E09">
      <w:pPr>
        <w:pStyle w:val="TM-4n"/>
        <w:numPr>
          <w:ilvl w:val="1"/>
          <w:numId w:val="86"/>
        </w:numPr>
        <w:tabs>
          <w:tab w:val="clear" w:pos="1134"/>
          <w:tab w:val="left" w:pos="540"/>
        </w:tabs>
        <w:spacing w:before="120" w:after="0" w:line="276" w:lineRule="auto"/>
        <w:ind w:left="90" w:firstLine="0"/>
      </w:pPr>
      <w:r w:rsidRPr="00391D22">
        <w:t>As etapas específicas da infecção viral são: penetração do vírus no hospedeiro, replicação viral primária, propagação do vírus, lesão celular, resposta imunológica do hospedeiro, eliminação do vírus ou estabelecimento de infecção persistente, e transmissão viral</w:t>
      </w:r>
    </w:p>
    <w:p w:rsidR="00BA3C82" w:rsidRDefault="00BA3C82" w:rsidP="00C52E09">
      <w:pPr>
        <w:pStyle w:val="TM-4n"/>
        <w:numPr>
          <w:ilvl w:val="1"/>
          <w:numId w:val="86"/>
        </w:numPr>
        <w:tabs>
          <w:tab w:val="clear" w:pos="1134"/>
          <w:tab w:val="left" w:pos="540"/>
        </w:tabs>
        <w:spacing w:before="120" w:after="0" w:line="276" w:lineRule="auto"/>
        <w:ind w:left="90" w:firstLine="0"/>
      </w:pPr>
      <w:r w:rsidRPr="00391D22">
        <w:t>O vírus do HIV (vírus da imunodeficiência humana) é um vírus ARN, que faz a transcriptase reversa, transmitido principalmente pela via sexual (relações sexuais desprotegidas), e que causa a doença SIDA (Sindrome de Imuno-Deficiência Adquirida)</w:t>
      </w:r>
    </w:p>
    <w:p w:rsidR="00BA3C82" w:rsidRDefault="00BA3C82" w:rsidP="00C52E09">
      <w:pPr>
        <w:pStyle w:val="TM-4n"/>
        <w:numPr>
          <w:ilvl w:val="1"/>
          <w:numId w:val="86"/>
        </w:numPr>
        <w:tabs>
          <w:tab w:val="clear" w:pos="1134"/>
          <w:tab w:val="left" w:pos="540"/>
        </w:tabs>
        <w:spacing w:before="120" w:after="0" w:line="276" w:lineRule="auto"/>
        <w:ind w:left="90" w:firstLine="0"/>
      </w:pPr>
      <w:r>
        <w:t>O vírus do sarampo causa a doença sarampo</w:t>
      </w:r>
    </w:p>
    <w:p w:rsidR="00BA3C82" w:rsidRDefault="00BA3C82" w:rsidP="00C52E09">
      <w:pPr>
        <w:pStyle w:val="TM-4n"/>
        <w:numPr>
          <w:ilvl w:val="1"/>
          <w:numId w:val="86"/>
        </w:numPr>
        <w:tabs>
          <w:tab w:val="clear" w:pos="1134"/>
          <w:tab w:val="left" w:pos="540"/>
        </w:tabs>
        <w:spacing w:before="120" w:after="0" w:line="276" w:lineRule="auto"/>
        <w:ind w:left="90" w:firstLine="0"/>
      </w:pPr>
      <w:r>
        <w:lastRenderedPageBreak/>
        <w:t>O vírus da varicela causa a varicela e herpes zóster</w:t>
      </w:r>
    </w:p>
    <w:p w:rsidR="00BA3C82" w:rsidRDefault="00BA3C82" w:rsidP="00C52E09">
      <w:pPr>
        <w:pStyle w:val="TM-4n"/>
        <w:numPr>
          <w:ilvl w:val="1"/>
          <w:numId w:val="86"/>
        </w:numPr>
        <w:tabs>
          <w:tab w:val="clear" w:pos="1134"/>
          <w:tab w:val="left" w:pos="540"/>
        </w:tabs>
        <w:spacing w:before="120" w:after="0" w:line="276" w:lineRule="auto"/>
        <w:ind w:left="90" w:firstLine="0"/>
      </w:pPr>
      <w:r>
        <w:t>Os herpesvírus simples 1 e 2, causam herpes orofaríngea e genital, respectivamente. O herpesvírus humano 8 (HHV8) é o vírus responsável pelo Sarcoma de Kaposi e está associado a imunodepressão, principalmente HIV/SIDA</w:t>
      </w:r>
    </w:p>
    <w:p w:rsidR="00BA3C82" w:rsidRDefault="00BA3C82" w:rsidP="00C52E09">
      <w:pPr>
        <w:pStyle w:val="TM-4n"/>
        <w:numPr>
          <w:ilvl w:val="1"/>
          <w:numId w:val="86"/>
        </w:numPr>
        <w:tabs>
          <w:tab w:val="clear" w:pos="1134"/>
          <w:tab w:val="left" w:pos="540"/>
        </w:tabs>
        <w:spacing w:before="120" w:after="0" w:line="276" w:lineRule="auto"/>
        <w:ind w:left="90" w:firstLine="0"/>
      </w:pPr>
      <w:r>
        <w:t>O Herspes zóster e HSV-1 e HSV-2, são vírus que tem a capacidade de permanecer no estado latente com reactivações posteriores</w:t>
      </w:r>
    </w:p>
    <w:p w:rsidR="00BA3C82" w:rsidRPr="00391D22" w:rsidRDefault="00BA3C82" w:rsidP="00C52E09">
      <w:pPr>
        <w:pStyle w:val="TM-4n"/>
        <w:numPr>
          <w:ilvl w:val="1"/>
          <w:numId w:val="86"/>
        </w:numPr>
        <w:tabs>
          <w:tab w:val="clear" w:pos="1134"/>
          <w:tab w:val="left" w:pos="540"/>
        </w:tabs>
        <w:spacing w:before="120" w:after="0" w:line="276" w:lineRule="auto"/>
        <w:ind w:left="90" w:firstLine="0"/>
      </w:pPr>
      <w:r>
        <w:t>A Hepatite é uma doença viral que afecta o fígado causada por diferentes tipos de vírus da hepatite</w:t>
      </w:r>
    </w:p>
    <w:p w:rsidR="00E8674E" w:rsidRPr="00391D22" w:rsidRDefault="00E8674E" w:rsidP="00BA3C82">
      <w:pPr>
        <w:pStyle w:val="TM-4n"/>
        <w:numPr>
          <w:ilvl w:val="0"/>
          <w:numId w:val="0"/>
        </w:numPr>
        <w:tabs>
          <w:tab w:val="clear" w:pos="1134"/>
          <w:tab w:val="left" w:pos="540"/>
        </w:tabs>
        <w:spacing w:before="120" w:after="0" w:line="276" w:lineRule="auto"/>
        <w:ind w:left="98"/>
      </w:pPr>
    </w:p>
    <w:p w:rsidR="004D5B16" w:rsidRPr="00A05CAA" w:rsidRDefault="004D5B16" w:rsidP="00070E4E">
      <w:pPr>
        <w:rPr>
          <w:lang w:val="pt-PT"/>
        </w:rPr>
      </w:pPr>
    </w:p>
    <w:p w:rsidR="00702601" w:rsidRDefault="00702601">
      <w:pPr>
        <w:rPr>
          <w:lang w:val="pt-BR"/>
        </w:rPr>
      </w:pPr>
      <w:r>
        <w:rPr>
          <w:lang w:val="pt-BR"/>
        </w:rPr>
        <w:br w:type="page"/>
      </w:r>
    </w:p>
    <w:tbl>
      <w:tblPr>
        <w:tblW w:w="10060" w:type="dxa"/>
        <w:tblLayout w:type="fixed"/>
        <w:tblCellMar>
          <w:left w:w="70" w:type="dxa"/>
          <w:right w:w="70" w:type="dxa"/>
        </w:tblCellMar>
        <w:tblLook w:val="0020" w:firstRow="1" w:lastRow="0" w:firstColumn="0" w:lastColumn="0" w:noHBand="0" w:noVBand="0"/>
      </w:tblPr>
      <w:tblGrid>
        <w:gridCol w:w="1418"/>
        <w:gridCol w:w="4952"/>
        <w:gridCol w:w="2160"/>
        <w:gridCol w:w="1530"/>
      </w:tblGrid>
      <w:tr w:rsidR="00702601" w:rsidRPr="00EE53E6" w:rsidTr="00702601">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702601" w:rsidRPr="00EE53E6" w:rsidRDefault="00702601" w:rsidP="00702601">
            <w:pPr>
              <w:spacing w:line="240" w:lineRule="auto"/>
              <w:rPr>
                <w:rFonts w:cs="Arial"/>
                <w:b/>
                <w:szCs w:val="24"/>
              </w:rPr>
            </w:pPr>
            <w:r w:rsidRPr="00EE53E6">
              <w:rPr>
                <w:rFonts w:cs="Arial"/>
                <w:b/>
                <w:szCs w:val="24"/>
              </w:rPr>
              <w:lastRenderedPageBreak/>
              <w:t>Disciplina</w:t>
            </w:r>
          </w:p>
        </w:tc>
        <w:tc>
          <w:tcPr>
            <w:tcW w:w="4952" w:type="dxa"/>
            <w:tcBorders>
              <w:top w:val="single" w:sz="6" w:space="0" w:color="000000"/>
              <w:left w:val="single" w:sz="6" w:space="0" w:color="000000"/>
              <w:bottom w:val="single" w:sz="6" w:space="0" w:color="000000"/>
              <w:right w:val="single" w:sz="6" w:space="0" w:color="000000"/>
            </w:tcBorders>
            <w:vAlign w:val="center"/>
          </w:tcPr>
          <w:p w:rsidR="00702601" w:rsidRPr="00EE53E6" w:rsidRDefault="00702601" w:rsidP="00702601">
            <w:pPr>
              <w:spacing w:line="240" w:lineRule="auto"/>
              <w:rPr>
                <w:rFonts w:cs="Arial"/>
                <w:szCs w:val="24"/>
              </w:rPr>
            </w:pPr>
            <w:r w:rsidRPr="00EE53E6">
              <w:rPr>
                <w:rFonts w:cs="Arial"/>
                <w:szCs w:val="24"/>
              </w:rPr>
              <w:t>Introdução às Ciências Médicas</w:t>
            </w:r>
          </w:p>
        </w:tc>
        <w:tc>
          <w:tcPr>
            <w:tcW w:w="2160" w:type="dxa"/>
            <w:tcBorders>
              <w:top w:val="single" w:sz="6" w:space="0" w:color="000000"/>
              <w:left w:val="single" w:sz="6" w:space="0" w:color="000000"/>
              <w:bottom w:val="single" w:sz="6" w:space="0" w:color="000000"/>
              <w:right w:val="single" w:sz="6" w:space="0" w:color="000000"/>
            </w:tcBorders>
            <w:vAlign w:val="center"/>
          </w:tcPr>
          <w:p w:rsidR="00702601" w:rsidRPr="00EE53E6" w:rsidRDefault="00702601" w:rsidP="00702601">
            <w:pPr>
              <w:spacing w:line="240" w:lineRule="auto"/>
              <w:rPr>
                <w:rFonts w:cs="Arial"/>
                <w:b/>
                <w:szCs w:val="24"/>
              </w:rPr>
            </w:pPr>
            <w:r w:rsidRPr="00EE53E6">
              <w:rPr>
                <w:rFonts w:cs="Arial"/>
                <w:b/>
                <w:szCs w:val="24"/>
              </w:rPr>
              <w:t xml:space="preserve">N° da Aula </w:t>
            </w:r>
          </w:p>
        </w:tc>
        <w:tc>
          <w:tcPr>
            <w:tcW w:w="1530" w:type="dxa"/>
            <w:tcBorders>
              <w:top w:val="single" w:sz="6" w:space="0" w:color="000000"/>
              <w:left w:val="single" w:sz="6" w:space="0" w:color="000000"/>
              <w:bottom w:val="single" w:sz="6" w:space="0" w:color="000000"/>
              <w:right w:val="single" w:sz="6" w:space="0" w:color="000000"/>
            </w:tcBorders>
            <w:vAlign w:val="center"/>
          </w:tcPr>
          <w:p w:rsidR="00702601" w:rsidRPr="00774441" w:rsidRDefault="00702601" w:rsidP="00702601">
            <w:pPr>
              <w:spacing w:line="240" w:lineRule="auto"/>
              <w:jc w:val="center"/>
              <w:rPr>
                <w:rFonts w:cs="Arial"/>
              </w:rPr>
            </w:pPr>
            <w:r w:rsidRPr="00774441">
              <w:rPr>
                <w:rFonts w:cs="Arial"/>
              </w:rPr>
              <w:t>11</w:t>
            </w:r>
          </w:p>
        </w:tc>
      </w:tr>
      <w:tr w:rsidR="00702601" w:rsidRPr="00EE53E6" w:rsidTr="00702601">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702601" w:rsidRPr="00EE53E6" w:rsidRDefault="00702601" w:rsidP="00702601">
            <w:pPr>
              <w:spacing w:line="240" w:lineRule="auto"/>
              <w:rPr>
                <w:rFonts w:cs="Arial"/>
                <w:b/>
                <w:szCs w:val="24"/>
              </w:rPr>
            </w:pPr>
            <w:r w:rsidRPr="00EE53E6">
              <w:rPr>
                <w:rFonts w:cs="Arial"/>
                <w:b/>
                <w:szCs w:val="24"/>
              </w:rPr>
              <w:t>Tópico</w:t>
            </w:r>
          </w:p>
        </w:tc>
        <w:tc>
          <w:tcPr>
            <w:tcW w:w="4952" w:type="dxa"/>
            <w:tcBorders>
              <w:top w:val="single" w:sz="6" w:space="0" w:color="000000"/>
              <w:left w:val="single" w:sz="6" w:space="0" w:color="000000"/>
              <w:bottom w:val="single" w:sz="6" w:space="0" w:color="000000"/>
              <w:right w:val="single" w:sz="6" w:space="0" w:color="000000"/>
            </w:tcBorders>
            <w:vAlign w:val="center"/>
          </w:tcPr>
          <w:p w:rsidR="00702601" w:rsidRPr="00EE53E6" w:rsidRDefault="00702601" w:rsidP="00702601">
            <w:pPr>
              <w:spacing w:line="240" w:lineRule="auto"/>
              <w:rPr>
                <w:rFonts w:cs="Arial"/>
                <w:szCs w:val="24"/>
              </w:rPr>
            </w:pPr>
            <w:r w:rsidRPr="00EE53E6">
              <w:rPr>
                <w:rFonts w:cs="Arial"/>
                <w:szCs w:val="24"/>
              </w:rPr>
              <w:t>Microbiologia (5)</w:t>
            </w:r>
          </w:p>
        </w:tc>
        <w:tc>
          <w:tcPr>
            <w:tcW w:w="2160" w:type="dxa"/>
            <w:tcBorders>
              <w:top w:val="single" w:sz="6" w:space="0" w:color="000000"/>
              <w:left w:val="single" w:sz="6" w:space="0" w:color="000000"/>
              <w:bottom w:val="single" w:sz="6" w:space="0" w:color="000000"/>
              <w:right w:val="single" w:sz="6" w:space="0" w:color="000000"/>
            </w:tcBorders>
            <w:vAlign w:val="center"/>
          </w:tcPr>
          <w:p w:rsidR="00702601" w:rsidRPr="00EE53E6" w:rsidRDefault="00702601" w:rsidP="00702601">
            <w:pPr>
              <w:spacing w:line="240" w:lineRule="auto"/>
              <w:rPr>
                <w:rFonts w:cs="Arial"/>
                <w:b/>
                <w:szCs w:val="24"/>
              </w:rPr>
            </w:pPr>
            <w:r w:rsidRPr="00EE53E6">
              <w:rPr>
                <w:rFonts w:cs="Arial"/>
                <w:b/>
                <w:szCs w:val="24"/>
              </w:rPr>
              <w:t xml:space="preserve">Tipo </w:t>
            </w:r>
          </w:p>
        </w:tc>
        <w:tc>
          <w:tcPr>
            <w:tcW w:w="1530" w:type="dxa"/>
            <w:tcBorders>
              <w:top w:val="single" w:sz="6" w:space="0" w:color="000000"/>
              <w:left w:val="single" w:sz="6" w:space="0" w:color="000000"/>
              <w:bottom w:val="single" w:sz="6" w:space="0" w:color="000000"/>
              <w:right w:val="single" w:sz="6" w:space="0" w:color="000000"/>
            </w:tcBorders>
            <w:vAlign w:val="center"/>
          </w:tcPr>
          <w:p w:rsidR="00702601" w:rsidRPr="00774441" w:rsidRDefault="00702601" w:rsidP="00702601">
            <w:pPr>
              <w:spacing w:line="240" w:lineRule="auto"/>
              <w:jc w:val="center"/>
              <w:rPr>
                <w:rFonts w:cs="Arial"/>
              </w:rPr>
            </w:pPr>
            <w:r w:rsidRPr="00774441">
              <w:rPr>
                <w:rFonts w:cs="Arial"/>
              </w:rPr>
              <w:t>Teórica</w:t>
            </w:r>
          </w:p>
        </w:tc>
      </w:tr>
      <w:tr w:rsidR="00702601" w:rsidRPr="00EE53E6" w:rsidTr="00702601">
        <w:trPr>
          <w:cantSplit/>
          <w:trHeight w:val="414"/>
        </w:trPr>
        <w:tc>
          <w:tcPr>
            <w:tcW w:w="1418" w:type="dxa"/>
            <w:tcBorders>
              <w:top w:val="single" w:sz="6" w:space="0" w:color="000000"/>
              <w:left w:val="single" w:sz="6" w:space="0" w:color="000000"/>
              <w:bottom w:val="single" w:sz="6" w:space="0" w:color="000000"/>
              <w:right w:val="single" w:sz="6" w:space="0" w:color="000000"/>
            </w:tcBorders>
            <w:vAlign w:val="center"/>
          </w:tcPr>
          <w:p w:rsidR="00702601" w:rsidRPr="00EE53E6" w:rsidRDefault="00702601" w:rsidP="00702601">
            <w:pPr>
              <w:spacing w:line="240" w:lineRule="auto"/>
              <w:rPr>
                <w:rFonts w:cs="Arial"/>
                <w:b/>
                <w:szCs w:val="24"/>
              </w:rPr>
            </w:pPr>
            <w:r w:rsidRPr="00EE53E6">
              <w:rPr>
                <w:rFonts w:cs="Arial"/>
                <w:b/>
                <w:szCs w:val="24"/>
              </w:rPr>
              <w:t>Conteúdos</w:t>
            </w:r>
          </w:p>
        </w:tc>
        <w:tc>
          <w:tcPr>
            <w:tcW w:w="4952" w:type="dxa"/>
            <w:tcBorders>
              <w:top w:val="single" w:sz="6" w:space="0" w:color="000000"/>
              <w:left w:val="single" w:sz="6" w:space="0" w:color="000000"/>
              <w:bottom w:val="single" w:sz="6" w:space="0" w:color="000000"/>
              <w:right w:val="single" w:sz="6" w:space="0" w:color="000000"/>
            </w:tcBorders>
            <w:vAlign w:val="center"/>
          </w:tcPr>
          <w:p w:rsidR="00702601" w:rsidRPr="00F8000A" w:rsidRDefault="00702601" w:rsidP="00702601">
            <w:pPr>
              <w:pStyle w:val="Heading1"/>
              <w:rPr>
                <w:b w:val="0"/>
                <w:sz w:val="22"/>
                <w:szCs w:val="22"/>
                <w:lang w:val="pt-BR"/>
              </w:rPr>
            </w:pPr>
            <w:bookmarkStart w:id="16" w:name="_Toc329099759"/>
            <w:r w:rsidRPr="00F8000A">
              <w:rPr>
                <w:b w:val="0"/>
                <w:sz w:val="22"/>
                <w:szCs w:val="22"/>
                <w:lang w:val="pt-BR"/>
              </w:rPr>
              <w:t>Fungos</w:t>
            </w:r>
            <w:bookmarkEnd w:id="16"/>
          </w:p>
        </w:tc>
        <w:tc>
          <w:tcPr>
            <w:tcW w:w="2160" w:type="dxa"/>
            <w:tcBorders>
              <w:top w:val="single" w:sz="6" w:space="0" w:color="000000"/>
              <w:left w:val="single" w:sz="6" w:space="0" w:color="000000"/>
              <w:bottom w:val="single" w:sz="6" w:space="0" w:color="000000"/>
              <w:right w:val="single" w:sz="6" w:space="0" w:color="000000"/>
            </w:tcBorders>
            <w:vAlign w:val="center"/>
          </w:tcPr>
          <w:p w:rsidR="00702601" w:rsidRPr="00EE53E6" w:rsidRDefault="00702601" w:rsidP="00702601">
            <w:pPr>
              <w:spacing w:line="240" w:lineRule="auto"/>
              <w:rPr>
                <w:rFonts w:cs="Arial"/>
                <w:b/>
                <w:szCs w:val="24"/>
              </w:rPr>
            </w:pPr>
            <w:r w:rsidRPr="00EE53E6">
              <w:rPr>
                <w:rFonts w:cs="Arial"/>
                <w:b/>
                <w:szCs w:val="24"/>
              </w:rPr>
              <w:t>Duração</w:t>
            </w:r>
          </w:p>
        </w:tc>
        <w:tc>
          <w:tcPr>
            <w:tcW w:w="1530" w:type="dxa"/>
            <w:tcBorders>
              <w:top w:val="single" w:sz="6" w:space="0" w:color="000000"/>
              <w:left w:val="single" w:sz="6" w:space="0" w:color="000000"/>
              <w:bottom w:val="single" w:sz="6" w:space="0" w:color="000000"/>
              <w:right w:val="single" w:sz="6" w:space="0" w:color="000000"/>
            </w:tcBorders>
            <w:vAlign w:val="center"/>
          </w:tcPr>
          <w:p w:rsidR="00702601" w:rsidRPr="00774441" w:rsidRDefault="00702601" w:rsidP="00702601">
            <w:pPr>
              <w:spacing w:line="240" w:lineRule="auto"/>
              <w:jc w:val="center"/>
              <w:rPr>
                <w:rFonts w:cs="Arial"/>
              </w:rPr>
            </w:pPr>
            <w:r w:rsidRPr="00774441">
              <w:rPr>
                <w:rFonts w:cs="Arial"/>
              </w:rPr>
              <w:t>2 h</w:t>
            </w:r>
          </w:p>
        </w:tc>
      </w:tr>
    </w:tbl>
    <w:p w:rsidR="00702601" w:rsidRPr="00EE53E6" w:rsidRDefault="00702601" w:rsidP="00774441">
      <w:pPr>
        <w:spacing w:line="240" w:lineRule="auto"/>
        <w:outlineLvl w:val="0"/>
        <w:rPr>
          <w:rFonts w:cs="Arial"/>
          <w:b/>
          <w:bCs/>
          <w:lang w:val="pt-PT"/>
        </w:rPr>
      </w:pPr>
    </w:p>
    <w:p w:rsidR="00702601" w:rsidRPr="0052785B" w:rsidRDefault="00702601" w:rsidP="0052785B">
      <w:pPr>
        <w:rPr>
          <w:b/>
          <w:lang w:val="pt-PT"/>
        </w:rPr>
      </w:pPr>
      <w:r w:rsidRPr="0052785B">
        <w:rPr>
          <w:b/>
          <w:lang w:val="pt-PT"/>
        </w:rPr>
        <w:t>Objectivos de Aprendizagem:</w:t>
      </w:r>
    </w:p>
    <w:p w:rsidR="00702601" w:rsidRPr="00EE53E6" w:rsidRDefault="00702601" w:rsidP="00702601">
      <w:pPr>
        <w:jc w:val="both"/>
        <w:rPr>
          <w:rFonts w:cs="Arial"/>
          <w:lang w:val="pt-PT"/>
        </w:rPr>
      </w:pPr>
      <w:r w:rsidRPr="00EE53E6">
        <w:rPr>
          <w:rFonts w:cs="Arial"/>
          <w:lang w:val="pt-PT"/>
        </w:rPr>
        <w:t>Até ao fim da aula os alunos devem ser capazes de:</w:t>
      </w:r>
    </w:p>
    <w:p w:rsidR="00702601" w:rsidRPr="00EE53E6" w:rsidRDefault="00702601" w:rsidP="00702601">
      <w:pPr>
        <w:jc w:val="both"/>
        <w:rPr>
          <w:rFonts w:cs="Arial"/>
          <w:lang w:val="pt-PT"/>
        </w:rPr>
      </w:pPr>
      <w:r w:rsidRPr="00EE53E6">
        <w:rPr>
          <w:rFonts w:cs="Arial"/>
          <w:lang w:val="pt-PT"/>
        </w:rPr>
        <w:t>Sobre o conteúdo “Fungos”:</w:t>
      </w:r>
    </w:p>
    <w:p w:rsidR="00702601" w:rsidRPr="00EE53E6" w:rsidRDefault="00702601" w:rsidP="006E05D4">
      <w:pPr>
        <w:ind w:left="720"/>
        <w:jc w:val="both"/>
        <w:rPr>
          <w:rFonts w:cs="Arial"/>
          <w:lang w:val="pt-PT"/>
        </w:rPr>
      </w:pPr>
      <w:r w:rsidRPr="00EE53E6">
        <w:rPr>
          <w:rFonts w:cs="Arial"/>
          <w:lang w:val="pt-PT"/>
        </w:rPr>
        <w:t>1. Definir e classificar os fungos</w:t>
      </w:r>
    </w:p>
    <w:p w:rsidR="00702601" w:rsidRPr="00EE53E6" w:rsidRDefault="00702601" w:rsidP="006E05D4">
      <w:pPr>
        <w:ind w:left="720"/>
        <w:jc w:val="both"/>
        <w:rPr>
          <w:rFonts w:cs="Arial"/>
          <w:lang w:val="pt-PT"/>
        </w:rPr>
      </w:pPr>
      <w:r w:rsidRPr="00EE53E6">
        <w:rPr>
          <w:rFonts w:cs="Arial"/>
          <w:lang w:val="pt-PT"/>
        </w:rPr>
        <w:t>2. Explicar as características morfológicas dos fungos</w:t>
      </w:r>
    </w:p>
    <w:p w:rsidR="00702601" w:rsidRPr="00EE53E6" w:rsidRDefault="00702601" w:rsidP="006E05D4">
      <w:pPr>
        <w:ind w:left="720"/>
        <w:jc w:val="both"/>
        <w:rPr>
          <w:rFonts w:cs="Arial"/>
          <w:lang w:val="pt-PT"/>
        </w:rPr>
      </w:pPr>
      <w:r w:rsidRPr="00EE53E6">
        <w:rPr>
          <w:rFonts w:cs="Arial"/>
          <w:lang w:val="pt-PT"/>
        </w:rPr>
        <w:t>3. Listar as espécies mais comuns em Moçambique e identificar as patologias associadas a elas</w:t>
      </w:r>
    </w:p>
    <w:p w:rsidR="00702601" w:rsidRPr="00EE53E6" w:rsidRDefault="00702601" w:rsidP="00702601">
      <w:pPr>
        <w:tabs>
          <w:tab w:val="left" w:pos="244"/>
        </w:tabs>
        <w:spacing w:line="240" w:lineRule="auto"/>
        <w:rPr>
          <w:rFonts w:cs="Arial"/>
          <w:lang w:val="pt-PT"/>
        </w:rPr>
      </w:pPr>
    </w:p>
    <w:p w:rsidR="00702601" w:rsidRPr="0052785B" w:rsidRDefault="00702601" w:rsidP="0052785B">
      <w:pPr>
        <w:rPr>
          <w:b/>
        </w:rPr>
      </w:pPr>
      <w:r w:rsidRPr="0052785B">
        <w:rPr>
          <w:b/>
        </w:rPr>
        <w:t>Estrutura da Aula</w:t>
      </w:r>
    </w:p>
    <w:tbl>
      <w:tblPr>
        <w:tblW w:w="10098" w:type="dxa"/>
        <w:tblBorders>
          <w:top w:val="single" w:sz="18" w:space="0" w:color="auto"/>
          <w:bottom w:val="single" w:sz="18" w:space="0" w:color="auto"/>
        </w:tblBorders>
        <w:tblLayout w:type="fixed"/>
        <w:tblLook w:val="0400" w:firstRow="0" w:lastRow="0" w:firstColumn="0" w:lastColumn="0" w:noHBand="0" w:noVBand="1"/>
      </w:tblPr>
      <w:tblGrid>
        <w:gridCol w:w="738"/>
        <w:gridCol w:w="3690"/>
        <w:gridCol w:w="4140"/>
        <w:gridCol w:w="1530"/>
      </w:tblGrid>
      <w:tr w:rsidR="00702601" w:rsidRPr="00EE53E6" w:rsidTr="00702601">
        <w:trPr>
          <w:trHeight w:val="432"/>
        </w:trPr>
        <w:tc>
          <w:tcPr>
            <w:tcW w:w="738" w:type="dxa"/>
            <w:tcBorders>
              <w:top w:val="single" w:sz="18" w:space="0" w:color="auto"/>
              <w:bottom w:val="single" w:sz="18" w:space="0" w:color="auto"/>
              <w:right w:val="single" w:sz="4" w:space="0" w:color="auto"/>
            </w:tcBorders>
            <w:shd w:val="clear" w:color="auto" w:fill="B8CCE4"/>
          </w:tcPr>
          <w:p w:rsidR="00702601" w:rsidRPr="00EE53E6" w:rsidRDefault="00702601" w:rsidP="00702601">
            <w:pPr>
              <w:spacing w:before="60" w:line="720" w:lineRule="auto"/>
              <w:ind w:left="-110" w:right="-108"/>
              <w:jc w:val="center"/>
              <w:rPr>
                <w:rFonts w:cs="Arial"/>
                <w:b/>
                <w:sz w:val="20"/>
                <w:szCs w:val="20"/>
              </w:rPr>
            </w:pPr>
            <w:r w:rsidRPr="00EE53E6">
              <w:rPr>
                <w:rFonts w:cs="Arial"/>
                <w:b/>
                <w:sz w:val="20"/>
                <w:szCs w:val="20"/>
              </w:rPr>
              <w:t>Bloco</w:t>
            </w:r>
          </w:p>
        </w:tc>
        <w:tc>
          <w:tcPr>
            <w:tcW w:w="3690" w:type="dxa"/>
            <w:tcBorders>
              <w:top w:val="single" w:sz="18" w:space="0" w:color="auto"/>
              <w:left w:val="single" w:sz="4" w:space="0" w:color="auto"/>
              <w:bottom w:val="single" w:sz="18" w:space="0" w:color="auto"/>
              <w:right w:val="single" w:sz="4" w:space="0" w:color="auto"/>
            </w:tcBorders>
            <w:shd w:val="clear" w:color="auto" w:fill="B8CCE4"/>
          </w:tcPr>
          <w:p w:rsidR="00702601" w:rsidRPr="00EE53E6" w:rsidRDefault="00702601" w:rsidP="00702601">
            <w:pPr>
              <w:spacing w:before="60" w:line="720" w:lineRule="auto"/>
              <w:jc w:val="center"/>
              <w:rPr>
                <w:rFonts w:cs="Arial"/>
                <w:b/>
                <w:sz w:val="20"/>
                <w:szCs w:val="20"/>
              </w:rPr>
            </w:pPr>
            <w:r w:rsidRPr="00EE53E6">
              <w:rPr>
                <w:rFonts w:cs="Arial"/>
                <w:b/>
                <w:sz w:val="20"/>
                <w:szCs w:val="20"/>
              </w:rPr>
              <w:t>Título do Bloco</w:t>
            </w:r>
          </w:p>
        </w:tc>
        <w:tc>
          <w:tcPr>
            <w:tcW w:w="4140" w:type="dxa"/>
            <w:tcBorders>
              <w:top w:val="single" w:sz="18" w:space="0" w:color="auto"/>
              <w:left w:val="single" w:sz="4" w:space="0" w:color="auto"/>
              <w:bottom w:val="single" w:sz="18" w:space="0" w:color="auto"/>
              <w:right w:val="single" w:sz="4" w:space="0" w:color="auto"/>
            </w:tcBorders>
            <w:shd w:val="clear" w:color="auto" w:fill="B8CCE4"/>
          </w:tcPr>
          <w:p w:rsidR="00702601" w:rsidRPr="00EE53E6" w:rsidRDefault="00702601" w:rsidP="00702601">
            <w:pPr>
              <w:tabs>
                <w:tab w:val="left" w:pos="244"/>
              </w:tabs>
              <w:spacing w:before="60" w:line="720" w:lineRule="auto"/>
              <w:jc w:val="center"/>
              <w:rPr>
                <w:rFonts w:cs="Arial"/>
                <w:b/>
                <w:sz w:val="20"/>
                <w:szCs w:val="20"/>
                <w:lang w:val="pt-BR"/>
              </w:rPr>
            </w:pPr>
            <w:r w:rsidRPr="00EE53E6">
              <w:rPr>
                <w:rFonts w:cs="Arial"/>
                <w:b/>
                <w:sz w:val="20"/>
                <w:szCs w:val="20"/>
              </w:rPr>
              <w:t>M</w:t>
            </w:r>
            <w:r w:rsidRPr="00EE53E6">
              <w:rPr>
                <w:rFonts w:cs="Arial"/>
                <w:b/>
                <w:sz w:val="20"/>
                <w:szCs w:val="20"/>
                <w:lang w:val="pt-BR"/>
              </w:rPr>
              <w:t>étodo de Ensino</w:t>
            </w:r>
          </w:p>
        </w:tc>
        <w:tc>
          <w:tcPr>
            <w:tcW w:w="1530" w:type="dxa"/>
            <w:tcBorders>
              <w:top w:val="single" w:sz="18" w:space="0" w:color="auto"/>
              <w:left w:val="single" w:sz="4" w:space="0" w:color="auto"/>
              <w:bottom w:val="single" w:sz="18" w:space="0" w:color="auto"/>
            </w:tcBorders>
            <w:shd w:val="clear" w:color="auto" w:fill="B8CCE4"/>
          </w:tcPr>
          <w:p w:rsidR="00702601" w:rsidRPr="00EE53E6" w:rsidRDefault="00702601" w:rsidP="00702601">
            <w:pPr>
              <w:tabs>
                <w:tab w:val="left" w:pos="244"/>
              </w:tabs>
              <w:spacing w:before="60" w:line="720" w:lineRule="auto"/>
              <w:jc w:val="center"/>
              <w:rPr>
                <w:rFonts w:cs="Arial"/>
                <w:b/>
                <w:sz w:val="20"/>
                <w:szCs w:val="20"/>
                <w:lang w:val="pt-BR"/>
              </w:rPr>
            </w:pPr>
            <w:r w:rsidRPr="00EE53E6">
              <w:rPr>
                <w:rFonts w:cs="Arial"/>
                <w:b/>
                <w:sz w:val="20"/>
                <w:szCs w:val="20"/>
              </w:rPr>
              <w:t>Duração</w:t>
            </w:r>
          </w:p>
        </w:tc>
      </w:tr>
      <w:tr w:rsidR="00702601" w:rsidRPr="00EE53E6" w:rsidTr="00702601">
        <w:tc>
          <w:tcPr>
            <w:tcW w:w="738" w:type="dxa"/>
            <w:tcBorders>
              <w:top w:val="single" w:sz="18" w:space="0" w:color="auto"/>
              <w:bottom w:val="single" w:sz="4" w:space="0" w:color="auto"/>
              <w:right w:val="single" w:sz="4" w:space="0" w:color="auto"/>
            </w:tcBorders>
          </w:tcPr>
          <w:p w:rsidR="00702601" w:rsidRPr="00EE53E6" w:rsidRDefault="00702601" w:rsidP="00702601">
            <w:pPr>
              <w:spacing w:before="60" w:after="60" w:line="720" w:lineRule="auto"/>
              <w:ind w:left="-110" w:right="-108"/>
              <w:jc w:val="center"/>
              <w:rPr>
                <w:rFonts w:cs="Arial"/>
                <w:sz w:val="20"/>
                <w:szCs w:val="20"/>
              </w:rPr>
            </w:pPr>
            <w:r w:rsidRPr="00EE53E6">
              <w:rPr>
                <w:rFonts w:cs="Arial"/>
                <w:sz w:val="20"/>
                <w:szCs w:val="20"/>
              </w:rPr>
              <w:t>1</w:t>
            </w:r>
          </w:p>
        </w:tc>
        <w:tc>
          <w:tcPr>
            <w:tcW w:w="3690" w:type="dxa"/>
            <w:tcBorders>
              <w:top w:val="single" w:sz="18" w:space="0" w:color="auto"/>
              <w:left w:val="single" w:sz="4" w:space="0" w:color="auto"/>
              <w:bottom w:val="single" w:sz="4" w:space="0" w:color="auto"/>
              <w:right w:val="single" w:sz="4" w:space="0" w:color="auto"/>
            </w:tcBorders>
            <w:vAlign w:val="center"/>
          </w:tcPr>
          <w:p w:rsidR="00702601" w:rsidRPr="00EE53E6" w:rsidRDefault="00702601" w:rsidP="00702601">
            <w:pPr>
              <w:tabs>
                <w:tab w:val="left" w:pos="244"/>
              </w:tabs>
              <w:spacing w:before="60" w:after="60" w:line="720" w:lineRule="auto"/>
              <w:rPr>
                <w:rFonts w:cs="Arial"/>
                <w:sz w:val="20"/>
                <w:szCs w:val="20"/>
              </w:rPr>
            </w:pPr>
            <w:r w:rsidRPr="00EE53E6">
              <w:rPr>
                <w:rFonts w:cs="Arial"/>
                <w:sz w:val="20"/>
                <w:szCs w:val="20"/>
              </w:rPr>
              <w:t>Introdução à Aula</w:t>
            </w:r>
          </w:p>
        </w:tc>
        <w:tc>
          <w:tcPr>
            <w:tcW w:w="4140" w:type="dxa"/>
            <w:tcBorders>
              <w:top w:val="single" w:sz="18" w:space="0" w:color="auto"/>
              <w:left w:val="single" w:sz="4" w:space="0" w:color="auto"/>
              <w:bottom w:val="single" w:sz="4" w:space="0" w:color="auto"/>
              <w:right w:val="single" w:sz="4" w:space="0" w:color="auto"/>
            </w:tcBorders>
          </w:tcPr>
          <w:p w:rsidR="00702601" w:rsidRPr="00EE53E6" w:rsidRDefault="00702601" w:rsidP="00702601">
            <w:pPr>
              <w:tabs>
                <w:tab w:val="left" w:pos="244"/>
              </w:tabs>
              <w:spacing w:before="60" w:after="60" w:line="720" w:lineRule="auto"/>
              <w:rPr>
                <w:rFonts w:cs="Arial"/>
                <w:sz w:val="20"/>
                <w:szCs w:val="20"/>
              </w:rPr>
            </w:pPr>
          </w:p>
        </w:tc>
        <w:tc>
          <w:tcPr>
            <w:tcW w:w="1530" w:type="dxa"/>
            <w:tcBorders>
              <w:top w:val="single" w:sz="18" w:space="0" w:color="auto"/>
              <w:left w:val="single" w:sz="4" w:space="0" w:color="auto"/>
              <w:bottom w:val="single" w:sz="4" w:space="0" w:color="auto"/>
            </w:tcBorders>
          </w:tcPr>
          <w:p w:rsidR="00702601" w:rsidRPr="00EE53E6" w:rsidRDefault="00702601" w:rsidP="00702601">
            <w:pPr>
              <w:tabs>
                <w:tab w:val="left" w:pos="244"/>
              </w:tabs>
              <w:spacing w:before="60" w:after="60" w:line="720" w:lineRule="auto"/>
              <w:jc w:val="right"/>
              <w:rPr>
                <w:rFonts w:cs="Arial"/>
                <w:sz w:val="20"/>
                <w:szCs w:val="20"/>
              </w:rPr>
            </w:pPr>
          </w:p>
        </w:tc>
      </w:tr>
      <w:tr w:rsidR="00702601" w:rsidRPr="00EE53E6" w:rsidTr="00702601">
        <w:tc>
          <w:tcPr>
            <w:tcW w:w="738" w:type="dxa"/>
            <w:tcBorders>
              <w:top w:val="single" w:sz="4" w:space="0" w:color="auto"/>
              <w:bottom w:val="single" w:sz="4" w:space="0" w:color="auto"/>
              <w:right w:val="single" w:sz="4" w:space="0" w:color="auto"/>
            </w:tcBorders>
            <w:shd w:val="clear" w:color="auto" w:fill="D9D9D9"/>
          </w:tcPr>
          <w:p w:rsidR="00702601" w:rsidRPr="00EE53E6" w:rsidRDefault="00702601" w:rsidP="00702601">
            <w:pPr>
              <w:spacing w:before="60" w:after="60" w:line="720" w:lineRule="auto"/>
              <w:ind w:left="-110" w:right="-108"/>
              <w:jc w:val="center"/>
              <w:rPr>
                <w:rFonts w:cs="Arial"/>
                <w:sz w:val="20"/>
                <w:szCs w:val="20"/>
              </w:rPr>
            </w:pPr>
            <w:r w:rsidRPr="00EE53E6">
              <w:rPr>
                <w:rFonts w:cs="Arial"/>
                <w:sz w:val="20"/>
                <w:szCs w:val="20"/>
              </w:rPr>
              <w:t>2</w:t>
            </w:r>
          </w:p>
        </w:tc>
        <w:tc>
          <w:tcPr>
            <w:tcW w:w="3690" w:type="dxa"/>
            <w:tcBorders>
              <w:top w:val="single" w:sz="4" w:space="0" w:color="auto"/>
              <w:left w:val="single" w:sz="4" w:space="0" w:color="auto"/>
              <w:bottom w:val="single" w:sz="4" w:space="0" w:color="auto"/>
              <w:right w:val="single" w:sz="4" w:space="0" w:color="auto"/>
            </w:tcBorders>
            <w:shd w:val="clear" w:color="auto" w:fill="D9D9D9"/>
          </w:tcPr>
          <w:p w:rsidR="00702601" w:rsidRPr="00EE53E6" w:rsidRDefault="00702601" w:rsidP="00702601">
            <w:pPr>
              <w:spacing w:before="60" w:line="720" w:lineRule="auto"/>
              <w:rPr>
                <w:rFonts w:cs="Arial"/>
                <w:iCs/>
                <w:color w:val="000000"/>
                <w:sz w:val="20"/>
                <w:szCs w:val="20"/>
                <w:lang w:val="pt-PT"/>
              </w:rPr>
            </w:pPr>
            <w:r w:rsidRPr="00EE53E6">
              <w:rPr>
                <w:rFonts w:cs="Arial"/>
                <w:iCs/>
                <w:color w:val="000000"/>
                <w:sz w:val="20"/>
                <w:szCs w:val="20"/>
                <w:lang w:val="pt-PT"/>
              </w:rPr>
              <w:t>Características dos Fungos</w:t>
            </w:r>
          </w:p>
        </w:tc>
        <w:tc>
          <w:tcPr>
            <w:tcW w:w="4140" w:type="dxa"/>
            <w:tcBorders>
              <w:top w:val="single" w:sz="4" w:space="0" w:color="auto"/>
              <w:left w:val="single" w:sz="4" w:space="0" w:color="auto"/>
              <w:bottom w:val="single" w:sz="4" w:space="0" w:color="auto"/>
              <w:right w:val="single" w:sz="4" w:space="0" w:color="auto"/>
            </w:tcBorders>
            <w:shd w:val="clear" w:color="auto" w:fill="D9D9D9"/>
          </w:tcPr>
          <w:p w:rsidR="00702601" w:rsidRPr="00EE53E6" w:rsidRDefault="00702601" w:rsidP="00702601">
            <w:pPr>
              <w:spacing w:before="60" w:after="60" w:line="720" w:lineRule="auto"/>
              <w:ind w:left="-18" w:firstLine="18"/>
              <w:rPr>
                <w:rFonts w:cs="Arial"/>
                <w:sz w:val="20"/>
                <w:szCs w:val="20"/>
              </w:rPr>
            </w:pPr>
          </w:p>
        </w:tc>
        <w:tc>
          <w:tcPr>
            <w:tcW w:w="1530" w:type="dxa"/>
            <w:tcBorders>
              <w:top w:val="single" w:sz="4" w:space="0" w:color="auto"/>
              <w:left w:val="single" w:sz="4" w:space="0" w:color="auto"/>
              <w:bottom w:val="single" w:sz="4" w:space="0" w:color="auto"/>
            </w:tcBorders>
            <w:shd w:val="clear" w:color="auto" w:fill="D9D9D9"/>
          </w:tcPr>
          <w:p w:rsidR="00702601" w:rsidRPr="00EE53E6" w:rsidRDefault="00702601" w:rsidP="00702601">
            <w:pPr>
              <w:spacing w:before="60" w:after="60" w:line="720" w:lineRule="auto"/>
              <w:ind w:left="-18" w:firstLine="18"/>
              <w:jc w:val="right"/>
              <w:rPr>
                <w:rFonts w:cs="Arial"/>
                <w:sz w:val="20"/>
                <w:szCs w:val="20"/>
              </w:rPr>
            </w:pPr>
          </w:p>
        </w:tc>
      </w:tr>
      <w:tr w:rsidR="00702601" w:rsidRPr="00EE53E6" w:rsidTr="00702601">
        <w:tc>
          <w:tcPr>
            <w:tcW w:w="738" w:type="dxa"/>
            <w:tcBorders>
              <w:top w:val="single" w:sz="4" w:space="0" w:color="auto"/>
              <w:bottom w:val="single" w:sz="4" w:space="0" w:color="auto"/>
              <w:right w:val="single" w:sz="4" w:space="0" w:color="auto"/>
            </w:tcBorders>
            <w:shd w:val="clear" w:color="auto" w:fill="FFFFFF"/>
          </w:tcPr>
          <w:p w:rsidR="00702601" w:rsidRPr="00EE53E6" w:rsidRDefault="00702601" w:rsidP="00702601">
            <w:pPr>
              <w:spacing w:before="60" w:after="60" w:line="720" w:lineRule="auto"/>
              <w:ind w:left="-110" w:right="-108"/>
              <w:jc w:val="center"/>
              <w:rPr>
                <w:rFonts w:cs="Arial"/>
                <w:sz w:val="20"/>
                <w:szCs w:val="20"/>
              </w:rPr>
            </w:pPr>
            <w:r w:rsidRPr="00EE53E6">
              <w:rPr>
                <w:rFonts w:cs="Arial"/>
                <w:sz w:val="20"/>
                <w:szCs w:val="20"/>
              </w:rPr>
              <w:t>3</w:t>
            </w:r>
          </w:p>
        </w:tc>
        <w:tc>
          <w:tcPr>
            <w:tcW w:w="3690" w:type="dxa"/>
            <w:tcBorders>
              <w:top w:val="single" w:sz="4" w:space="0" w:color="auto"/>
              <w:left w:val="single" w:sz="4" w:space="0" w:color="auto"/>
              <w:bottom w:val="single" w:sz="4" w:space="0" w:color="auto"/>
              <w:right w:val="single" w:sz="4" w:space="0" w:color="auto"/>
            </w:tcBorders>
            <w:shd w:val="clear" w:color="auto" w:fill="FFFFFF"/>
          </w:tcPr>
          <w:p w:rsidR="00702601" w:rsidRPr="00EE53E6" w:rsidRDefault="00702601" w:rsidP="00702601">
            <w:pPr>
              <w:spacing w:before="60" w:line="720" w:lineRule="auto"/>
              <w:rPr>
                <w:rFonts w:cs="Arial"/>
                <w:iCs/>
                <w:color w:val="000000"/>
                <w:sz w:val="20"/>
                <w:szCs w:val="20"/>
                <w:lang w:val="pt-PT"/>
              </w:rPr>
            </w:pPr>
            <w:r w:rsidRPr="00EE53E6">
              <w:rPr>
                <w:rFonts w:cs="Arial"/>
                <w:iCs/>
                <w:color w:val="000000"/>
                <w:sz w:val="20"/>
                <w:szCs w:val="20"/>
                <w:lang w:val="pt-PT"/>
              </w:rPr>
              <w:t xml:space="preserve">Classificação das Micoses </w:t>
            </w:r>
          </w:p>
        </w:tc>
        <w:tc>
          <w:tcPr>
            <w:tcW w:w="4140" w:type="dxa"/>
            <w:tcBorders>
              <w:top w:val="single" w:sz="4" w:space="0" w:color="auto"/>
              <w:left w:val="single" w:sz="4" w:space="0" w:color="auto"/>
              <w:bottom w:val="single" w:sz="4" w:space="0" w:color="auto"/>
              <w:right w:val="single" w:sz="4" w:space="0" w:color="auto"/>
            </w:tcBorders>
            <w:shd w:val="clear" w:color="auto" w:fill="FFFFFF"/>
          </w:tcPr>
          <w:p w:rsidR="00702601" w:rsidRPr="00EE53E6" w:rsidRDefault="00702601" w:rsidP="00702601">
            <w:pPr>
              <w:spacing w:before="60" w:after="60" w:line="720" w:lineRule="auto"/>
              <w:ind w:left="-18" w:firstLine="18"/>
              <w:rPr>
                <w:rFonts w:cs="Arial"/>
                <w:sz w:val="20"/>
                <w:szCs w:val="20"/>
              </w:rPr>
            </w:pPr>
          </w:p>
        </w:tc>
        <w:tc>
          <w:tcPr>
            <w:tcW w:w="1530" w:type="dxa"/>
            <w:tcBorders>
              <w:top w:val="single" w:sz="4" w:space="0" w:color="auto"/>
              <w:left w:val="single" w:sz="4" w:space="0" w:color="auto"/>
              <w:bottom w:val="single" w:sz="4" w:space="0" w:color="auto"/>
            </w:tcBorders>
            <w:shd w:val="clear" w:color="auto" w:fill="FFFFFF"/>
          </w:tcPr>
          <w:p w:rsidR="00702601" w:rsidRPr="00EE53E6" w:rsidRDefault="00702601" w:rsidP="00702601">
            <w:pPr>
              <w:spacing w:before="60" w:after="60" w:line="720" w:lineRule="auto"/>
              <w:ind w:left="-18" w:firstLine="18"/>
              <w:jc w:val="right"/>
              <w:rPr>
                <w:rFonts w:cs="Arial"/>
                <w:sz w:val="20"/>
                <w:szCs w:val="20"/>
              </w:rPr>
            </w:pPr>
          </w:p>
        </w:tc>
      </w:tr>
      <w:tr w:rsidR="00702601" w:rsidRPr="00EE53E6" w:rsidTr="00702601">
        <w:tc>
          <w:tcPr>
            <w:tcW w:w="738" w:type="dxa"/>
            <w:tcBorders>
              <w:top w:val="single" w:sz="4" w:space="0" w:color="auto"/>
              <w:bottom w:val="single" w:sz="4" w:space="0" w:color="auto"/>
              <w:right w:val="single" w:sz="4" w:space="0" w:color="auto"/>
            </w:tcBorders>
            <w:shd w:val="clear" w:color="auto" w:fill="D9D9D9"/>
          </w:tcPr>
          <w:p w:rsidR="00702601" w:rsidRPr="00EE53E6" w:rsidRDefault="00702601" w:rsidP="00702601">
            <w:pPr>
              <w:spacing w:before="60" w:after="60" w:line="720" w:lineRule="auto"/>
              <w:ind w:left="-110" w:right="-108"/>
              <w:jc w:val="center"/>
              <w:rPr>
                <w:rFonts w:cs="Arial"/>
                <w:sz w:val="20"/>
                <w:szCs w:val="20"/>
              </w:rPr>
            </w:pPr>
            <w:r w:rsidRPr="00EE53E6">
              <w:rPr>
                <w:rFonts w:cs="Arial"/>
                <w:sz w:val="20"/>
                <w:szCs w:val="20"/>
              </w:rPr>
              <w:t>4</w:t>
            </w:r>
          </w:p>
        </w:tc>
        <w:tc>
          <w:tcPr>
            <w:tcW w:w="3690" w:type="dxa"/>
            <w:tcBorders>
              <w:top w:val="single" w:sz="4" w:space="0" w:color="auto"/>
              <w:left w:val="single" w:sz="4" w:space="0" w:color="auto"/>
              <w:bottom w:val="single" w:sz="4" w:space="0" w:color="auto"/>
              <w:right w:val="single" w:sz="4" w:space="0" w:color="auto"/>
            </w:tcBorders>
            <w:shd w:val="clear" w:color="auto" w:fill="D9D9D9"/>
          </w:tcPr>
          <w:p w:rsidR="00702601" w:rsidRPr="00EE53E6" w:rsidRDefault="00702601" w:rsidP="00702601">
            <w:pPr>
              <w:spacing w:before="60" w:line="720" w:lineRule="auto"/>
              <w:rPr>
                <w:rFonts w:cs="Arial"/>
                <w:iCs/>
                <w:color w:val="000000"/>
                <w:sz w:val="20"/>
                <w:szCs w:val="20"/>
                <w:lang w:val="pt-PT"/>
              </w:rPr>
            </w:pPr>
            <w:r w:rsidRPr="00EE53E6">
              <w:rPr>
                <w:rFonts w:cs="Arial"/>
                <w:iCs/>
                <w:color w:val="000000"/>
                <w:sz w:val="20"/>
                <w:szCs w:val="20"/>
                <w:lang w:val="pt-PT"/>
              </w:rPr>
              <w:t xml:space="preserve">Dermatófitos </w:t>
            </w:r>
          </w:p>
        </w:tc>
        <w:tc>
          <w:tcPr>
            <w:tcW w:w="4140" w:type="dxa"/>
            <w:tcBorders>
              <w:top w:val="single" w:sz="4" w:space="0" w:color="auto"/>
              <w:left w:val="single" w:sz="4" w:space="0" w:color="auto"/>
              <w:bottom w:val="single" w:sz="4" w:space="0" w:color="auto"/>
              <w:right w:val="single" w:sz="4" w:space="0" w:color="auto"/>
            </w:tcBorders>
            <w:shd w:val="clear" w:color="auto" w:fill="D9D9D9"/>
          </w:tcPr>
          <w:p w:rsidR="00702601" w:rsidRPr="00EE53E6" w:rsidRDefault="00702601" w:rsidP="00702601">
            <w:pPr>
              <w:spacing w:before="60" w:after="60" w:line="720" w:lineRule="auto"/>
              <w:ind w:left="-18" w:firstLine="18"/>
              <w:rPr>
                <w:rFonts w:cs="Arial"/>
                <w:sz w:val="20"/>
                <w:szCs w:val="20"/>
              </w:rPr>
            </w:pPr>
          </w:p>
        </w:tc>
        <w:tc>
          <w:tcPr>
            <w:tcW w:w="1530" w:type="dxa"/>
            <w:tcBorders>
              <w:top w:val="single" w:sz="4" w:space="0" w:color="auto"/>
              <w:left w:val="single" w:sz="4" w:space="0" w:color="auto"/>
              <w:bottom w:val="single" w:sz="4" w:space="0" w:color="auto"/>
            </w:tcBorders>
            <w:shd w:val="clear" w:color="auto" w:fill="D9D9D9"/>
          </w:tcPr>
          <w:p w:rsidR="00702601" w:rsidRPr="00EE53E6" w:rsidRDefault="00702601" w:rsidP="00702601">
            <w:pPr>
              <w:spacing w:before="60" w:after="60" w:line="720" w:lineRule="auto"/>
              <w:ind w:left="-18" w:firstLine="18"/>
              <w:jc w:val="right"/>
              <w:rPr>
                <w:rFonts w:cs="Arial"/>
                <w:sz w:val="20"/>
                <w:szCs w:val="20"/>
              </w:rPr>
            </w:pPr>
          </w:p>
        </w:tc>
      </w:tr>
      <w:tr w:rsidR="00702601" w:rsidRPr="00EE53E6" w:rsidTr="00702601">
        <w:tc>
          <w:tcPr>
            <w:tcW w:w="738" w:type="dxa"/>
            <w:tcBorders>
              <w:top w:val="single" w:sz="4" w:space="0" w:color="auto"/>
              <w:bottom w:val="single" w:sz="4" w:space="0" w:color="auto"/>
              <w:right w:val="single" w:sz="4" w:space="0" w:color="auto"/>
            </w:tcBorders>
            <w:shd w:val="clear" w:color="auto" w:fill="FFFFFF"/>
          </w:tcPr>
          <w:p w:rsidR="00702601" w:rsidRPr="00EE53E6" w:rsidRDefault="00702601" w:rsidP="00702601">
            <w:pPr>
              <w:spacing w:before="60" w:after="60" w:line="720" w:lineRule="auto"/>
              <w:ind w:left="-110" w:right="-108"/>
              <w:jc w:val="center"/>
              <w:rPr>
                <w:rFonts w:cs="Arial"/>
                <w:sz w:val="20"/>
                <w:szCs w:val="20"/>
              </w:rPr>
            </w:pPr>
            <w:r w:rsidRPr="00EE53E6">
              <w:rPr>
                <w:rFonts w:cs="Arial"/>
                <w:sz w:val="20"/>
                <w:szCs w:val="20"/>
              </w:rPr>
              <w:t>5</w:t>
            </w:r>
          </w:p>
        </w:tc>
        <w:tc>
          <w:tcPr>
            <w:tcW w:w="3690" w:type="dxa"/>
            <w:tcBorders>
              <w:top w:val="single" w:sz="4" w:space="0" w:color="auto"/>
              <w:left w:val="single" w:sz="4" w:space="0" w:color="auto"/>
              <w:bottom w:val="single" w:sz="4" w:space="0" w:color="auto"/>
              <w:right w:val="single" w:sz="4" w:space="0" w:color="auto"/>
            </w:tcBorders>
            <w:shd w:val="clear" w:color="auto" w:fill="FFFFFF"/>
          </w:tcPr>
          <w:p w:rsidR="00702601" w:rsidRPr="00EE53E6" w:rsidRDefault="00702601" w:rsidP="00702601">
            <w:pPr>
              <w:spacing w:before="60" w:line="720" w:lineRule="auto"/>
              <w:rPr>
                <w:rFonts w:cs="Arial"/>
                <w:iCs/>
                <w:color w:val="000000"/>
                <w:sz w:val="20"/>
                <w:szCs w:val="20"/>
                <w:lang w:val="pt-PT"/>
              </w:rPr>
            </w:pPr>
            <w:r w:rsidRPr="00EE53E6">
              <w:rPr>
                <w:rFonts w:cs="Arial"/>
                <w:iCs/>
                <w:color w:val="000000"/>
                <w:sz w:val="20"/>
                <w:szCs w:val="20"/>
                <w:lang w:val="pt-PT"/>
              </w:rPr>
              <w:t xml:space="preserve">Cândidas </w:t>
            </w:r>
          </w:p>
        </w:tc>
        <w:tc>
          <w:tcPr>
            <w:tcW w:w="4140" w:type="dxa"/>
            <w:tcBorders>
              <w:top w:val="single" w:sz="4" w:space="0" w:color="auto"/>
              <w:left w:val="single" w:sz="4" w:space="0" w:color="auto"/>
              <w:bottom w:val="single" w:sz="4" w:space="0" w:color="auto"/>
              <w:right w:val="single" w:sz="4" w:space="0" w:color="auto"/>
            </w:tcBorders>
            <w:shd w:val="clear" w:color="auto" w:fill="FFFFFF"/>
          </w:tcPr>
          <w:p w:rsidR="00702601" w:rsidRPr="00EE53E6" w:rsidRDefault="00702601" w:rsidP="00702601">
            <w:pPr>
              <w:spacing w:before="60" w:after="60" w:line="720" w:lineRule="auto"/>
              <w:ind w:left="-18" w:firstLine="18"/>
              <w:rPr>
                <w:rFonts w:cs="Arial"/>
                <w:sz w:val="20"/>
                <w:szCs w:val="20"/>
              </w:rPr>
            </w:pPr>
          </w:p>
        </w:tc>
        <w:tc>
          <w:tcPr>
            <w:tcW w:w="1530" w:type="dxa"/>
            <w:tcBorders>
              <w:top w:val="single" w:sz="4" w:space="0" w:color="auto"/>
              <w:left w:val="single" w:sz="4" w:space="0" w:color="auto"/>
              <w:bottom w:val="single" w:sz="4" w:space="0" w:color="auto"/>
            </w:tcBorders>
            <w:shd w:val="clear" w:color="auto" w:fill="FFFFFF"/>
          </w:tcPr>
          <w:p w:rsidR="00702601" w:rsidRPr="00EE53E6" w:rsidRDefault="00702601" w:rsidP="00702601">
            <w:pPr>
              <w:spacing w:before="60" w:after="60" w:line="720" w:lineRule="auto"/>
              <w:ind w:left="-18" w:firstLine="18"/>
              <w:jc w:val="right"/>
              <w:rPr>
                <w:rFonts w:cs="Arial"/>
                <w:sz w:val="20"/>
                <w:szCs w:val="20"/>
              </w:rPr>
            </w:pPr>
          </w:p>
        </w:tc>
      </w:tr>
      <w:tr w:rsidR="00702601" w:rsidRPr="00EE53E6" w:rsidTr="00702601">
        <w:tc>
          <w:tcPr>
            <w:tcW w:w="738" w:type="dxa"/>
            <w:tcBorders>
              <w:top w:val="single" w:sz="4" w:space="0" w:color="auto"/>
              <w:bottom w:val="single" w:sz="4" w:space="0" w:color="auto"/>
              <w:right w:val="single" w:sz="4" w:space="0" w:color="auto"/>
            </w:tcBorders>
            <w:shd w:val="clear" w:color="auto" w:fill="D9D9D9"/>
          </w:tcPr>
          <w:p w:rsidR="00702601" w:rsidRPr="00EE53E6" w:rsidRDefault="00702601" w:rsidP="00702601">
            <w:pPr>
              <w:spacing w:before="60" w:after="60" w:line="720" w:lineRule="auto"/>
              <w:ind w:left="-110" w:right="-108"/>
              <w:jc w:val="center"/>
              <w:rPr>
                <w:rFonts w:cs="Arial"/>
                <w:sz w:val="20"/>
                <w:szCs w:val="20"/>
              </w:rPr>
            </w:pPr>
            <w:r w:rsidRPr="00EE53E6">
              <w:rPr>
                <w:rFonts w:cs="Arial"/>
                <w:sz w:val="20"/>
                <w:szCs w:val="20"/>
              </w:rPr>
              <w:t>6</w:t>
            </w:r>
          </w:p>
        </w:tc>
        <w:tc>
          <w:tcPr>
            <w:tcW w:w="3690" w:type="dxa"/>
            <w:tcBorders>
              <w:top w:val="single" w:sz="4" w:space="0" w:color="auto"/>
              <w:left w:val="single" w:sz="4" w:space="0" w:color="auto"/>
              <w:bottom w:val="single" w:sz="4" w:space="0" w:color="auto"/>
              <w:right w:val="single" w:sz="4" w:space="0" w:color="auto"/>
            </w:tcBorders>
            <w:shd w:val="clear" w:color="auto" w:fill="D9D9D9"/>
          </w:tcPr>
          <w:p w:rsidR="00702601" w:rsidRPr="00EE53E6" w:rsidRDefault="00702601" w:rsidP="00702601">
            <w:pPr>
              <w:spacing w:before="60" w:line="720" w:lineRule="auto"/>
              <w:rPr>
                <w:rFonts w:cs="Arial"/>
                <w:iCs/>
                <w:color w:val="000000"/>
                <w:sz w:val="20"/>
                <w:szCs w:val="20"/>
                <w:lang w:val="pt-PT"/>
              </w:rPr>
            </w:pPr>
            <w:r w:rsidRPr="00EE53E6">
              <w:rPr>
                <w:rFonts w:cs="Arial"/>
                <w:iCs/>
                <w:color w:val="000000"/>
                <w:sz w:val="20"/>
                <w:szCs w:val="20"/>
                <w:lang w:val="pt-PT"/>
              </w:rPr>
              <w:t xml:space="preserve">Micoses Sistêmicas </w:t>
            </w:r>
          </w:p>
        </w:tc>
        <w:tc>
          <w:tcPr>
            <w:tcW w:w="4140" w:type="dxa"/>
            <w:tcBorders>
              <w:top w:val="single" w:sz="4" w:space="0" w:color="auto"/>
              <w:left w:val="single" w:sz="4" w:space="0" w:color="auto"/>
              <w:bottom w:val="single" w:sz="4" w:space="0" w:color="auto"/>
              <w:right w:val="single" w:sz="4" w:space="0" w:color="auto"/>
            </w:tcBorders>
            <w:shd w:val="clear" w:color="auto" w:fill="D9D9D9"/>
          </w:tcPr>
          <w:p w:rsidR="00702601" w:rsidRPr="00EE53E6" w:rsidRDefault="00702601" w:rsidP="00702601">
            <w:pPr>
              <w:spacing w:before="60" w:after="60" w:line="720" w:lineRule="auto"/>
              <w:ind w:left="-18" w:firstLine="18"/>
              <w:rPr>
                <w:rFonts w:cs="Arial"/>
                <w:sz w:val="20"/>
                <w:szCs w:val="20"/>
              </w:rPr>
            </w:pPr>
          </w:p>
        </w:tc>
        <w:tc>
          <w:tcPr>
            <w:tcW w:w="1530" w:type="dxa"/>
            <w:tcBorders>
              <w:top w:val="single" w:sz="4" w:space="0" w:color="auto"/>
              <w:left w:val="single" w:sz="4" w:space="0" w:color="auto"/>
              <w:bottom w:val="single" w:sz="4" w:space="0" w:color="auto"/>
            </w:tcBorders>
            <w:shd w:val="clear" w:color="auto" w:fill="D9D9D9"/>
          </w:tcPr>
          <w:p w:rsidR="00702601" w:rsidRPr="00EE53E6" w:rsidRDefault="00702601" w:rsidP="00702601">
            <w:pPr>
              <w:spacing w:before="60" w:after="60" w:line="720" w:lineRule="auto"/>
              <w:ind w:left="-18" w:firstLine="18"/>
              <w:jc w:val="right"/>
              <w:rPr>
                <w:rFonts w:cs="Arial"/>
                <w:sz w:val="20"/>
                <w:szCs w:val="20"/>
              </w:rPr>
            </w:pPr>
          </w:p>
        </w:tc>
      </w:tr>
      <w:tr w:rsidR="00702601" w:rsidRPr="00EE53E6" w:rsidTr="00702601">
        <w:tc>
          <w:tcPr>
            <w:tcW w:w="738" w:type="dxa"/>
            <w:tcBorders>
              <w:top w:val="single" w:sz="4" w:space="0" w:color="auto"/>
              <w:bottom w:val="single" w:sz="18" w:space="0" w:color="auto"/>
              <w:right w:val="single" w:sz="4" w:space="0" w:color="auto"/>
            </w:tcBorders>
            <w:shd w:val="clear" w:color="auto" w:fill="auto"/>
          </w:tcPr>
          <w:p w:rsidR="00702601" w:rsidRPr="00EE53E6" w:rsidRDefault="00702601" w:rsidP="00702601">
            <w:pPr>
              <w:spacing w:before="60" w:after="60" w:line="720" w:lineRule="auto"/>
              <w:ind w:left="-110" w:right="-108"/>
              <w:jc w:val="center"/>
              <w:rPr>
                <w:rFonts w:cs="Arial"/>
                <w:sz w:val="20"/>
                <w:szCs w:val="20"/>
              </w:rPr>
            </w:pPr>
            <w:r w:rsidRPr="00EE53E6">
              <w:rPr>
                <w:rFonts w:cs="Arial"/>
                <w:sz w:val="20"/>
                <w:szCs w:val="20"/>
              </w:rPr>
              <w:t>7</w:t>
            </w:r>
          </w:p>
        </w:tc>
        <w:tc>
          <w:tcPr>
            <w:tcW w:w="3690" w:type="dxa"/>
            <w:tcBorders>
              <w:top w:val="single" w:sz="4" w:space="0" w:color="auto"/>
              <w:left w:val="single" w:sz="4" w:space="0" w:color="auto"/>
              <w:bottom w:val="single" w:sz="18" w:space="0" w:color="auto"/>
              <w:right w:val="single" w:sz="4" w:space="0" w:color="auto"/>
            </w:tcBorders>
            <w:shd w:val="clear" w:color="auto" w:fill="auto"/>
            <w:vAlign w:val="center"/>
          </w:tcPr>
          <w:p w:rsidR="00702601" w:rsidRPr="00EE53E6" w:rsidRDefault="00702601" w:rsidP="00702601">
            <w:pPr>
              <w:tabs>
                <w:tab w:val="left" w:pos="244"/>
              </w:tabs>
              <w:spacing w:before="60" w:after="60" w:line="720" w:lineRule="auto"/>
              <w:rPr>
                <w:rFonts w:cs="Arial"/>
                <w:i/>
                <w:iCs/>
                <w:sz w:val="20"/>
                <w:szCs w:val="20"/>
              </w:rPr>
            </w:pPr>
            <w:r w:rsidRPr="00EE53E6">
              <w:rPr>
                <w:rFonts w:cs="Arial"/>
                <w:sz w:val="20"/>
                <w:szCs w:val="20"/>
              </w:rPr>
              <w:t xml:space="preserve">Pontos-chave </w:t>
            </w:r>
          </w:p>
        </w:tc>
        <w:tc>
          <w:tcPr>
            <w:tcW w:w="4140" w:type="dxa"/>
            <w:tcBorders>
              <w:top w:val="single" w:sz="4" w:space="0" w:color="auto"/>
              <w:left w:val="single" w:sz="4" w:space="0" w:color="auto"/>
              <w:bottom w:val="single" w:sz="18" w:space="0" w:color="auto"/>
              <w:right w:val="single" w:sz="4" w:space="0" w:color="auto"/>
            </w:tcBorders>
            <w:shd w:val="clear" w:color="auto" w:fill="auto"/>
          </w:tcPr>
          <w:p w:rsidR="00702601" w:rsidRPr="00EE53E6" w:rsidRDefault="00702601" w:rsidP="00702601">
            <w:pPr>
              <w:spacing w:before="60" w:after="60" w:line="720" w:lineRule="auto"/>
              <w:ind w:left="-18" w:firstLine="18"/>
              <w:rPr>
                <w:rFonts w:cs="Arial"/>
                <w:sz w:val="20"/>
                <w:szCs w:val="20"/>
              </w:rPr>
            </w:pPr>
          </w:p>
        </w:tc>
        <w:tc>
          <w:tcPr>
            <w:tcW w:w="1530" w:type="dxa"/>
            <w:tcBorders>
              <w:top w:val="single" w:sz="4" w:space="0" w:color="auto"/>
              <w:left w:val="single" w:sz="4" w:space="0" w:color="auto"/>
              <w:bottom w:val="single" w:sz="18" w:space="0" w:color="auto"/>
            </w:tcBorders>
            <w:shd w:val="clear" w:color="auto" w:fill="auto"/>
          </w:tcPr>
          <w:p w:rsidR="00702601" w:rsidRPr="00EE53E6" w:rsidRDefault="00702601" w:rsidP="00702601">
            <w:pPr>
              <w:spacing w:before="60" w:after="60" w:line="720" w:lineRule="auto"/>
              <w:ind w:left="-18" w:firstLine="18"/>
              <w:jc w:val="right"/>
              <w:rPr>
                <w:rFonts w:cs="Arial"/>
                <w:sz w:val="20"/>
                <w:szCs w:val="20"/>
              </w:rPr>
            </w:pPr>
          </w:p>
        </w:tc>
      </w:tr>
    </w:tbl>
    <w:p w:rsidR="00702601" w:rsidRPr="00EE53E6" w:rsidRDefault="00702601" w:rsidP="00702601">
      <w:pPr>
        <w:tabs>
          <w:tab w:val="left" w:pos="424"/>
        </w:tabs>
        <w:jc w:val="both"/>
        <w:rPr>
          <w:rFonts w:cs="Arial"/>
          <w:b/>
          <w:lang w:val="pt-BR"/>
        </w:rPr>
      </w:pPr>
    </w:p>
    <w:p w:rsidR="00702601" w:rsidRDefault="00702601" w:rsidP="00702601">
      <w:pPr>
        <w:tabs>
          <w:tab w:val="left" w:pos="244"/>
        </w:tabs>
        <w:spacing w:line="240" w:lineRule="auto"/>
        <w:rPr>
          <w:rFonts w:cs="Arial"/>
          <w:lang w:val="pt-PT"/>
        </w:rPr>
      </w:pPr>
    </w:p>
    <w:p w:rsidR="00F8000A" w:rsidRPr="00EE53E6" w:rsidRDefault="00F8000A" w:rsidP="00702601">
      <w:pPr>
        <w:tabs>
          <w:tab w:val="left" w:pos="244"/>
        </w:tabs>
        <w:spacing w:line="240" w:lineRule="auto"/>
        <w:rPr>
          <w:rFonts w:cs="Arial"/>
          <w:lang w:val="pt-PT"/>
        </w:rPr>
      </w:pPr>
    </w:p>
    <w:p w:rsidR="00702601" w:rsidRPr="00EE53E6" w:rsidRDefault="00702601" w:rsidP="00702601">
      <w:pPr>
        <w:tabs>
          <w:tab w:val="left" w:pos="424"/>
        </w:tabs>
        <w:jc w:val="both"/>
        <w:rPr>
          <w:rFonts w:cs="Arial"/>
          <w:b/>
          <w:lang w:val="pt-BR"/>
        </w:rPr>
      </w:pPr>
      <w:r w:rsidRPr="00EE53E6">
        <w:rPr>
          <w:rFonts w:cs="Arial"/>
          <w:b/>
          <w:lang w:val="pt-BR"/>
        </w:rPr>
        <w:lastRenderedPageBreak/>
        <w:t>Equipamentos e meios audiovisuais necessários:</w:t>
      </w:r>
    </w:p>
    <w:p w:rsidR="00702601" w:rsidRPr="00EE53E6" w:rsidRDefault="00702601" w:rsidP="00702601">
      <w:pPr>
        <w:tabs>
          <w:tab w:val="left" w:pos="424"/>
        </w:tabs>
        <w:jc w:val="both"/>
        <w:rPr>
          <w:rFonts w:cs="Arial"/>
          <w:lang w:val="pt-BR"/>
        </w:rPr>
      </w:pPr>
    </w:p>
    <w:p w:rsidR="00702601" w:rsidRDefault="00702601" w:rsidP="00702601">
      <w:pPr>
        <w:tabs>
          <w:tab w:val="left" w:pos="424"/>
        </w:tabs>
        <w:jc w:val="both"/>
        <w:rPr>
          <w:rFonts w:cs="Arial"/>
          <w:lang w:val="pt-BR"/>
        </w:rPr>
      </w:pPr>
    </w:p>
    <w:p w:rsidR="00F8000A" w:rsidRDefault="00F8000A" w:rsidP="00702601">
      <w:pPr>
        <w:tabs>
          <w:tab w:val="left" w:pos="424"/>
        </w:tabs>
        <w:jc w:val="both"/>
        <w:rPr>
          <w:rFonts w:cs="Arial"/>
          <w:lang w:val="pt-BR"/>
        </w:rPr>
      </w:pPr>
    </w:p>
    <w:p w:rsidR="00F8000A" w:rsidRDefault="00F8000A" w:rsidP="00702601">
      <w:pPr>
        <w:tabs>
          <w:tab w:val="left" w:pos="424"/>
        </w:tabs>
        <w:jc w:val="both"/>
        <w:rPr>
          <w:rFonts w:cs="Arial"/>
          <w:lang w:val="pt-BR"/>
        </w:rPr>
      </w:pPr>
    </w:p>
    <w:p w:rsidR="00774441" w:rsidRDefault="00774441" w:rsidP="00702601">
      <w:pPr>
        <w:tabs>
          <w:tab w:val="left" w:pos="424"/>
        </w:tabs>
        <w:jc w:val="both"/>
        <w:rPr>
          <w:rFonts w:cs="Arial"/>
          <w:lang w:val="pt-BR"/>
        </w:rPr>
      </w:pPr>
    </w:p>
    <w:p w:rsidR="00774441" w:rsidRDefault="00774441" w:rsidP="00702601">
      <w:pPr>
        <w:tabs>
          <w:tab w:val="left" w:pos="424"/>
        </w:tabs>
        <w:jc w:val="both"/>
        <w:rPr>
          <w:rFonts w:cs="Arial"/>
          <w:lang w:val="pt-BR"/>
        </w:rPr>
      </w:pPr>
    </w:p>
    <w:p w:rsidR="00774441" w:rsidRDefault="00774441" w:rsidP="00702601">
      <w:pPr>
        <w:tabs>
          <w:tab w:val="left" w:pos="424"/>
        </w:tabs>
        <w:jc w:val="both"/>
        <w:rPr>
          <w:rFonts w:cs="Arial"/>
          <w:lang w:val="pt-BR"/>
        </w:rPr>
      </w:pPr>
    </w:p>
    <w:p w:rsidR="00702601" w:rsidRPr="00EE53E6" w:rsidRDefault="00702601" w:rsidP="00702601">
      <w:pPr>
        <w:tabs>
          <w:tab w:val="left" w:pos="424"/>
        </w:tabs>
        <w:jc w:val="both"/>
        <w:rPr>
          <w:rFonts w:cs="Arial"/>
          <w:lang w:val="pt-BR"/>
        </w:rPr>
      </w:pPr>
    </w:p>
    <w:p w:rsidR="00702601" w:rsidRPr="00EE53E6" w:rsidRDefault="00702601" w:rsidP="00702601">
      <w:pPr>
        <w:tabs>
          <w:tab w:val="left" w:pos="424"/>
        </w:tabs>
        <w:jc w:val="both"/>
        <w:rPr>
          <w:rFonts w:cs="Arial"/>
          <w:lang w:val="pt-BR"/>
        </w:rPr>
      </w:pPr>
      <w:r w:rsidRPr="00EE53E6">
        <w:rPr>
          <w:rFonts w:cs="Arial"/>
          <w:b/>
          <w:lang w:val="pt-BR"/>
        </w:rPr>
        <w:t>Trabalhos para casa (TPC), Exercícios e textos para leitura – incluir data a ser entregue:</w:t>
      </w:r>
      <w:r w:rsidRPr="00EE53E6">
        <w:rPr>
          <w:rFonts w:cs="Arial"/>
          <w:lang w:val="pt-BR"/>
        </w:rPr>
        <w:t xml:space="preserve"> </w:t>
      </w:r>
    </w:p>
    <w:p w:rsidR="00702601" w:rsidRDefault="00702601" w:rsidP="00702601">
      <w:pPr>
        <w:tabs>
          <w:tab w:val="left" w:pos="424"/>
        </w:tabs>
        <w:jc w:val="both"/>
        <w:rPr>
          <w:rFonts w:cs="Arial"/>
          <w:lang w:val="pt-BR"/>
        </w:rPr>
      </w:pPr>
    </w:p>
    <w:p w:rsidR="00F8000A" w:rsidRDefault="00F8000A" w:rsidP="00702601">
      <w:pPr>
        <w:tabs>
          <w:tab w:val="left" w:pos="424"/>
        </w:tabs>
        <w:jc w:val="both"/>
        <w:rPr>
          <w:rFonts w:cs="Arial"/>
          <w:lang w:val="pt-BR"/>
        </w:rPr>
      </w:pPr>
    </w:p>
    <w:p w:rsidR="00F8000A" w:rsidRPr="00EE53E6" w:rsidRDefault="00F8000A" w:rsidP="00702601">
      <w:pPr>
        <w:tabs>
          <w:tab w:val="left" w:pos="424"/>
        </w:tabs>
        <w:jc w:val="both"/>
        <w:rPr>
          <w:rFonts w:cs="Arial"/>
          <w:lang w:val="pt-BR"/>
        </w:rPr>
      </w:pPr>
    </w:p>
    <w:p w:rsidR="00702601" w:rsidRDefault="00702601" w:rsidP="00702601">
      <w:pPr>
        <w:tabs>
          <w:tab w:val="left" w:pos="424"/>
        </w:tabs>
        <w:jc w:val="both"/>
        <w:rPr>
          <w:rFonts w:cs="Arial"/>
          <w:lang w:val="pt-BR"/>
        </w:rPr>
      </w:pPr>
    </w:p>
    <w:p w:rsidR="00702601" w:rsidRDefault="00702601" w:rsidP="00702601">
      <w:pPr>
        <w:tabs>
          <w:tab w:val="left" w:pos="424"/>
        </w:tabs>
        <w:jc w:val="both"/>
        <w:rPr>
          <w:rFonts w:cs="Arial"/>
          <w:lang w:val="pt-BR"/>
        </w:rPr>
      </w:pPr>
    </w:p>
    <w:p w:rsidR="00702601" w:rsidRDefault="00702601" w:rsidP="00702601">
      <w:pPr>
        <w:tabs>
          <w:tab w:val="left" w:pos="424"/>
        </w:tabs>
        <w:jc w:val="both"/>
        <w:rPr>
          <w:rFonts w:cs="Arial"/>
          <w:lang w:val="pt-BR"/>
        </w:rPr>
      </w:pPr>
    </w:p>
    <w:p w:rsidR="00774441" w:rsidRDefault="00774441" w:rsidP="00702601">
      <w:pPr>
        <w:tabs>
          <w:tab w:val="left" w:pos="424"/>
        </w:tabs>
        <w:jc w:val="both"/>
        <w:rPr>
          <w:rFonts w:cs="Arial"/>
          <w:lang w:val="pt-BR"/>
        </w:rPr>
      </w:pPr>
    </w:p>
    <w:p w:rsidR="00774441" w:rsidRDefault="00774441" w:rsidP="00702601">
      <w:pPr>
        <w:tabs>
          <w:tab w:val="left" w:pos="424"/>
        </w:tabs>
        <w:jc w:val="both"/>
        <w:rPr>
          <w:rFonts w:cs="Arial"/>
          <w:lang w:val="pt-BR"/>
        </w:rPr>
      </w:pPr>
    </w:p>
    <w:p w:rsidR="00774441" w:rsidRDefault="00774441" w:rsidP="00702601">
      <w:pPr>
        <w:tabs>
          <w:tab w:val="left" w:pos="424"/>
        </w:tabs>
        <w:jc w:val="both"/>
        <w:rPr>
          <w:rFonts w:cs="Arial"/>
          <w:lang w:val="pt-BR"/>
        </w:rPr>
      </w:pPr>
    </w:p>
    <w:p w:rsidR="00702601" w:rsidRPr="00EE53E6" w:rsidRDefault="00702601" w:rsidP="00702601">
      <w:pPr>
        <w:tabs>
          <w:tab w:val="left" w:pos="424"/>
        </w:tabs>
        <w:jc w:val="both"/>
        <w:rPr>
          <w:rFonts w:cs="Arial"/>
          <w:lang w:val="pt-BR"/>
        </w:rPr>
      </w:pPr>
    </w:p>
    <w:p w:rsidR="00702601" w:rsidRDefault="00702601" w:rsidP="00702601">
      <w:pPr>
        <w:tabs>
          <w:tab w:val="left" w:pos="424"/>
        </w:tabs>
        <w:jc w:val="both"/>
        <w:rPr>
          <w:rFonts w:cs="Arial"/>
          <w:lang w:val="pt-BR"/>
        </w:rPr>
      </w:pPr>
    </w:p>
    <w:p w:rsidR="00774441" w:rsidRDefault="00774441" w:rsidP="00702601">
      <w:pPr>
        <w:tabs>
          <w:tab w:val="left" w:pos="424"/>
        </w:tabs>
        <w:jc w:val="both"/>
        <w:rPr>
          <w:rFonts w:cs="Arial"/>
          <w:lang w:val="pt-BR"/>
        </w:rPr>
      </w:pPr>
    </w:p>
    <w:p w:rsidR="009B602C" w:rsidRDefault="009B602C" w:rsidP="00702601">
      <w:pPr>
        <w:tabs>
          <w:tab w:val="left" w:pos="424"/>
        </w:tabs>
        <w:jc w:val="both"/>
        <w:rPr>
          <w:rFonts w:cs="Arial"/>
          <w:lang w:val="pt-BR"/>
        </w:rPr>
      </w:pPr>
    </w:p>
    <w:p w:rsidR="009B602C" w:rsidRDefault="009B602C" w:rsidP="00702601">
      <w:pPr>
        <w:tabs>
          <w:tab w:val="left" w:pos="424"/>
        </w:tabs>
        <w:jc w:val="both"/>
        <w:rPr>
          <w:rFonts w:cs="Arial"/>
          <w:lang w:val="pt-BR"/>
        </w:rPr>
      </w:pPr>
    </w:p>
    <w:p w:rsidR="009B602C" w:rsidRDefault="009B602C" w:rsidP="00702601">
      <w:pPr>
        <w:tabs>
          <w:tab w:val="left" w:pos="424"/>
        </w:tabs>
        <w:jc w:val="both"/>
        <w:rPr>
          <w:rFonts w:cs="Arial"/>
          <w:lang w:val="pt-BR"/>
        </w:rPr>
      </w:pPr>
    </w:p>
    <w:p w:rsidR="00774441" w:rsidRPr="00EE53E6" w:rsidRDefault="00774441" w:rsidP="00702601">
      <w:pPr>
        <w:tabs>
          <w:tab w:val="left" w:pos="424"/>
        </w:tabs>
        <w:jc w:val="both"/>
        <w:rPr>
          <w:rFonts w:cs="Arial"/>
          <w:lang w:val="pt-BR"/>
        </w:rPr>
      </w:pPr>
    </w:p>
    <w:p w:rsidR="00702601" w:rsidRPr="00EE53E6" w:rsidRDefault="00702601" w:rsidP="00702601">
      <w:pPr>
        <w:tabs>
          <w:tab w:val="left" w:pos="424"/>
        </w:tabs>
        <w:jc w:val="both"/>
        <w:rPr>
          <w:rFonts w:cs="Arial"/>
          <w:b/>
          <w:lang w:val="pt-BR"/>
        </w:rPr>
      </w:pPr>
      <w:r w:rsidRPr="00EE53E6">
        <w:rPr>
          <w:rFonts w:cs="Arial"/>
          <w:b/>
          <w:lang w:val="pt-BR"/>
        </w:rPr>
        <w:t>Bibliografia (referências usadas para o desenvolvimento do conteúdo):</w:t>
      </w:r>
    </w:p>
    <w:p w:rsidR="00702601" w:rsidRPr="00EE53E6" w:rsidRDefault="00702601" w:rsidP="00702601">
      <w:pPr>
        <w:rPr>
          <w:lang w:val="pt-BR"/>
        </w:rPr>
      </w:pPr>
      <w:r w:rsidRPr="00EE53E6">
        <w:rPr>
          <w:lang w:val="pt-BR"/>
        </w:rPr>
        <w:t xml:space="preserve">Engelkirk, P.G. Gwendolyn, B. Microbiologia para as Ciências da Saúde. 7ª. Ed. Guanabara Koogan. </w:t>
      </w:r>
    </w:p>
    <w:p w:rsidR="00702601" w:rsidRDefault="00702601" w:rsidP="00702601">
      <w:pPr>
        <w:rPr>
          <w:lang w:val="pt-PT"/>
        </w:rPr>
      </w:pPr>
      <w:r w:rsidRPr="00EE53E6">
        <w:rPr>
          <w:lang w:val="pt-PT"/>
        </w:rPr>
        <w:t>Jawetz, M. Adelberg. Microbiologia Médica. 22ª. Ed. McGraw Hill, 2004.</w:t>
      </w:r>
    </w:p>
    <w:p w:rsidR="00F8000A" w:rsidRDefault="00F8000A">
      <w:pPr>
        <w:rPr>
          <w:rFonts w:cs="Arial"/>
          <w:lang w:val="pt-BR"/>
        </w:rPr>
      </w:pPr>
      <w:r>
        <w:rPr>
          <w:rFonts w:cs="Arial"/>
          <w:lang w:val="pt-BR"/>
        </w:rPr>
        <w:br w:type="page"/>
      </w:r>
    </w:p>
    <w:p w:rsidR="00702601" w:rsidRPr="00F47FAF" w:rsidRDefault="00702601" w:rsidP="00702601">
      <w:pPr>
        <w:shd w:val="clear" w:color="auto" w:fill="B8CCE4"/>
        <w:tabs>
          <w:tab w:val="left" w:pos="1276"/>
          <w:tab w:val="right" w:pos="8550"/>
        </w:tabs>
        <w:spacing w:before="120" w:after="120"/>
        <w:ind w:right="2"/>
        <w:jc w:val="both"/>
        <w:rPr>
          <w:rFonts w:cs="Arial"/>
          <w:b/>
          <w:sz w:val="24"/>
          <w:szCs w:val="24"/>
          <w:lang w:val="pt-BR"/>
        </w:rPr>
      </w:pPr>
      <w:r w:rsidRPr="00EE53E6">
        <w:rPr>
          <w:rFonts w:cs="Arial"/>
          <w:b/>
          <w:sz w:val="24"/>
          <w:szCs w:val="24"/>
          <w:lang w:val="pt-PT"/>
        </w:rPr>
        <w:lastRenderedPageBreak/>
        <w:t>BLOCO 1: INTRODUÇÃO À AULA</w:t>
      </w:r>
    </w:p>
    <w:p w:rsidR="00702601" w:rsidRDefault="00702601" w:rsidP="00C52E09">
      <w:pPr>
        <w:pStyle w:val="ListParagraph"/>
        <w:numPr>
          <w:ilvl w:val="1"/>
          <w:numId w:val="96"/>
        </w:numPr>
        <w:spacing w:before="120" w:after="0"/>
        <w:ind w:right="2"/>
        <w:jc w:val="both"/>
        <w:rPr>
          <w:rFonts w:cs="Arial"/>
          <w:lang w:val="pt-BR"/>
        </w:rPr>
      </w:pPr>
      <w:r w:rsidRPr="00702601">
        <w:rPr>
          <w:rFonts w:cs="Arial"/>
          <w:lang w:val="pt-BR"/>
        </w:rPr>
        <w:t>Apresentação do tópico, conteúdos e objectivos de aprendizagem.</w:t>
      </w:r>
    </w:p>
    <w:p w:rsidR="00702601" w:rsidRDefault="00702601" w:rsidP="00C52E09">
      <w:pPr>
        <w:pStyle w:val="ListParagraph"/>
        <w:numPr>
          <w:ilvl w:val="1"/>
          <w:numId w:val="96"/>
        </w:numPr>
        <w:spacing w:before="120" w:after="0"/>
        <w:ind w:right="2"/>
        <w:jc w:val="both"/>
        <w:rPr>
          <w:rFonts w:cs="Arial"/>
          <w:lang w:val="pt-BR"/>
        </w:rPr>
      </w:pPr>
      <w:r w:rsidRPr="00702601">
        <w:rPr>
          <w:rFonts w:cs="Arial"/>
          <w:lang w:val="pt-BR"/>
        </w:rPr>
        <w:t>Apresentação da estrutura da aula.</w:t>
      </w:r>
    </w:p>
    <w:p w:rsidR="00702601" w:rsidRDefault="00702601" w:rsidP="00C52E09">
      <w:pPr>
        <w:pStyle w:val="ListParagraph"/>
        <w:numPr>
          <w:ilvl w:val="1"/>
          <w:numId w:val="96"/>
        </w:numPr>
        <w:spacing w:before="120" w:after="0"/>
        <w:ind w:right="2"/>
        <w:jc w:val="both"/>
        <w:rPr>
          <w:rFonts w:cs="Arial"/>
          <w:lang w:val="pt-BR"/>
        </w:rPr>
      </w:pPr>
      <w:r w:rsidRPr="00702601">
        <w:rPr>
          <w:rFonts w:cs="Arial"/>
          <w:lang w:val="pt-BR"/>
        </w:rPr>
        <w:t>Apresentação da bibliografia que o aluno deverá manejar para ampliar os conhecimentos.</w:t>
      </w:r>
    </w:p>
    <w:p w:rsidR="00F8000A" w:rsidRPr="00702601" w:rsidRDefault="00F8000A" w:rsidP="00F8000A">
      <w:pPr>
        <w:pStyle w:val="ListParagraph"/>
        <w:spacing w:before="120" w:after="0"/>
        <w:ind w:right="2"/>
        <w:jc w:val="both"/>
        <w:rPr>
          <w:rFonts w:cs="Arial"/>
          <w:lang w:val="pt-BR"/>
        </w:rPr>
      </w:pPr>
    </w:p>
    <w:p w:rsidR="00702601" w:rsidRPr="00EE53E6" w:rsidRDefault="00702601" w:rsidP="00702601">
      <w:pPr>
        <w:shd w:val="clear" w:color="auto" w:fill="B8CCE4"/>
        <w:tabs>
          <w:tab w:val="left" w:pos="1276"/>
          <w:tab w:val="right" w:pos="8550"/>
        </w:tabs>
        <w:spacing w:before="120" w:after="120"/>
        <w:ind w:right="2"/>
        <w:jc w:val="both"/>
        <w:rPr>
          <w:rFonts w:cs="Arial"/>
          <w:b/>
          <w:sz w:val="24"/>
          <w:szCs w:val="24"/>
          <w:lang w:val="pt-PT"/>
        </w:rPr>
      </w:pPr>
      <w:r w:rsidRPr="00EE53E6">
        <w:rPr>
          <w:rFonts w:cs="Arial"/>
          <w:b/>
          <w:sz w:val="24"/>
          <w:szCs w:val="24"/>
          <w:lang w:val="pt-PT"/>
        </w:rPr>
        <w:t>BLOCO 2. CARACTERÍSTICAS DOS FUNGOS</w:t>
      </w:r>
    </w:p>
    <w:p w:rsidR="00702601" w:rsidRPr="00EE53E6" w:rsidRDefault="00702601" w:rsidP="00C52E09">
      <w:pPr>
        <w:pStyle w:val="TM-2n"/>
        <w:numPr>
          <w:ilvl w:val="1"/>
          <w:numId w:val="91"/>
        </w:numPr>
        <w:spacing w:before="120" w:after="0" w:line="276" w:lineRule="auto"/>
        <w:ind w:hanging="645"/>
        <w:rPr>
          <w:b/>
        </w:rPr>
      </w:pPr>
      <w:r w:rsidRPr="00EE53E6">
        <w:t>Os fungos são encontrados em quase todos os lugares da Terra e são organismos eucariontes.</w:t>
      </w:r>
    </w:p>
    <w:p w:rsidR="00702601" w:rsidRPr="00EE53E6" w:rsidRDefault="00702601" w:rsidP="00702601">
      <w:pPr>
        <w:spacing w:before="120"/>
        <w:jc w:val="center"/>
        <w:rPr>
          <w:rFonts w:cs="Arial"/>
          <w:sz w:val="20"/>
          <w:lang w:val="pt-BR"/>
        </w:rPr>
      </w:pPr>
      <w:r>
        <w:rPr>
          <w:rFonts w:cs="Arial"/>
          <w:noProof/>
          <w:sz w:val="20"/>
          <w:lang w:val="en-ZW" w:eastAsia="en-ZW"/>
        </w:rPr>
        <w:drawing>
          <wp:inline distT="0" distB="0" distL="0" distR="0" wp14:anchorId="422F04E9" wp14:editId="20DC45D3">
            <wp:extent cx="2983769" cy="2755773"/>
            <wp:effectExtent l="19050" t="0" r="7081" b="0"/>
            <wp:docPr id="1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 cstate="print"/>
                    <a:srcRect/>
                    <a:stretch>
                      <a:fillRect/>
                    </a:stretch>
                  </pic:blipFill>
                  <pic:spPr bwMode="auto">
                    <a:xfrm>
                      <a:off x="0" y="0"/>
                      <a:ext cx="2984444" cy="2756396"/>
                    </a:xfrm>
                    <a:prstGeom prst="rect">
                      <a:avLst/>
                    </a:prstGeom>
                    <a:noFill/>
                    <a:ln w="9525">
                      <a:noFill/>
                      <a:miter lim="800000"/>
                      <a:headEnd/>
                      <a:tailEnd/>
                    </a:ln>
                  </pic:spPr>
                </pic:pic>
              </a:graphicData>
            </a:graphic>
          </wp:inline>
        </w:drawing>
      </w:r>
    </w:p>
    <w:p w:rsidR="00702601" w:rsidRPr="00EE53E6" w:rsidRDefault="00702601" w:rsidP="00702601">
      <w:pPr>
        <w:spacing w:before="120"/>
        <w:jc w:val="center"/>
        <w:rPr>
          <w:rFonts w:cs="Arial"/>
          <w:sz w:val="20"/>
          <w:lang w:val="pt-PT"/>
        </w:rPr>
      </w:pPr>
      <w:r w:rsidRPr="00EE53E6">
        <w:rPr>
          <w:rFonts w:cs="Arial"/>
          <w:b/>
          <w:sz w:val="20"/>
          <w:lang w:val="pt-PT"/>
        </w:rPr>
        <w:t>Figura 1</w:t>
      </w:r>
      <w:r w:rsidR="00EB2A96">
        <w:rPr>
          <w:rFonts w:cs="Arial"/>
          <w:b/>
          <w:sz w:val="20"/>
          <w:lang w:val="pt-PT"/>
        </w:rPr>
        <w:t xml:space="preserve">: </w:t>
      </w:r>
      <w:r w:rsidRPr="00EE53E6">
        <w:rPr>
          <w:rFonts w:cs="Arial"/>
          <w:sz w:val="20"/>
          <w:lang w:val="pt-PT"/>
        </w:rPr>
        <w:t>Diversos tipos de fungos.</w:t>
      </w:r>
    </w:p>
    <w:p w:rsidR="00702601" w:rsidRPr="00EE53E6" w:rsidRDefault="00702601" w:rsidP="00C52E09">
      <w:pPr>
        <w:pStyle w:val="TM-3n"/>
        <w:numPr>
          <w:ilvl w:val="2"/>
          <w:numId w:val="91"/>
        </w:numPr>
        <w:tabs>
          <w:tab w:val="clear" w:pos="1276"/>
          <w:tab w:val="left" w:pos="1350"/>
        </w:tabs>
        <w:spacing w:before="120" w:after="0" w:line="276" w:lineRule="auto"/>
      </w:pPr>
      <w:r w:rsidRPr="00EE53E6">
        <w:t>Os fungos são um grande grupo e heterogéneo de organismos eucariotas que inclui microrganismos como leveduras e mofos, bolor de pão, assim como cogumelos de grande tamanho.</w:t>
      </w:r>
    </w:p>
    <w:p w:rsidR="00702601" w:rsidRPr="00EE53E6" w:rsidRDefault="00702601" w:rsidP="00C52E09">
      <w:pPr>
        <w:pStyle w:val="TM-3n"/>
        <w:numPr>
          <w:ilvl w:val="2"/>
          <w:numId w:val="91"/>
        </w:numPr>
        <w:tabs>
          <w:tab w:val="clear" w:pos="1276"/>
          <w:tab w:val="left" w:pos="1350"/>
        </w:tabs>
        <w:spacing w:before="120" w:after="0" w:line="276" w:lineRule="auto"/>
        <w:ind w:left="1350"/>
      </w:pPr>
      <w:r w:rsidRPr="00EE53E6">
        <w:t>Estrutura dos fungos</w:t>
      </w:r>
    </w:p>
    <w:p w:rsidR="00702601" w:rsidRPr="00EE53E6" w:rsidRDefault="00702601" w:rsidP="00C52E09">
      <w:pPr>
        <w:pStyle w:val="TM-3n"/>
        <w:numPr>
          <w:ilvl w:val="0"/>
          <w:numId w:val="90"/>
        </w:numPr>
        <w:tabs>
          <w:tab w:val="clear" w:pos="1276"/>
          <w:tab w:val="left" w:pos="1350"/>
        </w:tabs>
        <w:spacing w:before="120" w:after="0" w:line="276" w:lineRule="auto"/>
      </w:pPr>
      <w:r w:rsidRPr="00EE53E6">
        <w:rPr>
          <w:lang w:val="pt-BR"/>
        </w:rPr>
        <w:t xml:space="preserve">Os fungos possuem parede celular, membrana celular, citoplasma com organelos (mitocôndria, aparelho de Golgi, retículo endoplasmático rugoso), núcleo com membrana nuclear. Podem se apresentar com hifas (filamentos asseptados ou septados) cujo conjunto forma o micélio, ou, como organismos unicelulares – leveduras (por exemplo, </w:t>
      </w:r>
      <w:r w:rsidRPr="00EE53E6">
        <w:rPr>
          <w:i/>
          <w:lang w:val="pt-BR"/>
        </w:rPr>
        <w:t xml:space="preserve">Candida albicans – </w:t>
      </w:r>
      <w:r w:rsidRPr="00EE53E6">
        <w:rPr>
          <w:lang w:val="pt-BR"/>
        </w:rPr>
        <w:t>fungo mais frequentemente isolado de amostras clínicas humanas, e</w:t>
      </w:r>
      <w:r w:rsidRPr="00EE53E6">
        <w:rPr>
          <w:i/>
          <w:lang w:val="pt-BR"/>
        </w:rPr>
        <w:t xml:space="preserve"> Cryptococcus neoformans</w:t>
      </w:r>
      <w:r w:rsidRPr="00EE53E6">
        <w:rPr>
          <w:lang w:val="pt-BR"/>
        </w:rPr>
        <w:t xml:space="preserve">) </w:t>
      </w:r>
    </w:p>
    <w:p w:rsidR="00702601" w:rsidRPr="00EE53E6" w:rsidRDefault="00702601" w:rsidP="00702601">
      <w:pPr>
        <w:pStyle w:val="TM-3n"/>
        <w:numPr>
          <w:ilvl w:val="0"/>
          <w:numId w:val="0"/>
        </w:numPr>
        <w:tabs>
          <w:tab w:val="clear" w:pos="1276"/>
          <w:tab w:val="left" w:pos="1350"/>
        </w:tabs>
        <w:spacing w:before="120" w:after="0" w:line="276" w:lineRule="auto"/>
        <w:ind w:left="1530"/>
        <w:rPr>
          <w:color w:val="FF0000"/>
          <w:lang w:val="en-US"/>
        </w:rPr>
      </w:pPr>
      <w:r>
        <w:rPr>
          <w:noProof/>
          <w:color w:val="FF0000"/>
          <w:lang w:val="en-ZW" w:eastAsia="en-ZW"/>
        </w:rPr>
        <w:lastRenderedPageBreak/>
        <w:drawing>
          <wp:inline distT="0" distB="0" distL="0" distR="0" wp14:anchorId="3D6F67B3" wp14:editId="75EA12C5">
            <wp:extent cx="5619579" cy="5041900"/>
            <wp:effectExtent l="6521" t="0" r="0" b="0"/>
            <wp:docPr id="129" name="Object 1"/>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5257800" cy="5702300"/>
                      <a:chOff x="533400" y="381000"/>
                      <a:chExt cx="5257800" cy="5702300"/>
                    </a:xfrm>
                  </a:grpSpPr>
                  <a:grpSp>
                    <a:nvGrpSpPr>
                      <a:cNvPr id="20" name="Group 19"/>
                      <a:cNvGrpSpPr/>
                    </a:nvGrpSpPr>
                    <a:grpSpPr>
                      <a:xfrm>
                        <a:off x="533400" y="381000"/>
                        <a:ext cx="5257800" cy="5702300"/>
                        <a:chOff x="533400" y="381000"/>
                        <a:chExt cx="5257800" cy="5702300"/>
                      </a:xfrm>
                    </a:grpSpPr>
                    <a:pic>
                      <a:nvPicPr>
                        <a:cNvPr id="2050" name="Picture 2"/>
                        <a:cNvPicPr>
                          <a:picLocks noChangeAspect="1" noChangeArrowheads="1"/>
                        </a:cNvPicPr>
                      </a:nvPicPr>
                      <a:blipFill>
                        <a:blip r:embed="rId77"/>
                        <a:srcRect/>
                        <a:stretch>
                          <a:fillRect/>
                        </a:stretch>
                      </a:blipFill>
                      <a:spPr bwMode="auto">
                        <a:xfrm>
                          <a:off x="533400" y="381000"/>
                          <a:ext cx="5257800" cy="5702300"/>
                        </a:xfrm>
                        <a:prstGeom prst="rect">
                          <a:avLst/>
                        </a:prstGeom>
                        <a:noFill/>
                        <a:ln w="9525">
                          <a:noFill/>
                          <a:miter lim="800000"/>
                          <a:headEnd/>
                          <a:tailEnd/>
                        </a:ln>
                      </a:spPr>
                    </a:pic>
                    <a:sp>
                      <a:nvSpPr>
                        <a:cNvPr id="2051" name="TextBox 4"/>
                        <a:cNvSpPr txBox="1">
                          <a:spLocks noChangeArrowheads="1"/>
                        </a:cNvSpPr>
                      </a:nvSpPr>
                      <a:spPr bwMode="auto">
                        <a:xfrm>
                          <a:off x="1828800" y="685800"/>
                          <a:ext cx="1066800" cy="276225"/>
                        </a:xfrm>
                        <a:prstGeom prst="rect">
                          <a:avLst/>
                        </a:prstGeom>
                        <a:solidFill>
                          <a:schemeClr val="bg1"/>
                        </a:solidFill>
                        <a:ln w="9525">
                          <a:noFill/>
                          <a:miter lim="800000"/>
                          <a:headEnd/>
                          <a:tailEnd/>
                        </a:ln>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pt-PT" sz="1200">
                                <a:latin typeface="Calibri" pitchFamily="34" charset="0"/>
                              </a:rPr>
                              <a:t>Mitocôndria</a:t>
                            </a:r>
                            <a:endParaRPr lang="en-US" sz="1200">
                              <a:latin typeface="Calibri" pitchFamily="34" charset="0"/>
                            </a:endParaRPr>
                          </a:p>
                        </a:txBody>
                        <a:useSpRect/>
                      </a:txSp>
                    </a:sp>
                    <a:sp>
                      <a:nvSpPr>
                        <a:cNvPr id="2052" name="TextBox 5"/>
                        <a:cNvSpPr txBox="1">
                          <a:spLocks noChangeArrowheads="1"/>
                        </a:cNvSpPr>
                      </a:nvSpPr>
                      <a:spPr bwMode="auto">
                        <a:xfrm>
                          <a:off x="1524000" y="990600"/>
                          <a:ext cx="1371600" cy="276225"/>
                        </a:xfrm>
                        <a:prstGeom prst="rect">
                          <a:avLst/>
                        </a:prstGeom>
                        <a:solidFill>
                          <a:schemeClr val="bg1"/>
                        </a:solidFill>
                        <a:ln w="9525">
                          <a:noFill/>
                          <a:miter lim="800000"/>
                          <a:headEnd/>
                          <a:tailEnd/>
                        </a:ln>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pt-PT" sz="1200">
                                <a:latin typeface="Calibri" pitchFamily="34" charset="0"/>
                              </a:rPr>
                              <a:t>Vacúolo de broto</a:t>
                            </a:r>
                            <a:endParaRPr lang="en-US" sz="1200">
                              <a:latin typeface="Calibri" pitchFamily="34" charset="0"/>
                            </a:endParaRPr>
                          </a:p>
                        </a:txBody>
                        <a:useSpRect/>
                      </a:txSp>
                    </a:sp>
                    <a:sp>
                      <a:nvSpPr>
                        <a:cNvPr id="2053" name="TextBox 6"/>
                        <a:cNvSpPr txBox="1">
                          <a:spLocks noChangeArrowheads="1"/>
                        </a:cNvSpPr>
                      </a:nvSpPr>
                      <a:spPr bwMode="auto">
                        <a:xfrm>
                          <a:off x="4267200" y="1219200"/>
                          <a:ext cx="1371600" cy="461665"/>
                        </a:xfrm>
                        <a:prstGeom prst="rect">
                          <a:avLst/>
                        </a:prstGeom>
                        <a:solidFill>
                          <a:schemeClr val="bg1"/>
                        </a:solidFill>
                        <a:ln w="9525">
                          <a:noFill/>
                          <a:miter lim="800000"/>
                          <a:headEnd/>
                          <a:tailEnd/>
                        </a:ln>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pt-PT" sz="1200" dirty="0" smtClean="0">
                                <a:latin typeface="Calibri" pitchFamily="34" charset="0"/>
                              </a:rPr>
                              <a:t>Vesículas </a:t>
                            </a:r>
                            <a:r>
                              <a:rPr lang="pt-PT" sz="1200" dirty="0">
                                <a:latin typeface="Calibri" pitchFamily="34" charset="0"/>
                              </a:rPr>
                              <a:t>secretoras</a:t>
                            </a:r>
                            <a:endParaRPr lang="en-US" sz="1200" dirty="0">
                              <a:latin typeface="Calibri" pitchFamily="34" charset="0"/>
                            </a:endParaRPr>
                          </a:p>
                        </a:txBody>
                        <a:useSpRect/>
                      </a:txSp>
                    </a:sp>
                    <a:sp>
                      <a:nvSpPr>
                        <a:cNvPr id="2054" name="TextBox 7"/>
                        <a:cNvSpPr txBox="1">
                          <a:spLocks noChangeArrowheads="1"/>
                        </a:cNvSpPr>
                      </a:nvSpPr>
                      <a:spPr bwMode="auto">
                        <a:xfrm>
                          <a:off x="2362200" y="1600200"/>
                          <a:ext cx="609600" cy="276225"/>
                        </a:xfrm>
                        <a:prstGeom prst="rect">
                          <a:avLst/>
                        </a:prstGeom>
                        <a:solidFill>
                          <a:schemeClr val="bg1"/>
                        </a:solidFill>
                        <a:ln w="9525">
                          <a:noFill/>
                          <a:miter lim="800000"/>
                          <a:headEnd/>
                          <a:tailEnd/>
                        </a:ln>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a:latin typeface="Calibri" pitchFamily="34" charset="0"/>
                              </a:rPr>
                              <a:t>Broto</a:t>
                            </a:r>
                          </a:p>
                        </a:txBody>
                        <a:useSpRect/>
                      </a:txSp>
                    </a:sp>
                    <a:sp>
                      <a:nvSpPr>
                        <a:cNvPr id="2055" name="TextBox 8"/>
                        <a:cNvSpPr txBox="1">
                          <a:spLocks noChangeArrowheads="1"/>
                        </a:cNvSpPr>
                      </a:nvSpPr>
                      <a:spPr bwMode="auto">
                        <a:xfrm>
                          <a:off x="2057400" y="1828800"/>
                          <a:ext cx="914400" cy="276225"/>
                        </a:xfrm>
                        <a:prstGeom prst="rect">
                          <a:avLst/>
                        </a:prstGeom>
                        <a:solidFill>
                          <a:schemeClr val="bg1"/>
                        </a:solidFill>
                        <a:ln w="9525">
                          <a:noFill/>
                          <a:miter lim="800000"/>
                          <a:headEnd/>
                          <a:tailEnd/>
                        </a:ln>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pt-PT" sz="1200">
                                <a:latin typeface="Calibri" pitchFamily="34" charset="0"/>
                              </a:rPr>
                              <a:t>Núcleo</a:t>
                            </a:r>
                            <a:endParaRPr lang="en-US" sz="1200">
                              <a:latin typeface="Calibri" pitchFamily="34" charset="0"/>
                            </a:endParaRPr>
                          </a:p>
                        </a:txBody>
                        <a:useSpRect/>
                      </a:txSp>
                    </a:sp>
                    <a:sp>
                      <a:nvSpPr>
                        <a:cNvPr id="2056" name="TextBox 10"/>
                        <a:cNvSpPr txBox="1">
                          <a:spLocks noChangeArrowheads="1"/>
                        </a:cNvSpPr>
                      </a:nvSpPr>
                      <a:spPr bwMode="auto">
                        <a:xfrm>
                          <a:off x="914400" y="2057400"/>
                          <a:ext cx="1676400" cy="276225"/>
                        </a:xfrm>
                        <a:prstGeom prst="rect">
                          <a:avLst/>
                        </a:prstGeom>
                        <a:solidFill>
                          <a:schemeClr val="bg1"/>
                        </a:solidFill>
                        <a:ln w="9525">
                          <a:noFill/>
                          <a:miter lim="800000"/>
                          <a:headEnd/>
                          <a:tailEnd/>
                        </a:ln>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pt-PT" sz="1200">
                                <a:latin typeface="Calibri" pitchFamily="34" charset="0"/>
                              </a:rPr>
                              <a:t>Complexo de Golgi</a:t>
                            </a:r>
                            <a:endParaRPr lang="en-US" sz="1200">
                              <a:latin typeface="Calibri" pitchFamily="34" charset="0"/>
                            </a:endParaRPr>
                          </a:p>
                        </a:txBody>
                        <a:useSpRect/>
                      </a:txSp>
                    </a:sp>
                    <a:sp>
                      <a:nvSpPr>
                        <a:cNvPr id="2057" name="TextBox 11"/>
                        <a:cNvSpPr txBox="1">
                          <a:spLocks noChangeArrowheads="1"/>
                        </a:cNvSpPr>
                      </a:nvSpPr>
                      <a:spPr bwMode="auto">
                        <a:xfrm>
                          <a:off x="609600" y="2362200"/>
                          <a:ext cx="1981200" cy="276225"/>
                        </a:xfrm>
                        <a:prstGeom prst="rect">
                          <a:avLst/>
                        </a:prstGeom>
                        <a:solidFill>
                          <a:schemeClr val="bg1"/>
                        </a:solidFill>
                        <a:ln w="9525">
                          <a:noFill/>
                          <a:miter lim="800000"/>
                          <a:headEnd/>
                          <a:tailEnd/>
                        </a:ln>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pt-PT" sz="1200">
                                <a:latin typeface="Calibri" pitchFamily="34" charset="0"/>
                              </a:rPr>
                              <a:t>Poros na membrana nuclear</a:t>
                            </a:r>
                            <a:endParaRPr lang="en-US" sz="1200">
                              <a:latin typeface="Calibri" pitchFamily="34" charset="0"/>
                            </a:endParaRPr>
                          </a:p>
                        </a:txBody>
                        <a:useSpRect/>
                      </a:txSp>
                    </a:sp>
                    <a:sp>
                      <a:nvSpPr>
                        <a:cNvPr id="2058" name="TextBox 12"/>
                        <a:cNvSpPr txBox="1">
                          <a:spLocks noChangeArrowheads="1"/>
                        </a:cNvSpPr>
                      </a:nvSpPr>
                      <a:spPr bwMode="auto">
                        <a:xfrm>
                          <a:off x="1676400" y="2743200"/>
                          <a:ext cx="990600" cy="276225"/>
                        </a:xfrm>
                        <a:prstGeom prst="rect">
                          <a:avLst/>
                        </a:prstGeom>
                        <a:solidFill>
                          <a:schemeClr val="bg1"/>
                        </a:solidFill>
                        <a:ln w="9525">
                          <a:noFill/>
                          <a:miter lim="800000"/>
                          <a:headEnd/>
                          <a:tailEnd/>
                        </a:ln>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pt-PT" sz="1200">
                                <a:latin typeface="Calibri" pitchFamily="34" charset="0"/>
                              </a:rPr>
                              <a:t>Vacúolo</a:t>
                            </a:r>
                            <a:endParaRPr lang="en-US" sz="1200">
                              <a:latin typeface="Calibri" pitchFamily="34" charset="0"/>
                            </a:endParaRPr>
                          </a:p>
                        </a:txBody>
                        <a:useSpRect/>
                      </a:txSp>
                    </a:sp>
                    <a:sp>
                      <a:nvSpPr>
                        <a:cNvPr id="2059" name="TextBox 14"/>
                        <a:cNvSpPr txBox="1">
                          <a:spLocks noChangeArrowheads="1"/>
                        </a:cNvSpPr>
                      </a:nvSpPr>
                      <a:spPr bwMode="auto">
                        <a:xfrm>
                          <a:off x="914400" y="2971800"/>
                          <a:ext cx="1676400" cy="276225"/>
                        </a:xfrm>
                        <a:prstGeom prst="rect">
                          <a:avLst/>
                        </a:prstGeom>
                        <a:solidFill>
                          <a:schemeClr val="bg1"/>
                        </a:solidFill>
                        <a:ln w="9525">
                          <a:noFill/>
                          <a:miter lim="800000"/>
                          <a:headEnd/>
                          <a:tailEnd/>
                        </a:ln>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pt-PT" sz="1200">
                                <a:latin typeface="Calibri" pitchFamily="34" charset="0"/>
                              </a:rPr>
                              <a:t>Reto endoplasmático</a:t>
                            </a:r>
                            <a:endParaRPr lang="en-US" sz="1200">
                              <a:latin typeface="Calibri" pitchFamily="34" charset="0"/>
                            </a:endParaRPr>
                          </a:p>
                        </a:txBody>
                        <a:useSpRect/>
                      </a:txSp>
                    </a:sp>
                    <a:sp>
                      <a:nvSpPr>
                        <a:cNvPr id="2060" name="TextBox 15"/>
                        <a:cNvSpPr txBox="1">
                          <a:spLocks noChangeArrowheads="1"/>
                        </a:cNvSpPr>
                      </a:nvSpPr>
                      <a:spPr bwMode="auto">
                        <a:xfrm>
                          <a:off x="990600" y="3200400"/>
                          <a:ext cx="1600200" cy="276225"/>
                        </a:xfrm>
                        <a:prstGeom prst="rect">
                          <a:avLst/>
                        </a:prstGeom>
                        <a:solidFill>
                          <a:schemeClr val="bg1"/>
                        </a:solidFill>
                        <a:ln w="9525">
                          <a:noFill/>
                          <a:miter lim="800000"/>
                          <a:headEnd/>
                          <a:tailEnd/>
                        </a:ln>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a:latin typeface="Calibri" pitchFamily="34" charset="0"/>
                              </a:rPr>
                              <a:t>Membrana vacuolar</a:t>
                            </a:r>
                          </a:p>
                        </a:txBody>
                        <a:useSpRect/>
                      </a:txSp>
                    </a:sp>
                    <a:sp>
                      <a:nvSpPr>
                        <a:cNvPr id="2061" name="TextBox 16"/>
                        <a:cNvSpPr txBox="1">
                          <a:spLocks noChangeArrowheads="1"/>
                        </a:cNvSpPr>
                      </a:nvSpPr>
                      <a:spPr bwMode="auto">
                        <a:xfrm>
                          <a:off x="838200" y="3581400"/>
                          <a:ext cx="1600200" cy="276225"/>
                        </a:xfrm>
                        <a:prstGeom prst="rect">
                          <a:avLst/>
                        </a:prstGeom>
                        <a:solidFill>
                          <a:schemeClr val="bg1"/>
                        </a:solidFill>
                        <a:ln w="9525">
                          <a:noFill/>
                          <a:miter lim="800000"/>
                          <a:headEnd/>
                          <a:tailEnd/>
                        </a:ln>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pt-PT" sz="1200">
                                <a:latin typeface="Calibri" pitchFamily="34" charset="0"/>
                              </a:rPr>
                              <a:t>Grânulos de lipídeos</a:t>
                            </a:r>
                            <a:endParaRPr lang="en-US" sz="1200">
                              <a:latin typeface="Calibri" pitchFamily="34" charset="0"/>
                            </a:endParaRPr>
                          </a:p>
                        </a:txBody>
                        <a:useSpRect/>
                      </a:txSp>
                    </a:sp>
                    <a:sp>
                      <a:nvSpPr>
                        <a:cNvPr id="2062" name="TextBox 17"/>
                        <a:cNvSpPr txBox="1">
                          <a:spLocks noChangeArrowheads="1"/>
                        </a:cNvSpPr>
                      </a:nvSpPr>
                      <a:spPr bwMode="auto">
                        <a:xfrm>
                          <a:off x="1219200" y="3886200"/>
                          <a:ext cx="1219200" cy="276225"/>
                        </a:xfrm>
                        <a:prstGeom prst="rect">
                          <a:avLst/>
                        </a:prstGeom>
                        <a:solidFill>
                          <a:schemeClr val="bg1"/>
                        </a:solidFill>
                        <a:ln w="9525">
                          <a:noFill/>
                          <a:miter lim="800000"/>
                          <a:headEnd/>
                          <a:tailEnd/>
                        </a:ln>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pt-PT" sz="1200">
                                <a:latin typeface="Calibri" pitchFamily="34" charset="0"/>
                              </a:rPr>
                              <a:t>Cicatriz de broto</a:t>
                            </a:r>
                            <a:endParaRPr lang="en-US" sz="1200">
                              <a:latin typeface="Calibri" pitchFamily="34" charset="0"/>
                            </a:endParaRPr>
                          </a:p>
                        </a:txBody>
                        <a:useSpRect/>
                      </a:txSp>
                    </a:sp>
                    <a:sp>
                      <a:nvSpPr>
                        <a:cNvPr id="2063" name="TextBox 19"/>
                        <a:cNvSpPr txBox="1">
                          <a:spLocks noChangeArrowheads="1"/>
                        </a:cNvSpPr>
                      </a:nvSpPr>
                      <a:spPr bwMode="auto">
                        <a:xfrm>
                          <a:off x="1295400" y="4114800"/>
                          <a:ext cx="1219200" cy="461963"/>
                        </a:xfrm>
                        <a:prstGeom prst="rect">
                          <a:avLst/>
                        </a:prstGeom>
                        <a:solidFill>
                          <a:schemeClr val="bg1"/>
                        </a:solidFill>
                        <a:ln w="9525">
                          <a:noFill/>
                          <a:miter lim="800000"/>
                          <a:headEnd/>
                          <a:tailEnd/>
                        </a:ln>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pt-PT" sz="1200">
                                <a:latin typeface="Calibri" pitchFamily="34" charset="0"/>
                              </a:rPr>
                              <a:t>Membranas celulares</a:t>
                            </a:r>
                            <a:endParaRPr lang="en-US" sz="1200">
                              <a:latin typeface="Calibri" pitchFamily="34" charset="0"/>
                            </a:endParaRPr>
                          </a:p>
                        </a:txBody>
                        <a:useSpRect/>
                      </a:txSp>
                    </a:sp>
                    <a:sp>
                      <a:nvSpPr>
                        <a:cNvPr id="2064" name="TextBox 20"/>
                        <a:cNvSpPr txBox="1">
                          <a:spLocks noChangeArrowheads="1"/>
                        </a:cNvSpPr>
                      </a:nvSpPr>
                      <a:spPr bwMode="auto">
                        <a:xfrm>
                          <a:off x="914400" y="4876800"/>
                          <a:ext cx="1447800" cy="276225"/>
                        </a:xfrm>
                        <a:prstGeom prst="rect">
                          <a:avLst/>
                        </a:prstGeom>
                        <a:solidFill>
                          <a:schemeClr val="bg1"/>
                        </a:solidFill>
                        <a:ln w="9525">
                          <a:noFill/>
                          <a:miter lim="800000"/>
                          <a:headEnd/>
                          <a:tailEnd/>
                        </a:ln>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pt-PT" sz="1200">
                                <a:latin typeface="Calibri" pitchFamily="34" charset="0"/>
                              </a:rPr>
                              <a:t>Grânulos vacuolares</a:t>
                            </a:r>
                            <a:endParaRPr lang="en-US" sz="1200">
                              <a:latin typeface="Calibri" pitchFamily="34" charset="0"/>
                            </a:endParaRPr>
                          </a:p>
                        </a:txBody>
                        <a:useSpRect/>
                      </a:txSp>
                    </a:sp>
                    <a:sp>
                      <a:nvSpPr>
                        <a:cNvPr id="2065" name="TextBox 21"/>
                        <a:cNvSpPr txBox="1">
                          <a:spLocks noChangeArrowheads="1"/>
                        </a:cNvSpPr>
                      </a:nvSpPr>
                      <a:spPr bwMode="auto">
                        <a:xfrm>
                          <a:off x="1600200" y="5257800"/>
                          <a:ext cx="1371600" cy="461665"/>
                        </a:xfrm>
                        <a:prstGeom prst="rect">
                          <a:avLst/>
                        </a:prstGeom>
                        <a:solidFill>
                          <a:schemeClr val="bg1"/>
                        </a:solidFill>
                        <a:ln w="9525">
                          <a:noFill/>
                          <a:miter lim="800000"/>
                          <a:headEnd/>
                          <a:tailEnd/>
                        </a:ln>
                      </a:spPr>
                      <a:txSp>
                        <a:txBody>
                          <a:bodyPr wrap="square">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pt-PT" sz="1200" dirty="0">
                                <a:latin typeface="Calibri" pitchFamily="34" charset="0"/>
                              </a:rPr>
                              <a:t>Grânulos de armazenamento</a:t>
                            </a:r>
                            <a:endParaRPr lang="en-US" sz="1200" dirty="0">
                              <a:latin typeface="Calibri" pitchFamily="34" charset="0"/>
                            </a:endParaRPr>
                          </a:p>
                        </a:txBody>
                        <a:useSpRect/>
                      </a:txSp>
                    </a:sp>
                    <a:sp>
                      <a:nvSpPr>
                        <a:cNvPr id="2066" name="TextBox 22"/>
                        <a:cNvSpPr txBox="1">
                          <a:spLocks noChangeArrowheads="1"/>
                        </a:cNvSpPr>
                      </a:nvSpPr>
                      <a:spPr bwMode="auto">
                        <a:xfrm>
                          <a:off x="1752600" y="5715000"/>
                          <a:ext cx="1828800" cy="276225"/>
                        </a:xfrm>
                        <a:prstGeom prst="rect">
                          <a:avLst/>
                        </a:prstGeom>
                        <a:solidFill>
                          <a:schemeClr val="bg1"/>
                        </a:solidFill>
                        <a:ln w="9525">
                          <a:noFill/>
                          <a:miter lim="800000"/>
                          <a:headEnd/>
                          <a:tailEnd/>
                        </a:ln>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pt-PT" sz="1200">
                                <a:latin typeface="Calibri" pitchFamily="34" charset="0"/>
                              </a:rPr>
                              <a:t>                         Mitocôndria</a:t>
                            </a:r>
                            <a:endParaRPr lang="en-US" sz="1200">
                              <a:latin typeface="Calibri" pitchFamily="34" charset="0"/>
                            </a:endParaRPr>
                          </a:p>
                        </a:txBody>
                        <a:useSpRect/>
                      </a:txSp>
                    </a:sp>
                  </a:grpSp>
                </lc:lockedCanvas>
              </a:graphicData>
            </a:graphic>
          </wp:inline>
        </w:drawing>
      </w:r>
    </w:p>
    <w:p w:rsidR="00702601" w:rsidRPr="00EE53E6" w:rsidRDefault="00702601" w:rsidP="00702601">
      <w:pPr>
        <w:spacing w:before="120"/>
        <w:jc w:val="center"/>
        <w:rPr>
          <w:rFonts w:cs="Arial"/>
          <w:sz w:val="12"/>
          <w:szCs w:val="12"/>
        </w:rPr>
      </w:pPr>
      <w:r w:rsidRPr="00EE53E6">
        <w:rPr>
          <w:rFonts w:cs="Arial"/>
          <w:sz w:val="12"/>
          <w:szCs w:val="12"/>
        </w:rPr>
        <w:t>Fonte: University of Texas, http://www.edb.utexas.edu/visionawards/petrosino/index.php?usr=bbyrwa&amp;id=s:challenge1_TYM_bbyrwa</w:t>
      </w:r>
    </w:p>
    <w:p w:rsidR="00702601" w:rsidRPr="00EE53E6" w:rsidRDefault="00702601" w:rsidP="00702601">
      <w:pPr>
        <w:pStyle w:val="TM-3n"/>
        <w:numPr>
          <w:ilvl w:val="0"/>
          <w:numId w:val="0"/>
        </w:numPr>
        <w:tabs>
          <w:tab w:val="clear" w:pos="1276"/>
          <w:tab w:val="left" w:pos="1350"/>
        </w:tabs>
        <w:spacing w:before="120" w:after="0" w:line="276" w:lineRule="auto"/>
        <w:ind w:left="1530"/>
        <w:jc w:val="center"/>
        <w:rPr>
          <w:lang w:val="en-GB"/>
        </w:rPr>
      </w:pPr>
      <w:r>
        <w:rPr>
          <w:noProof/>
          <w:lang w:val="en-ZW" w:eastAsia="en-ZW"/>
        </w:rPr>
        <w:drawing>
          <wp:inline distT="0" distB="0" distL="0" distR="0" wp14:anchorId="2FDEFA1E" wp14:editId="182E0F9E">
            <wp:extent cx="5658400" cy="3378200"/>
            <wp:effectExtent l="5800" t="0" r="0" b="0"/>
            <wp:docPr id="128" name="Object 1"/>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408712" cy="4726106"/>
                      <a:chOff x="1043608" y="908720"/>
                      <a:chExt cx="6408712" cy="4726106"/>
                    </a:xfrm>
                  </a:grpSpPr>
                  <a:grpSp>
                    <a:nvGrpSpPr>
                      <a:cNvPr id="6" name="Group 5"/>
                      <a:cNvGrpSpPr/>
                    </a:nvGrpSpPr>
                    <a:grpSpPr>
                      <a:xfrm>
                        <a:off x="1043608" y="908720"/>
                        <a:ext cx="6408712" cy="4726106"/>
                        <a:chOff x="1043608" y="908720"/>
                        <a:chExt cx="6408712" cy="4726106"/>
                      </a:xfrm>
                    </a:grpSpPr>
                    <a:pic>
                      <a:nvPicPr>
                        <a:cNvPr id="18434" name="Picture 2" descr="http://www.atsu.edu/faculty/chamberlain/Website/Lects/fungi1.jpg"/>
                        <a:cNvPicPr>
                          <a:picLocks noChangeAspect="1" noChangeArrowheads="1"/>
                        </a:cNvPicPr>
                      </a:nvPicPr>
                      <a:blipFill>
                        <a:blip r:embed="rId78"/>
                        <a:srcRect/>
                        <a:stretch>
                          <a:fillRect/>
                        </a:stretch>
                      </a:blipFill>
                      <a:spPr bwMode="auto">
                        <a:xfrm>
                          <a:off x="1043608" y="908720"/>
                          <a:ext cx="6408712" cy="4464496"/>
                        </a:xfrm>
                        <a:prstGeom prst="rect">
                          <a:avLst/>
                        </a:prstGeom>
                        <a:noFill/>
                      </a:spPr>
                    </a:pic>
                    <a:sp>
                      <a:nvSpPr>
                        <a:cNvPr id="3" name="TextBox 2"/>
                        <a:cNvSpPr txBox="1"/>
                      </a:nvSpPr>
                      <a:spPr>
                        <a:xfrm>
                          <a:off x="1331640" y="2852937"/>
                          <a:ext cx="5904656" cy="276999"/>
                        </a:xfrm>
                        <a:prstGeom prst="rect">
                          <a:avLst/>
                        </a:prstGeom>
                        <a:solidFill>
                          <a:schemeClr val="bg1"/>
                        </a:solidFill>
                      </a:spPr>
                      <a:txSp>
                        <a:txBody>
                          <a:bodyPr wrap="square" rtlCol="0">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200" b="1" dirty="0" err="1" smtClean="0"/>
                              <a:t>Leveduras</a:t>
                            </a:r>
                            <a:r>
                              <a:rPr lang="en-GB" sz="1200" b="1" dirty="0" smtClean="0"/>
                              <a:t>: a) </a:t>
                            </a:r>
                            <a:r>
                              <a:rPr lang="en-GB" sz="1200" b="1" dirty="0" err="1" smtClean="0"/>
                              <a:t>formação</a:t>
                            </a:r>
                            <a:r>
                              <a:rPr lang="en-GB" sz="1200" b="1" dirty="0" smtClean="0"/>
                              <a:t>;           b) </a:t>
                            </a:r>
                            <a:r>
                              <a:rPr lang="en-GB" sz="1200" b="1" dirty="0" err="1" smtClean="0"/>
                              <a:t>Fissão</a:t>
                            </a:r>
                            <a:r>
                              <a:rPr lang="en-GB" sz="1200" b="1" dirty="0" smtClean="0"/>
                              <a:t>                           c) Pseudo-</a:t>
                            </a:r>
                            <a:r>
                              <a:rPr lang="en-GB" sz="1200" b="1" dirty="0" err="1" smtClean="0"/>
                              <a:t>hifa</a:t>
                            </a:r>
                            <a:endParaRPr lang="en-GB" sz="1200" b="1" dirty="0"/>
                          </a:p>
                        </a:txBody>
                        <a:useSpRect/>
                      </a:txSp>
                    </a:sp>
                    <a:sp>
                      <a:nvSpPr>
                        <a:cNvPr id="4" name="TextBox 3"/>
                        <a:cNvSpPr txBox="1"/>
                      </a:nvSpPr>
                      <a:spPr>
                        <a:xfrm>
                          <a:off x="1259632" y="4941168"/>
                          <a:ext cx="5904656" cy="276999"/>
                        </a:xfrm>
                        <a:prstGeom prst="rect">
                          <a:avLst/>
                        </a:prstGeom>
                        <a:solidFill>
                          <a:schemeClr val="bg1"/>
                        </a:solidFill>
                      </a:spPr>
                      <a:txSp>
                        <a:txBody>
                          <a:bodyPr wrap="square" rtlCol="0">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200" b="1" dirty="0" smtClean="0"/>
                              <a:t>d) </a:t>
                            </a:r>
                            <a:r>
                              <a:rPr lang="en-GB" sz="1200" b="1" dirty="0" err="1" smtClean="0"/>
                              <a:t>Hifa</a:t>
                            </a:r>
                            <a:r>
                              <a:rPr lang="en-GB" sz="1200" b="1" dirty="0" smtClean="0"/>
                              <a:t> </a:t>
                            </a:r>
                            <a:r>
                              <a:rPr lang="en-GB" sz="1200" b="1" dirty="0" err="1" smtClean="0"/>
                              <a:t>asseptada</a:t>
                            </a:r>
                            <a:r>
                              <a:rPr lang="en-GB" sz="1200" b="1" dirty="0" smtClean="0"/>
                              <a:t>;                 e) </a:t>
                            </a:r>
                            <a:r>
                              <a:rPr lang="en-GB" sz="1200" b="1" dirty="0" err="1" smtClean="0"/>
                              <a:t>Hifa</a:t>
                            </a:r>
                            <a:r>
                              <a:rPr lang="en-GB" sz="1200" b="1" dirty="0" smtClean="0"/>
                              <a:t> </a:t>
                            </a:r>
                            <a:r>
                              <a:rPr lang="en-GB" sz="1200" b="1" dirty="0" err="1" smtClean="0"/>
                              <a:t>septada</a:t>
                            </a:r>
                            <a:r>
                              <a:rPr lang="en-GB" sz="1200" b="1" dirty="0" smtClean="0"/>
                              <a:t>                      f) </a:t>
                            </a:r>
                            <a:r>
                              <a:rPr lang="en-GB" sz="1200" b="1" dirty="0" err="1" smtClean="0"/>
                              <a:t>Hifa</a:t>
                            </a:r>
                            <a:r>
                              <a:rPr lang="en-GB" sz="1200" b="1" dirty="0" smtClean="0"/>
                              <a:t> </a:t>
                            </a:r>
                            <a:r>
                              <a:rPr lang="en-GB" sz="1200" b="1" dirty="0" err="1" smtClean="0"/>
                              <a:t>septada</a:t>
                            </a:r>
                            <a:endParaRPr lang="en-GB" sz="1200" b="1" dirty="0"/>
                          </a:p>
                        </a:txBody>
                        <a:useSpRect/>
                      </a:txSp>
                    </a:sp>
                    <a:sp>
                      <a:nvSpPr>
                        <a:cNvPr id="5" name="Rectangle 4"/>
                        <a:cNvSpPr/>
                      </a:nvSpPr>
                      <a:spPr>
                        <a:xfrm>
                          <a:off x="1835696" y="5373216"/>
                          <a:ext cx="4572000" cy="261610"/>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100" dirty="0" smtClean="0"/>
                              <a:t>http://www.atsu.edu/faculty/chamberlain/Website/Lects/fungi1.jpg</a:t>
                            </a:r>
                            <a:endParaRPr lang="en-GB" sz="1100" dirty="0"/>
                          </a:p>
                        </a:txBody>
                        <a:useSpRect/>
                      </a:txSp>
                    </a:sp>
                  </a:grpSp>
                </lc:lockedCanvas>
              </a:graphicData>
            </a:graphic>
          </wp:inline>
        </w:drawing>
      </w:r>
    </w:p>
    <w:p w:rsidR="00702601" w:rsidRPr="00EE53E6" w:rsidRDefault="00702601" w:rsidP="00702601">
      <w:pPr>
        <w:spacing w:before="120"/>
        <w:jc w:val="center"/>
        <w:rPr>
          <w:rFonts w:cs="Arial"/>
          <w:lang w:val="pt-BR"/>
        </w:rPr>
      </w:pPr>
      <w:r w:rsidRPr="00EE53E6">
        <w:rPr>
          <w:rFonts w:cs="Arial"/>
          <w:b/>
          <w:lang w:val="pt-BR"/>
        </w:rPr>
        <w:t>Figura 2</w:t>
      </w:r>
      <w:r w:rsidR="00EB2A96">
        <w:rPr>
          <w:rFonts w:cs="Arial"/>
          <w:b/>
          <w:lang w:val="pt-BR"/>
        </w:rPr>
        <w:t>:</w:t>
      </w:r>
      <w:r w:rsidRPr="00EE53E6">
        <w:rPr>
          <w:rFonts w:cs="Arial"/>
          <w:lang w:val="pt-BR"/>
        </w:rPr>
        <w:t xml:space="preserve"> Células fúngicas</w:t>
      </w:r>
    </w:p>
    <w:p w:rsidR="00702601" w:rsidRPr="00EE53E6" w:rsidRDefault="00702601" w:rsidP="00C52E09">
      <w:pPr>
        <w:pStyle w:val="TM-3n"/>
        <w:numPr>
          <w:ilvl w:val="2"/>
          <w:numId w:val="91"/>
        </w:numPr>
        <w:tabs>
          <w:tab w:val="clear" w:pos="1276"/>
          <w:tab w:val="left" w:pos="1350"/>
        </w:tabs>
        <w:spacing w:before="120" w:after="0" w:line="276" w:lineRule="auto"/>
        <w:ind w:left="1350"/>
      </w:pPr>
      <w:r w:rsidRPr="00EE53E6">
        <w:lastRenderedPageBreak/>
        <w:t xml:space="preserve">A heterogeneidade dos fungos faz com que a sua classificação seja muito complicada. </w:t>
      </w:r>
      <w:r w:rsidRPr="00EE53E6">
        <w:rPr>
          <w:lang w:val="pt-BR"/>
        </w:rPr>
        <w:t xml:space="preserve">Os fungos são classificados em 5 filos (Ascomicetos, Basidiomicetos, Zigomicetos, Citridiomicetos e Deuteromicetos ou Fungos Imperfeitos). O maior filo é o Ascomicetos que apresenta cerca de 85% dos patógenos humanos. </w:t>
      </w:r>
    </w:p>
    <w:p w:rsidR="00702601" w:rsidRPr="00EE53E6" w:rsidRDefault="00702601" w:rsidP="00C52E09">
      <w:pPr>
        <w:pStyle w:val="TM-3n"/>
        <w:numPr>
          <w:ilvl w:val="2"/>
          <w:numId w:val="91"/>
        </w:numPr>
        <w:tabs>
          <w:tab w:val="clear" w:pos="1276"/>
          <w:tab w:val="left" w:pos="1350"/>
        </w:tabs>
        <w:spacing w:before="120" w:after="0" w:line="276" w:lineRule="auto"/>
        <w:ind w:left="1350"/>
      </w:pPr>
      <w:r w:rsidRPr="00EE53E6">
        <w:rPr>
          <w:lang w:val="pt-BR"/>
        </w:rPr>
        <w:t>O ciclo de vida dos fungos é variado, e incluí uma reprodução sexuada e assexuada (com a excepção dos Fungos Imperfeitos que não apresentam ou não se conhece a fase de reprodução sexuada) com formação de esporos sexuais e assexuais (também chamados de conídeos)</w:t>
      </w:r>
    </w:p>
    <w:p w:rsidR="00702601" w:rsidRPr="00EE53E6" w:rsidRDefault="00702601" w:rsidP="00702601">
      <w:pPr>
        <w:pStyle w:val="TM-3n"/>
        <w:numPr>
          <w:ilvl w:val="0"/>
          <w:numId w:val="0"/>
        </w:numPr>
        <w:tabs>
          <w:tab w:val="clear" w:pos="1276"/>
          <w:tab w:val="left" w:pos="1350"/>
        </w:tabs>
        <w:spacing w:before="120" w:after="0" w:line="276" w:lineRule="auto"/>
        <w:ind w:left="1350"/>
        <w:rPr>
          <w:color w:val="FF0000"/>
          <w:lang w:val="pt-BR"/>
        </w:rPr>
      </w:pPr>
      <w:r>
        <w:rPr>
          <w:noProof/>
          <w:color w:val="FF0000"/>
          <w:lang w:val="en-ZW" w:eastAsia="en-ZW"/>
        </w:rPr>
        <w:drawing>
          <wp:inline distT="0" distB="0" distL="0" distR="0" wp14:anchorId="3A19D526" wp14:editId="0C12E7DA">
            <wp:extent cx="5727700" cy="4127500"/>
            <wp:effectExtent l="19050" t="0" r="6350" b="0"/>
            <wp:docPr id="12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9" cstate="print"/>
                    <a:srcRect/>
                    <a:stretch>
                      <a:fillRect/>
                    </a:stretch>
                  </pic:blipFill>
                  <pic:spPr bwMode="auto">
                    <a:xfrm>
                      <a:off x="0" y="0"/>
                      <a:ext cx="5727700" cy="4127500"/>
                    </a:xfrm>
                    <a:prstGeom prst="rect">
                      <a:avLst/>
                    </a:prstGeom>
                    <a:noFill/>
                    <a:ln w="9525">
                      <a:noFill/>
                      <a:miter lim="800000"/>
                      <a:headEnd/>
                      <a:tailEnd/>
                    </a:ln>
                  </pic:spPr>
                </pic:pic>
              </a:graphicData>
            </a:graphic>
          </wp:inline>
        </w:drawing>
      </w:r>
    </w:p>
    <w:p w:rsidR="00702601" w:rsidRPr="00EE53E6" w:rsidRDefault="00702601" w:rsidP="00702601">
      <w:pPr>
        <w:spacing w:before="120"/>
        <w:jc w:val="center"/>
        <w:rPr>
          <w:rFonts w:cs="Arial"/>
          <w:sz w:val="12"/>
          <w:szCs w:val="12"/>
        </w:rPr>
      </w:pPr>
      <w:r w:rsidRPr="00EE53E6">
        <w:rPr>
          <w:rFonts w:cs="Arial"/>
          <w:sz w:val="12"/>
          <w:szCs w:val="12"/>
        </w:rPr>
        <w:t>Fonte: Penn State University, department of biology, https://wikispaces.psu.edu/display/110Master/Fungi+II+-+Phyla+Ascomycota+and+Basidiomycota</w:t>
      </w:r>
    </w:p>
    <w:p w:rsidR="00702601" w:rsidRPr="00EE53E6" w:rsidRDefault="00702601" w:rsidP="00702601">
      <w:pPr>
        <w:spacing w:before="120"/>
        <w:jc w:val="center"/>
        <w:rPr>
          <w:rFonts w:cs="Arial"/>
          <w:lang w:val="pt-BR"/>
        </w:rPr>
      </w:pPr>
      <w:r w:rsidRPr="00EE53E6">
        <w:rPr>
          <w:rFonts w:cs="Arial"/>
          <w:b/>
          <w:lang w:val="pt-BR"/>
        </w:rPr>
        <w:t>Figura 3</w:t>
      </w:r>
      <w:r w:rsidR="00EB2A96">
        <w:rPr>
          <w:rFonts w:cs="Arial"/>
          <w:b/>
          <w:lang w:val="pt-BR"/>
        </w:rPr>
        <w:t>:</w:t>
      </w:r>
      <w:r w:rsidRPr="00EE53E6">
        <w:rPr>
          <w:rFonts w:cs="Arial"/>
          <w:lang w:val="pt-BR"/>
        </w:rPr>
        <w:t xml:space="preserve"> Ciclo de vida dos ascomicetos (a fase sexual e assexuada e formação de esporos sexuais e assexuais)</w:t>
      </w:r>
    </w:p>
    <w:p w:rsidR="00702601" w:rsidRPr="00EE53E6" w:rsidRDefault="00702601" w:rsidP="00C52E09">
      <w:pPr>
        <w:pStyle w:val="TM-3n"/>
        <w:numPr>
          <w:ilvl w:val="2"/>
          <w:numId w:val="91"/>
        </w:numPr>
        <w:tabs>
          <w:tab w:val="clear" w:pos="1276"/>
          <w:tab w:val="left" w:pos="1350"/>
        </w:tabs>
        <w:spacing w:before="120" w:after="0" w:line="276" w:lineRule="auto"/>
        <w:ind w:left="1350"/>
      </w:pPr>
      <w:r w:rsidRPr="00EE53E6">
        <w:t>No geral, os fungos de interesse clínico são fungos microscópicos, mas que em muitos casos podem produzir lesões facilmente visíveis.</w:t>
      </w:r>
    </w:p>
    <w:p w:rsidR="00702601" w:rsidRPr="00EE53E6" w:rsidRDefault="00702601" w:rsidP="00C52E09">
      <w:pPr>
        <w:pStyle w:val="TM-2n"/>
        <w:numPr>
          <w:ilvl w:val="1"/>
          <w:numId w:val="91"/>
        </w:numPr>
        <w:spacing w:before="120" w:after="0" w:line="276" w:lineRule="auto"/>
        <w:ind w:hanging="645"/>
        <w:rPr>
          <w:b/>
        </w:rPr>
      </w:pPr>
      <w:r w:rsidRPr="00EE53E6">
        <w:rPr>
          <w:b/>
        </w:rPr>
        <w:t>Características</w:t>
      </w:r>
    </w:p>
    <w:p w:rsidR="00702601" w:rsidRPr="00EE53E6" w:rsidRDefault="00702601" w:rsidP="00C52E09">
      <w:pPr>
        <w:pStyle w:val="TM-3n"/>
        <w:numPr>
          <w:ilvl w:val="2"/>
          <w:numId w:val="91"/>
        </w:numPr>
        <w:tabs>
          <w:tab w:val="clear" w:pos="1276"/>
          <w:tab w:val="left" w:pos="1350"/>
        </w:tabs>
        <w:spacing w:before="120" w:after="0" w:line="276" w:lineRule="auto"/>
        <w:ind w:left="1350"/>
      </w:pPr>
      <w:r w:rsidRPr="00EE53E6">
        <w:t>Os fungos possuem algumas características semelhantes à dos animais, como a ausência de cloroplastos e a alimentação heterotrófica.</w:t>
      </w:r>
    </w:p>
    <w:p w:rsidR="00702601" w:rsidRPr="00EE53E6" w:rsidRDefault="00702601" w:rsidP="00C52E09">
      <w:pPr>
        <w:pStyle w:val="TM-3n"/>
        <w:numPr>
          <w:ilvl w:val="2"/>
          <w:numId w:val="91"/>
        </w:numPr>
        <w:tabs>
          <w:tab w:val="clear" w:pos="1276"/>
          <w:tab w:val="left" w:pos="1350"/>
        </w:tabs>
        <w:spacing w:before="120" w:after="0" w:line="276" w:lineRule="auto"/>
        <w:ind w:left="1350"/>
      </w:pPr>
      <w:r w:rsidRPr="00EE53E6">
        <w:t>Porem, os fungos também apresentam características semelhantes à dos vegetais, como a presença de parede celular, reprodução sexuada e assexuada, e produção de esporos.</w:t>
      </w:r>
    </w:p>
    <w:p w:rsidR="00702601" w:rsidRPr="00EE53E6" w:rsidRDefault="00702601" w:rsidP="00C52E09">
      <w:pPr>
        <w:pStyle w:val="TM-3n"/>
        <w:numPr>
          <w:ilvl w:val="2"/>
          <w:numId w:val="91"/>
        </w:numPr>
        <w:tabs>
          <w:tab w:val="clear" w:pos="1276"/>
          <w:tab w:val="left" w:pos="1350"/>
        </w:tabs>
        <w:spacing w:before="120" w:after="0" w:line="276" w:lineRule="auto"/>
        <w:ind w:left="1350"/>
      </w:pPr>
      <w:r w:rsidRPr="00EE53E6">
        <w:t>Os fungos são muito abundantes na natureza. Desenvolvem-se no solo, na matéria morta, ou como simbiontes de outros seres vivos.</w:t>
      </w:r>
    </w:p>
    <w:p w:rsidR="00702601" w:rsidRDefault="00702601" w:rsidP="00C52E09">
      <w:pPr>
        <w:pStyle w:val="TM-3n"/>
        <w:numPr>
          <w:ilvl w:val="2"/>
          <w:numId w:val="91"/>
        </w:numPr>
        <w:tabs>
          <w:tab w:val="clear" w:pos="1276"/>
          <w:tab w:val="left" w:pos="1350"/>
        </w:tabs>
        <w:spacing w:before="120" w:after="0" w:line="276" w:lineRule="auto"/>
        <w:ind w:left="1350"/>
      </w:pPr>
      <w:r w:rsidRPr="00EE53E6">
        <w:t>Muitos fungos são parasitas em plantas, animais, ou em outros fungos. Particularmente, alguns fungos podem causar doenças nos seres humanos, algumas delas graves e até fatais se não forem tratadas. Os indivíduos com imunodeficiências são particularmente os mais susceptíveis às doenças provocadas por fungos.</w:t>
      </w:r>
    </w:p>
    <w:p w:rsidR="00702601" w:rsidRPr="00AF1CF5" w:rsidRDefault="00702601" w:rsidP="00C52E09">
      <w:pPr>
        <w:pStyle w:val="TM-2n"/>
        <w:numPr>
          <w:ilvl w:val="1"/>
          <w:numId w:val="91"/>
        </w:numPr>
        <w:spacing w:before="120" w:after="0" w:line="276" w:lineRule="auto"/>
        <w:ind w:hanging="645"/>
        <w:rPr>
          <w:b/>
        </w:rPr>
      </w:pPr>
      <w:r w:rsidRPr="00AF1CF5">
        <w:rPr>
          <w:b/>
        </w:rPr>
        <w:lastRenderedPageBreak/>
        <w:t>Aplicações</w:t>
      </w:r>
    </w:p>
    <w:p w:rsidR="00702601" w:rsidRPr="00EE53E6" w:rsidRDefault="00702601" w:rsidP="00C52E09">
      <w:pPr>
        <w:pStyle w:val="TM-3n"/>
        <w:numPr>
          <w:ilvl w:val="2"/>
          <w:numId w:val="91"/>
        </w:numPr>
        <w:tabs>
          <w:tab w:val="clear" w:pos="1276"/>
          <w:tab w:val="left" w:pos="1350"/>
        </w:tabs>
        <w:spacing w:before="120" w:after="0" w:line="276" w:lineRule="auto"/>
        <w:ind w:left="1350"/>
      </w:pPr>
      <w:r w:rsidRPr="00EE53E6">
        <w:t xml:space="preserve">Desde há muito tempo, os fungos são utilizados como fonte directa de alimentação (por exemplo, alguns cogumelos), e como fermentos na elaboração de outros produtos alimentares (por exemplo, as leveduras). Desde aproximadamente 1940, eles são utilizados na produção de antibióticos (por exemplo, fungos do género </w:t>
      </w:r>
      <w:r w:rsidRPr="00EE53E6">
        <w:rPr>
          <w:i/>
        </w:rPr>
        <w:t>Penicillum</w:t>
      </w:r>
      <w:r w:rsidRPr="00EE53E6">
        <w:t>), e mais recentemente estão a ser desenvolvidas outras aplicações para os fungos, como a produção de outros fármacos não antibióticos, para o controlo de pragas agrícolas.</w:t>
      </w:r>
    </w:p>
    <w:p w:rsidR="00702601" w:rsidRPr="00EE53E6" w:rsidRDefault="00702601" w:rsidP="00702601">
      <w:pPr>
        <w:jc w:val="center"/>
        <w:rPr>
          <w:rFonts w:cs="Arial"/>
          <w:sz w:val="20"/>
        </w:rPr>
      </w:pPr>
      <w:r>
        <w:rPr>
          <w:rFonts w:cs="Arial"/>
          <w:noProof/>
          <w:sz w:val="20"/>
          <w:lang w:val="en-ZW" w:eastAsia="en-ZW"/>
        </w:rPr>
        <w:drawing>
          <wp:inline distT="0" distB="0" distL="0" distR="0" wp14:anchorId="4C554FE4" wp14:editId="7FE6B26B">
            <wp:extent cx="2451100" cy="3073400"/>
            <wp:effectExtent l="19050" t="0" r="6350" b="0"/>
            <wp:docPr id="1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0" cstate="print"/>
                    <a:srcRect/>
                    <a:stretch>
                      <a:fillRect/>
                    </a:stretch>
                  </pic:blipFill>
                  <pic:spPr bwMode="auto">
                    <a:xfrm>
                      <a:off x="0" y="0"/>
                      <a:ext cx="2451100" cy="3073400"/>
                    </a:xfrm>
                    <a:prstGeom prst="rect">
                      <a:avLst/>
                    </a:prstGeom>
                    <a:noFill/>
                    <a:ln w="9525">
                      <a:noFill/>
                      <a:miter lim="800000"/>
                      <a:headEnd/>
                      <a:tailEnd/>
                    </a:ln>
                  </pic:spPr>
                </pic:pic>
              </a:graphicData>
            </a:graphic>
          </wp:inline>
        </w:drawing>
      </w:r>
    </w:p>
    <w:p w:rsidR="00702601" w:rsidRPr="00EE53E6" w:rsidRDefault="00702601" w:rsidP="00702601">
      <w:pPr>
        <w:jc w:val="center"/>
        <w:rPr>
          <w:rFonts w:cs="Arial"/>
          <w:sz w:val="20"/>
          <w:lang w:val="pt-PT"/>
        </w:rPr>
      </w:pPr>
      <w:r w:rsidRPr="00EE53E6">
        <w:rPr>
          <w:rFonts w:cs="Arial"/>
          <w:b/>
          <w:sz w:val="20"/>
          <w:lang w:val="pt-PT"/>
        </w:rPr>
        <w:t>Figura 4</w:t>
      </w:r>
      <w:r w:rsidR="00EB2A96">
        <w:rPr>
          <w:rFonts w:cs="Arial"/>
          <w:b/>
          <w:sz w:val="20"/>
          <w:lang w:val="pt-PT"/>
        </w:rPr>
        <w:t>:</w:t>
      </w:r>
      <w:r w:rsidRPr="00EE53E6">
        <w:rPr>
          <w:rFonts w:cs="Arial"/>
          <w:sz w:val="20"/>
          <w:lang w:val="pt-PT"/>
        </w:rPr>
        <w:t xml:space="preserve"> Placa de Petri com fungos </w:t>
      </w:r>
      <w:r w:rsidRPr="00EE53E6">
        <w:rPr>
          <w:rFonts w:cs="Arial"/>
          <w:i/>
          <w:sz w:val="20"/>
          <w:lang w:val="pt-PT"/>
        </w:rPr>
        <w:t>Penicillum</w:t>
      </w:r>
      <w:r w:rsidRPr="00EE53E6">
        <w:rPr>
          <w:rFonts w:cs="Arial"/>
          <w:sz w:val="20"/>
          <w:lang w:val="pt-PT"/>
        </w:rPr>
        <w:t>.</w:t>
      </w:r>
    </w:p>
    <w:p w:rsidR="00702601" w:rsidRPr="00EE53E6" w:rsidRDefault="00702601" w:rsidP="00C52E09">
      <w:pPr>
        <w:pStyle w:val="TM-3n"/>
        <w:numPr>
          <w:ilvl w:val="2"/>
          <w:numId w:val="91"/>
        </w:numPr>
        <w:tabs>
          <w:tab w:val="clear" w:pos="1276"/>
          <w:tab w:val="left" w:pos="1350"/>
        </w:tabs>
        <w:ind w:left="1350"/>
      </w:pPr>
      <w:r w:rsidRPr="00EE53E6">
        <w:t>Alguns fungos podem produzir compostos tóxicos. Também podem decompor matéria orgânica, materiais artificiais e construções. Os fungos são um extracto fundamental nos ciclos de nutrientes.</w:t>
      </w:r>
    </w:p>
    <w:p w:rsidR="00702601" w:rsidRPr="00EE53E6" w:rsidRDefault="00702601" w:rsidP="00702601">
      <w:pPr>
        <w:shd w:val="clear" w:color="auto" w:fill="B8CCE4"/>
        <w:tabs>
          <w:tab w:val="left" w:pos="1276"/>
          <w:tab w:val="right" w:pos="8550"/>
        </w:tabs>
        <w:spacing w:before="120" w:after="120"/>
        <w:ind w:right="2"/>
        <w:jc w:val="both"/>
        <w:rPr>
          <w:rFonts w:cs="Arial"/>
          <w:b/>
          <w:sz w:val="24"/>
          <w:szCs w:val="24"/>
          <w:lang w:val="pt-PT"/>
        </w:rPr>
      </w:pPr>
      <w:r w:rsidRPr="00EE53E6">
        <w:rPr>
          <w:rFonts w:cs="Arial"/>
          <w:b/>
          <w:sz w:val="24"/>
          <w:szCs w:val="24"/>
          <w:lang w:val="pt-PT"/>
        </w:rPr>
        <w:t>BLOCO 3. CLASSIFICAÇÃO DAS MICOSES</w:t>
      </w:r>
    </w:p>
    <w:p w:rsidR="00702601" w:rsidRPr="00EE53E6" w:rsidRDefault="00702601" w:rsidP="00C52E09">
      <w:pPr>
        <w:pStyle w:val="TM-2n"/>
        <w:numPr>
          <w:ilvl w:val="1"/>
          <w:numId w:val="92"/>
        </w:numPr>
        <w:spacing w:before="120" w:after="0" w:line="276" w:lineRule="auto"/>
        <w:ind w:hanging="645"/>
      </w:pPr>
      <w:r w:rsidRPr="00EE53E6">
        <w:t>De uma forma geral, as doenças produzidas por fungos são conhecidas como micoses. As micoses podem ocorrer ao nível do aparelho respiratório, olhos, unhas, cabelo, pele. Os esporos produzidos por alguns fungos podem produzir alergias.</w:t>
      </w:r>
    </w:p>
    <w:p w:rsidR="00702601" w:rsidRPr="00EE53E6" w:rsidRDefault="00702601" w:rsidP="00C52E09">
      <w:pPr>
        <w:pStyle w:val="TM-2n"/>
        <w:numPr>
          <w:ilvl w:val="1"/>
          <w:numId w:val="92"/>
        </w:numPr>
        <w:spacing w:before="120" w:after="0" w:line="276" w:lineRule="auto"/>
        <w:ind w:hanging="645"/>
      </w:pPr>
      <w:r w:rsidRPr="00EE53E6">
        <w:t>As micoses podem ser classificadas atendendo aos tecidos que são inicialmente colonizados, em:</w:t>
      </w:r>
    </w:p>
    <w:p w:rsidR="00702601" w:rsidRPr="00EE53E6" w:rsidRDefault="00702601" w:rsidP="00C52E09">
      <w:pPr>
        <w:pStyle w:val="TM-2n"/>
        <w:numPr>
          <w:ilvl w:val="2"/>
          <w:numId w:val="92"/>
        </w:numPr>
        <w:spacing w:before="120" w:after="0" w:line="276" w:lineRule="auto"/>
        <w:ind w:left="1440"/>
        <w:rPr>
          <w:b/>
        </w:rPr>
      </w:pPr>
      <w:r w:rsidRPr="00EE53E6">
        <w:rPr>
          <w:b/>
        </w:rPr>
        <w:t>Micoses superficiais.</w:t>
      </w:r>
    </w:p>
    <w:p w:rsidR="00702601" w:rsidRPr="00EE53E6" w:rsidRDefault="00702601" w:rsidP="00C52E09">
      <w:pPr>
        <w:pStyle w:val="TM-3n"/>
        <w:numPr>
          <w:ilvl w:val="2"/>
          <w:numId w:val="89"/>
        </w:numPr>
        <w:tabs>
          <w:tab w:val="clear" w:pos="1276"/>
        </w:tabs>
        <w:spacing w:before="120" w:after="0" w:line="276" w:lineRule="auto"/>
        <w:ind w:left="1890" w:hanging="450"/>
      </w:pPr>
      <w:r w:rsidRPr="00EE53E6">
        <w:t xml:space="preserve">Afectam às camadas mais superficiais de pele e do cabelo. Por exemplo, a </w:t>
      </w:r>
      <w:r w:rsidRPr="00EE53E6">
        <w:rPr>
          <w:i/>
        </w:rPr>
        <w:t>Tinea versicolor</w:t>
      </w:r>
      <w:r w:rsidRPr="00EE53E6">
        <w:t>, que provoca áreas hipopigmentadas ou manchas escuras na pele.</w:t>
      </w:r>
    </w:p>
    <w:p w:rsidR="00702601" w:rsidRPr="00EE53E6" w:rsidRDefault="00702601" w:rsidP="00C52E09">
      <w:pPr>
        <w:pStyle w:val="TM-3n"/>
        <w:numPr>
          <w:ilvl w:val="2"/>
          <w:numId w:val="89"/>
        </w:numPr>
        <w:tabs>
          <w:tab w:val="clear" w:pos="1276"/>
        </w:tabs>
        <w:spacing w:before="120" w:after="0" w:line="276" w:lineRule="auto"/>
        <w:ind w:left="1890" w:hanging="450"/>
      </w:pPr>
      <w:r w:rsidRPr="00EE53E6">
        <w:t>Factores que favorecem ao aparecimento de micoses superficiais são a elevada humidade ou deficiências na imunidade.</w:t>
      </w:r>
    </w:p>
    <w:p w:rsidR="00702601" w:rsidRPr="00EE53E6" w:rsidRDefault="00702601" w:rsidP="00C52E09">
      <w:pPr>
        <w:pStyle w:val="TM-2n"/>
        <w:numPr>
          <w:ilvl w:val="2"/>
          <w:numId w:val="92"/>
        </w:numPr>
        <w:spacing w:before="120" w:after="0" w:line="276" w:lineRule="auto"/>
        <w:ind w:left="1440"/>
        <w:rPr>
          <w:b/>
        </w:rPr>
      </w:pPr>
      <w:r w:rsidRPr="00EE53E6">
        <w:rPr>
          <w:b/>
        </w:rPr>
        <w:t>Micoses cutâneas.</w:t>
      </w:r>
    </w:p>
    <w:p w:rsidR="00702601" w:rsidRPr="00EE53E6" w:rsidRDefault="00702601" w:rsidP="00C52E09">
      <w:pPr>
        <w:pStyle w:val="TM-3n"/>
        <w:numPr>
          <w:ilvl w:val="2"/>
          <w:numId w:val="89"/>
        </w:numPr>
        <w:tabs>
          <w:tab w:val="clear" w:pos="1276"/>
        </w:tabs>
        <w:spacing w:before="120" w:after="0" w:line="276" w:lineRule="auto"/>
        <w:ind w:left="1890" w:hanging="450"/>
      </w:pPr>
      <w:r w:rsidRPr="00EE53E6">
        <w:t>Afectam mais profundamente a epiderme, e incluem doenças invasivas de cabelo e unhas. Estão limitadas as camadas queratinizadas da pele, cabelo e unhas. As micoses cutâneas podem provocar resposta imune do hospedeiro, com mudanças patológicas nas áreas afectadas.</w:t>
      </w:r>
    </w:p>
    <w:p w:rsidR="00702601" w:rsidRPr="00EE53E6" w:rsidRDefault="00702601" w:rsidP="00C52E09">
      <w:pPr>
        <w:pStyle w:val="TM-3n"/>
        <w:numPr>
          <w:ilvl w:val="2"/>
          <w:numId w:val="89"/>
        </w:numPr>
        <w:tabs>
          <w:tab w:val="clear" w:pos="1276"/>
        </w:tabs>
        <w:spacing w:before="120" w:after="0" w:line="276" w:lineRule="auto"/>
        <w:ind w:left="1890" w:hanging="450"/>
      </w:pPr>
      <w:r w:rsidRPr="00EE53E6">
        <w:t>Os fungos que produzem micoses cutâneas são chamados dermatófitos</w:t>
      </w:r>
      <w:r w:rsidRPr="00EE53E6">
        <w:rPr>
          <w:i/>
          <w:iCs/>
        </w:rPr>
        <w:t>.</w:t>
      </w:r>
    </w:p>
    <w:p w:rsidR="00702601" w:rsidRPr="00EE53E6" w:rsidRDefault="00702601" w:rsidP="00C52E09">
      <w:pPr>
        <w:pStyle w:val="TM-2n"/>
        <w:numPr>
          <w:ilvl w:val="2"/>
          <w:numId w:val="92"/>
        </w:numPr>
        <w:spacing w:before="120" w:after="0" w:line="276" w:lineRule="auto"/>
        <w:ind w:left="1440"/>
        <w:rPr>
          <w:b/>
        </w:rPr>
      </w:pPr>
      <w:r w:rsidRPr="00EE53E6">
        <w:rPr>
          <w:b/>
        </w:rPr>
        <w:lastRenderedPageBreak/>
        <w:t>Micoses subcutâneas.</w:t>
      </w:r>
    </w:p>
    <w:p w:rsidR="00702601" w:rsidRPr="00EE53E6" w:rsidRDefault="00702601" w:rsidP="00C52E09">
      <w:pPr>
        <w:pStyle w:val="TM-3n"/>
        <w:numPr>
          <w:ilvl w:val="2"/>
          <w:numId w:val="89"/>
        </w:numPr>
        <w:tabs>
          <w:tab w:val="clear" w:pos="1276"/>
        </w:tabs>
        <w:spacing w:before="120" w:after="0" w:line="276" w:lineRule="auto"/>
        <w:ind w:left="1890" w:hanging="450"/>
      </w:pPr>
      <w:r w:rsidRPr="00EE53E6">
        <w:t>Afectam tecidos subcutâneos, como músculo e fascia. O fungo entra normalmente através de feridas ou aberturas da barreira dérmica.</w:t>
      </w:r>
    </w:p>
    <w:p w:rsidR="00702601" w:rsidRPr="00EE53E6" w:rsidRDefault="00702601" w:rsidP="00C52E09">
      <w:pPr>
        <w:pStyle w:val="TM-3n"/>
        <w:numPr>
          <w:ilvl w:val="2"/>
          <w:numId w:val="89"/>
        </w:numPr>
        <w:tabs>
          <w:tab w:val="clear" w:pos="1276"/>
        </w:tabs>
        <w:spacing w:before="120" w:after="0" w:line="276" w:lineRule="auto"/>
        <w:ind w:left="1890" w:hanging="450"/>
      </w:pPr>
      <w:r w:rsidRPr="00EE53E6">
        <w:t>São de tratamento complicado, requerendo muitas vezes cirurgia.</w:t>
      </w:r>
    </w:p>
    <w:p w:rsidR="00702601" w:rsidRPr="00EE53E6" w:rsidRDefault="00702601" w:rsidP="00C52E09">
      <w:pPr>
        <w:pStyle w:val="TM-2n"/>
        <w:numPr>
          <w:ilvl w:val="2"/>
          <w:numId w:val="92"/>
        </w:numPr>
        <w:spacing w:before="120" w:after="0" w:line="276" w:lineRule="auto"/>
        <w:ind w:left="1440"/>
      </w:pPr>
      <w:r w:rsidRPr="00EE53E6">
        <w:rPr>
          <w:b/>
        </w:rPr>
        <w:t>Micoses sistémicas.</w:t>
      </w:r>
      <w:r w:rsidRPr="00EE53E6">
        <w:t xml:space="preserve"> Afectam vários sistemas orgânicos e podem ser causadas por:</w:t>
      </w:r>
    </w:p>
    <w:p w:rsidR="00702601" w:rsidRPr="00EE53E6" w:rsidRDefault="00702601" w:rsidP="00C52E09">
      <w:pPr>
        <w:pStyle w:val="TM-3n"/>
        <w:numPr>
          <w:ilvl w:val="2"/>
          <w:numId w:val="89"/>
        </w:numPr>
        <w:tabs>
          <w:tab w:val="clear" w:pos="1276"/>
        </w:tabs>
        <w:spacing w:before="120" w:after="0" w:line="276" w:lineRule="auto"/>
        <w:ind w:left="1890" w:hanging="450"/>
      </w:pPr>
      <w:r w:rsidRPr="00EE53E6">
        <w:t>Patógenos primários. Normalmente se originam nos pulmões, disseminando-se a partir deles. Os microrganismos que as produzem são virulentos. Um exemplo é o histoplasma.</w:t>
      </w:r>
    </w:p>
    <w:p w:rsidR="00702601" w:rsidRDefault="00702601" w:rsidP="00C52E09">
      <w:pPr>
        <w:pStyle w:val="TM-3n"/>
        <w:numPr>
          <w:ilvl w:val="2"/>
          <w:numId w:val="89"/>
        </w:numPr>
        <w:tabs>
          <w:tab w:val="clear" w:pos="1276"/>
        </w:tabs>
        <w:spacing w:before="120" w:after="0" w:line="276" w:lineRule="auto"/>
        <w:ind w:left="1890" w:hanging="450"/>
      </w:pPr>
      <w:r w:rsidRPr="00EE53E6">
        <w:t>Patógenos oportunistas. Desenvolvem-se em pacientes afectados por alguma imunodeficiência. Entre os fungos oportunistas estão Cândidas, Crytococcos, e Aspergillus.</w:t>
      </w:r>
    </w:p>
    <w:p w:rsidR="00850CFC" w:rsidRPr="00EE53E6" w:rsidRDefault="00850CFC" w:rsidP="00850CFC">
      <w:pPr>
        <w:pStyle w:val="TM-3n"/>
        <w:numPr>
          <w:ilvl w:val="0"/>
          <w:numId w:val="0"/>
        </w:numPr>
        <w:tabs>
          <w:tab w:val="clear" w:pos="1276"/>
        </w:tabs>
        <w:spacing w:before="120" w:after="0" w:line="276" w:lineRule="auto"/>
        <w:ind w:left="1890"/>
      </w:pPr>
    </w:p>
    <w:p w:rsidR="00702601" w:rsidRPr="00EE53E6" w:rsidRDefault="00702601" w:rsidP="00702601">
      <w:pPr>
        <w:shd w:val="clear" w:color="auto" w:fill="B8CCE4"/>
        <w:tabs>
          <w:tab w:val="left" w:pos="1276"/>
          <w:tab w:val="right" w:pos="8550"/>
        </w:tabs>
        <w:spacing w:before="120" w:after="120"/>
        <w:ind w:right="2"/>
        <w:jc w:val="both"/>
        <w:rPr>
          <w:rFonts w:cs="Arial"/>
          <w:b/>
          <w:sz w:val="24"/>
          <w:szCs w:val="24"/>
          <w:lang w:val="pt-PT"/>
        </w:rPr>
      </w:pPr>
      <w:r w:rsidRPr="00EE53E6">
        <w:rPr>
          <w:rFonts w:cs="Arial"/>
          <w:b/>
          <w:sz w:val="24"/>
          <w:szCs w:val="24"/>
          <w:lang w:val="pt-PT"/>
        </w:rPr>
        <w:t>BLOCO 4: DERMATÓFITOS</w:t>
      </w:r>
    </w:p>
    <w:p w:rsidR="00702601" w:rsidRPr="00EE53E6" w:rsidRDefault="00702601" w:rsidP="00C52E09">
      <w:pPr>
        <w:numPr>
          <w:ilvl w:val="1"/>
          <w:numId w:val="93"/>
        </w:numPr>
        <w:spacing w:before="120" w:after="0"/>
        <w:ind w:left="720" w:hanging="720"/>
        <w:jc w:val="both"/>
        <w:rPr>
          <w:rFonts w:cs="Arial"/>
          <w:lang w:val="pt-PT"/>
        </w:rPr>
      </w:pPr>
      <w:r w:rsidRPr="00EE53E6">
        <w:rPr>
          <w:rFonts w:cs="Arial"/>
          <w:lang w:val="pt-PT"/>
        </w:rPr>
        <w:t xml:space="preserve">Os dermatófitos são um grupo de fungos que produzem as micoses cutâneas, também conhecidas como tinhas. Não sua maior parte, os fungos dermatófitos pertencem aos géneros </w:t>
      </w:r>
      <w:r w:rsidRPr="00EE53E6">
        <w:rPr>
          <w:rFonts w:cs="Arial"/>
          <w:i/>
          <w:iCs/>
          <w:lang w:val="pt-PT"/>
        </w:rPr>
        <w:t>Microsporum</w:t>
      </w:r>
      <w:r w:rsidRPr="00EE53E6">
        <w:rPr>
          <w:rFonts w:cs="Arial"/>
          <w:lang w:val="pt-PT"/>
        </w:rPr>
        <w:t xml:space="preserve">, </w:t>
      </w:r>
      <w:r w:rsidRPr="00EE53E6">
        <w:rPr>
          <w:rFonts w:cs="Arial"/>
          <w:i/>
          <w:lang w:val="pt-PT"/>
        </w:rPr>
        <w:t>Trichophyton</w:t>
      </w:r>
      <w:r w:rsidRPr="00EE53E6">
        <w:rPr>
          <w:rFonts w:cs="Arial"/>
          <w:lang w:val="pt-PT"/>
        </w:rPr>
        <w:t xml:space="preserve"> e </w:t>
      </w:r>
      <w:r w:rsidRPr="00EE53E6">
        <w:rPr>
          <w:rFonts w:cs="Arial"/>
          <w:i/>
          <w:lang w:val="pt-PT"/>
        </w:rPr>
        <w:t>Epidermophyton</w:t>
      </w:r>
      <w:r w:rsidRPr="00EE53E6">
        <w:rPr>
          <w:rFonts w:cs="Arial"/>
          <w:lang w:val="pt-PT"/>
        </w:rPr>
        <w:t>. Estes fungos têm a capacidade de digerir a queratina presente na pele, no cabelo e nas unhas.</w:t>
      </w:r>
    </w:p>
    <w:p w:rsidR="00702601" w:rsidRPr="00EE53E6" w:rsidRDefault="00702601" w:rsidP="00702601">
      <w:pPr>
        <w:spacing w:before="120"/>
        <w:ind w:left="450"/>
        <w:jc w:val="center"/>
        <w:rPr>
          <w:rFonts w:cs="Arial"/>
          <w:lang w:val="en-GB"/>
        </w:rPr>
      </w:pPr>
      <w:r>
        <w:rPr>
          <w:rFonts w:cs="Arial"/>
          <w:noProof/>
          <w:lang w:val="en-ZW" w:eastAsia="en-ZW"/>
        </w:rPr>
        <w:drawing>
          <wp:inline distT="0" distB="0" distL="0" distR="0" wp14:anchorId="5057B5D8" wp14:editId="4FE80CCA">
            <wp:extent cx="5279666" cy="1971923"/>
            <wp:effectExtent l="0" t="0" r="0" b="0"/>
            <wp:docPr id="125" name="Object 2"/>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892480" cy="3782308"/>
                      <a:chOff x="251520" y="908720"/>
                      <a:chExt cx="8892480" cy="3782308"/>
                    </a:xfrm>
                  </a:grpSpPr>
                  <a:grpSp>
                    <a:nvGrpSpPr>
                      <a:cNvPr id="6" name="Group 5"/>
                      <a:cNvGrpSpPr/>
                    </a:nvGrpSpPr>
                    <a:grpSpPr>
                      <a:xfrm>
                        <a:off x="251520" y="908720"/>
                        <a:ext cx="8892480" cy="3782308"/>
                        <a:chOff x="251520" y="908720"/>
                        <a:chExt cx="8892480" cy="3782308"/>
                      </a:xfrm>
                    </a:grpSpPr>
                    <a:pic>
                      <a:nvPicPr>
                        <a:cNvPr id="30722" name="Picture 2" descr="http://hardinmd.lib.uiowa.edu/pictures22/cdc/PHIL_4207_lores.jpg"/>
                        <a:cNvPicPr>
                          <a:picLocks noChangeAspect="1" noChangeArrowheads="1"/>
                        </a:cNvPicPr>
                      </a:nvPicPr>
                      <a:blipFill>
                        <a:blip r:embed="rId81"/>
                        <a:srcRect/>
                        <a:stretch>
                          <a:fillRect/>
                        </a:stretch>
                      </a:blipFill>
                      <a:spPr bwMode="auto">
                        <a:xfrm>
                          <a:off x="683568" y="1052736"/>
                          <a:ext cx="3744416" cy="3312368"/>
                        </a:xfrm>
                        <a:prstGeom prst="rect">
                          <a:avLst/>
                        </a:prstGeom>
                        <a:noFill/>
                      </a:spPr>
                    </a:pic>
                    <a:sp>
                      <a:nvSpPr>
                        <a:cNvPr id="3" name="Rectangle 2"/>
                        <a:cNvSpPr/>
                      </a:nvSpPr>
                      <a:spPr>
                        <a:xfrm>
                          <a:off x="251520" y="4437112"/>
                          <a:ext cx="4572000" cy="246221"/>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000" dirty="0" smtClean="0"/>
                              <a:t>http://hardinmd.lib.uiowa.edu/pictures22/cdc/PHIL_4207_lores.jpg</a:t>
                            </a:r>
                            <a:endParaRPr lang="en-GB" sz="1000" dirty="0"/>
                          </a:p>
                        </a:txBody>
                        <a:useSpRect/>
                      </a:txSp>
                    </a:sp>
                    <a:pic>
                      <a:nvPicPr>
                        <a:cNvPr id="30724" name="Picture 4" descr="http://botit.botany.wisc.edu/toms_fungi/images/tped.jpg"/>
                        <a:cNvPicPr>
                          <a:picLocks noChangeAspect="1" noChangeArrowheads="1"/>
                        </a:cNvPicPr>
                      </a:nvPicPr>
                      <a:blipFill>
                        <a:blip r:embed="rId82"/>
                        <a:srcRect/>
                        <a:stretch>
                          <a:fillRect/>
                        </a:stretch>
                      </a:blipFill>
                      <a:spPr bwMode="auto">
                        <a:xfrm>
                          <a:off x="4572000" y="908720"/>
                          <a:ext cx="4267200" cy="3476625"/>
                        </a:xfrm>
                        <a:prstGeom prst="rect">
                          <a:avLst/>
                        </a:prstGeom>
                        <a:noFill/>
                      </a:spPr>
                    </a:pic>
                    <a:sp>
                      <a:nvSpPr>
                        <a:cNvPr id="5" name="Rectangle 4"/>
                        <a:cNvSpPr/>
                      </a:nvSpPr>
                      <a:spPr>
                        <a:xfrm>
                          <a:off x="4572000" y="4437112"/>
                          <a:ext cx="4572000" cy="253916"/>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050" dirty="0" smtClean="0"/>
                              <a:t>http://botit.botany.wisc.edu/toms_fungi/images/tped.jpg</a:t>
                            </a:r>
                            <a:endParaRPr lang="en-GB" sz="1050" dirty="0"/>
                          </a:p>
                        </a:txBody>
                        <a:useSpRect/>
                      </a:txSp>
                    </a:sp>
                  </a:grpSp>
                </lc:lockedCanvas>
              </a:graphicData>
            </a:graphic>
          </wp:inline>
        </w:drawing>
      </w:r>
    </w:p>
    <w:p w:rsidR="00702601" w:rsidRPr="00EE53E6" w:rsidRDefault="00702601" w:rsidP="00702601">
      <w:pPr>
        <w:spacing w:before="120"/>
        <w:ind w:left="450"/>
        <w:jc w:val="center"/>
        <w:rPr>
          <w:rFonts w:cs="Arial"/>
          <w:i/>
          <w:lang w:val="pt-BR"/>
        </w:rPr>
      </w:pPr>
      <w:r w:rsidRPr="00774441">
        <w:rPr>
          <w:rFonts w:cs="Arial"/>
          <w:b/>
          <w:lang w:val="pt-BR"/>
        </w:rPr>
        <w:t>Figura 5:</w:t>
      </w:r>
      <w:r w:rsidRPr="00EE53E6">
        <w:rPr>
          <w:rFonts w:cs="Arial"/>
          <w:lang w:val="pt-BR"/>
        </w:rPr>
        <w:t xml:space="preserve"> Dermatófitos: imagem microscopic à esquerda. Lesoes no pé à direita (</w:t>
      </w:r>
      <w:r w:rsidRPr="00EE53E6">
        <w:rPr>
          <w:rFonts w:cs="Arial"/>
          <w:i/>
          <w:lang w:val="pt-BR"/>
        </w:rPr>
        <w:t>Tinea pedis)</w:t>
      </w:r>
    </w:p>
    <w:p w:rsidR="00702601" w:rsidRPr="00EE53E6" w:rsidRDefault="00702601" w:rsidP="00C52E09">
      <w:pPr>
        <w:numPr>
          <w:ilvl w:val="1"/>
          <w:numId w:val="93"/>
        </w:numPr>
        <w:spacing w:before="120" w:after="0"/>
        <w:ind w:left="180" w:firstLine="0"/>
        <w:jc w:val="both"/>
        <w:rPr>
          <w:rFonts w:cs="Arial"/>
          <w:lang w:val="pt-PT"/>
        </w:rPr>
      </w:pPr>
      <w:r w:rsidRPr="00EE53E6">
        <w:rPr>
          <w:rFonts w:cs="Arial"/>
          <w:lang w:val="pt-PT"/>
        </w:rPr>
        <w:t>Dependendo da sua localização, se podem considerar diferentes tipos de tinha:</w:t>
      </w:r>
    </w:p>
    <w:p w:rsidR="00702601" w:rsidRPr="00EE53E6" w:rsidRDefault="00702601" w:rsidP="00C52E09">
      <w:pPr>
        <w:numPr>
          <w:ilvl w:val="2"/>
          <w:numId w:val="93"/>
        </w:numPr>
        <w:tabs>
          <w:tab w:val="left" w:pos="2250"/>
        </w:tabs>
        <w:spacing w:before="120" w:after="0"/>
        <w:ind w:left="1440"/>
        <w:jc w:val="both"/>
        <w:rPr>
          <w:rFonts w:cs="Arial"/>
          <w:lang w:val="pt-PT"/>
        </w:rPr>
      </w:pPr>
      <w:r w:rsidRPr="00EE53E6">
        <w:rPr>
          <w:rFonts w:cs="Arial"/>
          <w:i/>
          <w:lang w:val="pt-PT"/>
        </w:rPr>
        <w:t>Tinea corporis</w:t>
      </w:r>
      <w:r w:rsidRPr="00EE53E6">
        <w:rPr>
          <w:rFonts w:cs="Arial"/>
          <w:lang w:val="pt-PT"/>
        </w:rPr>
        <w:t>, é a tinha mais frequente no ser humano. Afecta as partes sem pelo do corpo. Normalmente as lesões são anéis vermelhos que rodeiam uma zona central de aspecto normal.</w:t>
      </w:r>
    </w:p>
    <w:p w:rsidR="00702601" w:rsidRPr="00EE53E6" w:rsidRDefault="00702601" w:rsidP="00C52E09">
      <w:pPr>
        <w:numPr>
          <w:ilvl w:val="2"/>
          <w:numId w:val="93"/>
        </w:numPr>
        <w:spacing w:before="120" w:after="0"/>
        <w:ind w:left="1530" w:hanging="810"/>
        <w:jc w:val="both"/>
        <w:rPr>
          <w:rFonts w:cs="Arial"/>
          <w:lang w:val="pt-PT"/>
        </w:rPr>
      </w:pPr>
      <w:r w:rsidRPr="00EE53E6">
        <w:rPr>
          <w:rFonts w:cs="Arial"/>
          <w:i/>
          <w:lang w:val="pt-PT"/>
        </w:rPr>
        <w:t>Tinea pedis</w:t>
      </w:r>
      <w:r w:rsidRPr="00EE53E6">
        <w:rPr>
          <w:rFonts w:cs="Arial"/>
          <w:lang w:val="pt-PT"/>
        </w:rPr>
        <w:t>, também chamada “pé de atleta”. Começa normalmente nos espaços interdigitais, estendendo depois para o resto do pé.</w:t>
      </w:r>
    </w:p>
    <w:p w:rsidR="00702601" w:rsidRPr="00EE53E6" w:rsidRDefault="00702601" w:rsidP="00C52E09">
      <w:pPr>
        <w:numPr>
          <w:ilvl w:val="2"/>
          <w:numId w:val="93"/>
        </w:numPr>
        <w:spacing w:before="120" w:after="0"/>
        <w:ind w:left="1530" w:hanging="810"/>
        <w:jc w:val="both"/>
        <w:rPr>
          <w:rFonts w:cs="Arial"/>
          <w:lang w:val="pt-PT"/>
        </w:rPr>
      </w:pPr>
      <w:r w:rsidRPr="00EE53E6">
        <w:rPr>
          <w:rFonts w:cs="Arial"/>
          <w:i/>
          <w:lang w:val="pt-PT"/>
        </w:rPr>
        <w:t>Tinea cruris,</w:t>
      </w:r>
      <w:r w:rsidRPr="00EE53E6">
        <w:rPr>
          <w:rFonts w:cs="Arial"/>
          <w:lang w:val="pt-PT"/>
        </w:rPr>
        <w:t xml:space="preserve"> lesões escamosas avermelhadas localizadas nas zonas inguinais. As vezes estendem-se a zona perianal e aos glúteos.</w:t>
      </w:r>
    </w:p>
    <w:p w:rsidR="00702601" w:rsidRPr="00EE53E6" w:rsidRDefault="00702601" w:rsidP="00C52E09">
      <w:pPr>
        <w:numPr>
          <w:ilvl w:val="2"/>
          <w:numId w:val="93"/>
        </w:numPr>
        <w:tabs>
          <w:tab w:val="left" w:pos="1530"/>
        </w:tabs>
        <w:spacing w:before="120" w:after="0"/>
        <w:ind w:hanging="1440"/>
        <w:jc w:val="both"/>
        <w:rPr>
          <w:rFonts w:cs="Arial"/>
          <w:lang w:val="pt-PT"/>
        </w:rPr>
      </w:pPr>
      <w:r w:rsidRPr="00EE53E6">
        <w:rPr>
          <w:rFonts w:cs="Arial"/>
          <w:i/>
          <w:lang w:val="pt-PT"/>
        </w:rPr>
        <w:t>Tinea capitis</w:t>
      </w:r>
      <w:r w:rsidRPr="00EE53E6">
        <w:rPr>
          <w:rFonts w:cs="Arial"/>
          <w:lang w:val="pt-PT"/>
        </w:rPr>
        <w:t>, caracteriza-se por lesões crostosas com lesões  claras (hipopigmentadas), com descamação. Os cabelos são infectados, quebrando-se na sua base. Provoca queda do cabelo com alopécia definitiva.</w:t>
      </w:r>
    </w:p>
    <w:p w:rsidR="00702601" w:rsidRDefault="00702601" w:rsidP="00C52E09">
      <w:pPr>
        <w:numPr>
          <w:ilvl w:val="2"/>
          <w:numId w:val="93"/>
        </w:numPr>
        <w:spacing w:before="120" w:after="0"/>
        <w:ind w:left="1530" w:hanging="810"/>
        <w:jc w:val="both"/>
        <w:rPr>
          <w:rFonts w:cs="Arial"/>
          <w:lang w:val="pt-PT"/>
        </w:rPr>
      </w:pPr>
      <w:r w:rsidRPr="00EE53E6">
        <w:rPr>
          <w:rFonts w:cs="Arial"/>
          <w:i/>
          <w:lang w:val="pt-PT"/>
        </w:rPr>
        <w:t>Tinea unguium</w:t>
      </w:r>
      <w:r w:rsidRPr="00EE53E6">
        <w:rPr>
          <w:rFonts w:cs="Arial"/>
          <w:lang w:val="pt-PT"/>
        </w:rPr>
        <w:t>, também chamada por onicomicose. São lesões que ocorrem nas unhas, de aspecto variável, desde manchas esbranquiçadas a destruição da lâmina ungueal.</w:t>
      </w:r>
    </w:p>
    <w:p w:rsidR="00774441" w:rsidRPr="00EE53E6" w:rsidRDefault="00774441" w:rsidP="00774441">
      <w:pPr>
        <w:spacing w:before="120" w:after="0"/>
        <w:ind w:left="1530"/>
        <w:jc w:val="both"/>
        <w:rPr>
          <w:rFonts w:cs="Arial"/>
          <w:lang w:val="pt-PT"/>
        </w:rPr>
      </w:pPr>
    </w:p>
    <w:p w:rsidR="00702601" w:rsidRPr="00EE53E6" w:rsidRDefault="00702601" w:rsidP="00702601">
      <w:pPr>
        <w:shd w:val="clear" w:color="auto" w:fill="B8CCE4"/>
        <w:tabs>
          <w:tab w:val="left" w:pos="1276"/>
          <w:tab w:val="right" w:pos="8550"/>
        </w:tabs>
        <w:spacing w:before="120" w:after="120"/>
        <w:ind w:right="2"/>
        <w:jc w:val="both"/>
        <w:rPr>
          <w:rFonts w:cs="Arial"/>
          <w:b/>
          <w:sz w:val="24"/>
          <w:szCs w:val="24"/>
          <w:lang w:val="pt-PT"/>
        </w:rPr>
      </w:pPr>
      <w:r w:rsidRPr="00EE53E6">
        <w:rPr>
          <w:rFonts w:cs="Arial"/>
          <w:b/>
          <w:sz w:val="24"/>
          <w:szCs w:val="24"/>
          <w:lang w:val="pt-PT"/>
        </w:rPr>
        <w:lastRenderedPageBreak/>
        <w:t>BLOCO 5: CÂNDIDAS</w:t>
      </w:r>
    </w:p>
    <w:p w:rsidR="00702601" w:rsidRPr="00EE53E6" w:rsidRDefault="00702601" w:rsidP="00C52E09">
      <w:pPr>
        <w:numPr>
          <w:ilvl w:val="1"/>
          <w:numId w:val="94"/>
        </w:numPr>
        <w:spacing w:before="120" w:after="0"/>
        <w:ind w:left="630" w:hanging="630"/>
        <w:jc w:val="both"/>
        <w:rPr>
          <w:rFonts w:cs="Arial"/>
          <w:lang w:val="pt-PT"/>
        </w:rPr>
      </w:pPr>
      <w:r w:rsidRPr="00EE53E6">
        <w:rPr>
          <w:rFonts w:cs="Arial"/>
          <w:lang w:val="pt-PT"/>
        </w:rPr>
        <w:t>As cândidas são um género de leveduras, que vivem em simbiose com animais, incluindo os seres humanos. Várias espécies são integrantes das floras normais no intestino e na vagina.</w:t>
      </w:r>
    </w:p>
    <w:p w:rsidR="00702601" w:rsidRPr="00EE53E6" w:rsidRDefault="00702601" w:rsidP="00702601">
      <w:pPr>
        <w:spacing w:before="120"/>
        <w:ind w:left="450"/>
        <w:jc w:val="center"/>
        <w:rPr>
          <w:rFonts w:cs="Arial"/>
          <w:lang w:val="en-GB"/>
        </w:rPr>
      </w:pPr>
      <w:r>
        <w:rPr>
          <w:rFonts w:cs="Arial"/>
          <w:noProof/>
          <w:lang w:val="en-ZW" w:eastAsia="en-ZW"/>
        </w:rPr>
        <w:drawing>
          <wp:inline distT="0" distB="0" distL="0" distR="0" wp14:anchorId="143F7BC0" wp14:editId="627B2A79">
            <wp:extent cx="3551086" cy="1645920"/>
            <wp:effectExtent l="19050" t="0" r="0" b="0"/>
            <wp:docPr id="117" name="Object 1"/>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572000" cy="3126540"/>
                      <a:chOff x="2411760" y="1340769"/>
                      <a:chExt cx="4572000" cy="3126540"/>
                    </a:xfrm>
                  </a:grpSpPr>
                  <a:grpSp>
                    <a:nvGrpSpPr>
                      <a:cNvPr id="4" name="Group 3"/>
                      <a:cNvGrpSpPr/>
                    </a:nvGrpSpPr>
                    <a:grpSpPr>
                      <a:xfrm>
                        <a:off x="2411760" y="1340769"/>
                        <a:ext cx="4572000" cy="3126540"/>
                        <a:chOff x="2411760" y="1340769"/>
                        <a:chExt cx="4572000" cy="3126540"/>
                      </a:xfrm>
                    </a:grpSpPr>
                    <a:pic>
                      <a:nvPicPr>
                        <a:cNvPr id="20482" name="Picture 2" descr="http://pathmicro.med.sc.edu/mycology/candid4.jpg"/>
                        <a:cNvPicPr>
                          <a:picLocks noChangeAspect="1" noChangeArrowheads="1"/>
                        </a:cNvPicPr>
                      </a:nvPicPr>
                      <a:blipFill>
                        <a:blip r:embed="rId83"/>
                        <a:srcRect/>
                        <a:stretch>
                          <a:fillRect/>
                        </a:stretch>
                      </a:blipFill>
                      <a:spPr bwMode="auto">
                        <a:xfrm>
                          <a:off x="2411761" y="1340769"/>
                          <a:ext cx="4392488" cy="2952328"/>
                        </a:xfrm>
                        <a:prstGeom prst="rect">
                          <a:avLst/>
                        </a:prstGeom>
                        <a:noFill/>
                      </a:spPr>
                    </a:pic>
                    <a:sp>
                      <a:nvSpPr>
                        <a:cNvPr id="3" name="Rectangle 2"/>
                        <a:cNvSpPr/>
                      </a:nvSpPr>
                      <a:spPr>
                        <a:xfrm>
                          <a:off x="2411760" y="4221088"/>
                          <a:ext cx="4572000" cy="246221"/>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000" dirty="0" smtClean="0"/>
                              <a:t>http://pathmicro.med.sc.edu/mycology/candid4.jpg</a:t>
                            </a:r>
                            <a:endParaRPr lang="en-GB" sz="1000" dirty="0"/>
                          </a:p>
                        </a:txBody>
                        <a:useSpRect/>
                      </a:txSp>
                    </a:sp>
                  </a:grpSp>
                </lc:lockedCanvas>
              </a:graphicData>
            </a:graphic>
          </wp:inline>
        </w:drawing>
      </w:r>
    </w:p>
    <w:p w:rsidR="00702601" w:rsidRPr="00EE53E6" w:rsidRDefault="00702601" w:rsidP="00702601">
      <w:pPr>
        <w:spacing w:before="120"/>
        <w:ind w:left="450"/>
        <w:jc w:val="center"/>
        <w:rPr>
          <w:rFonts w:cs="Arial"/>
          <w:lang w:val="pt-BR"/>
        </w:rPr>
      </w:pPr>
      <w:r w:rsidRPr="00774441">
        <w:rPr>
          <w:rFonts w:cs="Arial"/>
          <w:b/>
          <w:lang w:val="pt-BR"/>
        </w:rPr>
        <w:t>Figua 6:</w:t>
      </w:r>
      <w:r w:rsidRPr="00EE53E6">
        <w:rPr>
          <w:rFonts w:cs="Arial"/>
          <w:lang w:val="pt-BR"/>
        </w:rPr>
        <w:t xml:space="preserve"> </w:t>
      </w:r>
      <w:r w:rsidRPr="00EE53E6">
        <w:rPr>
          <w:rFonts w:cs="Arial"/>
          <w:i/>
          <w:lang w:val="pt-BR"/>
        </w:rPr>
        <w:t xml:space="preserve">Candida albicans </w:t>
      </w:r>
      <w:r w:rsidRPr="00EE53E6">
        <w:rPr>
          <w:rFonts w:cs="Arial"/>
          <w:lang w:val="pt-BR"/>
        </w:rPr>
        <w:t>em coloração de gram</w:t>
      </w:r>
    </w:p>
    <w:p w:rsidR="00774441" w:rsidRDefault="00702601" w:rsidP="00C52E09">
      <w:pPr>
        <w:numPr>
          <w:ilvl w:val="1"/>
          <w:numId w:val="94"/>
        </w:numPr>
        <w:spacing w:before="120" w:after="0"/>
        <w:ind w:left="630" w:hanging="630"/>
        <w:jc w:val="both"/>
        <w:rPr>
          <w:rFonts w:cs="Arial"/>
          <w:lang w:val="pt-BR"/>
        </w:rPr>
      </w:pPr>
      <w:r w:rsidRPr="00EE53E6">
        <w:rPr>
          <w:rFonts w:cs="Arial"/>
          <w:lang w:val="pt-PT"/>
        </w:rPr>
        <w:t xml:space="preserve">Algumas espécies de Cândida têm a capacidade de  provocar doença, especialmente em situações de debilidade ou quando a imunidade é baixa. </w:t>
      </w:r>
      <w:r w:rsidRPr="00EE53E6">
        <w:rPr>
          <w:rFonts w:cs="Arial"/>
          <w:lang w:val="pt-BR"/>
        </w:rPr>
        <w:t>Portanto, são consideradas patógenos oportunistas.</w:t>
      </w:r>
    </w:p>
    <w:p w:rsidR="00774441" w:rsidRDefault="00702601" w:rsidP="00C52E09">
      <w:pPr>
        <w:numPr>
          <w:ilvl w:val="1"/>
          <w:numId w:val="94"/>
        </w:numPr>
        <w:spacing w:before="120" w:after="0"/>
        <w:ind w:left="630" w:hanging="630"/>
        <w:jc w:val="both"/>
        <w:rPr>
          <w:rFonts w:cs="Arial"/>
          <w:lang w:val="pt-BR"/>
        </w:rPr>
      </w:pPr>
      <w:r w:rsidRPr="00774441">
        <w:rPr>
          <w:rFonts w:cs="Arial"/>
          <w:lang w:val="pt-PT"/>
        </w:rPr>
        <w:t>As infecções por Cândida, ou candidíases, podem ter apresentações clínicas muito diferentes, desde infecções superficiais na boca e na vagina até infecções sistémicas potencialmente fatais. Estas últimas estão limitadas a indivíduos com imunodeficiência grave (por exemplo, em indivíduos HIV positivos).</w:t>
      </w:r>
    </w:p>
    <w:p w:rsidR="00702601" w:rsidRPr="00774441" w:rsidRDefault="00702601" w:rsidP="00C52E09">
      <w:pPr>
        <w:numPr>
          <w:ilvl w:val="1"/>
          <w:numId w:val="94"/>
        </w:numPr>
        <w:spacing w:before="120" w:after="0"/>
        <w:ind w:left="630" w:hanging="630"/>
        <w:jc w:val="both"/>
        <w:rPr>
          <w:rFonts w:cs="Arial"/>
          <w:lang w:val="pt-BR"/>
        </w:rPr>
      </w:pPr>
      <w:r w:rsidRPr="00774441">
        <w:rPr>
          <w:rFonts w:cs="Arial"/>
          <w:lang w:val="pt-PT"/>
        </w:rPr>
        <w:t>Entre as apresentações clínicas mais frequentes, podem ser indicadas as seguintes:</w:t>
      </w:r>
    </w:p>
    <w:p w:rsidR="00702601" w:rsidRPr="00EE53E6" w:rsidRDefault="00702601" w:rsidP="00C52E09">
      <w:pPr>
        <w:numPr>
          <w:ilvl w:val="2"/>
          <w:numId w:val="94"/>
        </w:numPr>
        <w:spacing w:before="120" w:after="0"/>
        <w:ind w:left="1350"/>
        <w:jc w:val="both"/>
        <w:rPr>
          <w:rFonts w:cs="Arial"/>
          <w:lang w:val="pt-PT"/>
        </w:rPr>
      </w:pPr>
      <w:r w:rsidRPr="00EE53E6">
        <w:rPr>
          <w:rFonts w:cs="Arial"/>
          <w:lang w:val="pt-PT"/>
        </w:rPr>
        <w:t>Candidíase oral. É a infecção das membranas mucosas da boca. É comum em recém-nascidos, e também aparece em diabetes mal controladas e infecção pelo HIV. As vezes, as cândidas podem produzir lesão nos vértices da boca, chamada queilite angular.</w:t>
      </w:r>
    </w:p>
    <w:p w:rsidR="00702601" w:rsidRPr="00EE53E6" w:rsidRDefault="00702601" w:rsidP="00702601">
      <w:pPr>
        <w:spacing w:before="120"/>
        <w:ind w:left="1080"/>
        <w:jc w:val="center"/>
        <w:rPr>
          <w:rFonts w:cs="Arial"/>
          <w:lang w:val="en-GB"/>
        </w:rPr>
      </w:pPr>
      <w:r>
        <w:rPr>
          <w:rFonts w:cs="Arial"/>
          <w:noProof/>
          <w:lang w:val="en-ZW" w:eastAsia="en-ZW"/>
        </w:rPr>
        <w:drawing>
          <wp:inline distT="0" distB="0" distL="0" distR="0" wp14:anchorId="2A1946DD" wp14:editId="26C05D22">
            <wp:extent cx="3755252" cy="2337683"/>
            <wp:effectExtent l="19050" t="0" r="0" b="0"/>
            <wp:docPr id="116" name="Object 2"/>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752528" cy="3342565"/>
                      <a:chOff x="2051720" y="980728"/>
                      <a:chExt cx="4752528" cy="3342565"/>
                    </a:xfrm>
                  </a:grpSpPr>
                  <a:grpSp>
                    <a:nvGrpSpPr>
                      <a:cNvPr id="8" name="Group 7"/>
                      <a:cNvGrpSpPr/>
                    </a:nvGrpSpPr>
                    <a:grpSpPr>
                      <a:xfrm>
                        <a:off x="2051720" y="980728"/>
                        <a:ext cx="4752528" cy="3342565"/>
                        <a:chOff x="2051720" y="980728"/>
                        <a:chExt cx="4752528" cy="3342565"/>
                      </a:xfrm>
                    </a:grpSpPr>
                    <a:pic>
                      <a:nvPicPr>
                        <a:cNvPr id="32770" name="Picture 2" descr="http://hardinmd.lib.uiowa.edu/pictures22/cdc/PHIL_1217_lores.jpg"/>
                        <a:cNvPicPr>
                          <a:picLocks noChangeAspect="1" noChangeArrowheads="1"/>
                        </a:cNvPicPr>
                      </a:nvPicPr>
                      <a:blipFill>
                        <a:blip r:embed="rId84"/>
                        <a:srcRect/>
                        <a:stretch>
                          <a:fillRect/>
                        </a:stretch>
                      </a:blipFill>
                      <a:spPr bwMode="auto">
                        <a:xfrm>
                          <a:off x="2051720" y="980728"/>
                          <a:ext cx="4585476" cy="3096344"/>
                        </a:xfrm>
                        <a:prstGeom prst="rect">
                          <a:avLst/>
                        </a:prstGeom>
                        <a:noFill/>
                      </a:spPr>
                    </a:pic>
                    <a:sp>
                      <a:nvSpPr>
                        <a:cNvPr id="3" name="Rectangle 2"/>
                        <a:cNvSpPr/>
                      </a:nvSpPr>
                      <a:spPr>
                        <a:xfrm>
                          <a:off x="2051720" y="4077072"/>
                          <a:ext cx="4572000" cy="246221"/>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000" dirty="0" smtClean="0"/>
                              <a:t>http://hardinmd.lib.uiowa.edu/pictures22/cdc/PHIL_1217_lores.jpg</a:t>
                            </a:r>
                            <a:endParaRPr lang="en-GB" sz="1000" dirty="0"/>
                          </a:p>
                        </a:txBody>
                        <a:useSpRect/>
                      </a:txSp>
                    </a:sp>
                    <a:sp>
                      <a:nvSpPr>
                        <a:cNvPr id="4" name="Right Arrow 3"/>
                        <a:cNvSpPr/>
                      </a:nvSpPr>
                      <a:spPr>
                        <a:xfrm rot="8468213">
                          <a:off x="5580112" y="1340768"/>
                          <a:ext cx="1224136" cy="648072"/>
                        </a:xfrm>
                        <a:prstGeom prst="rightArrow">
                          <a:avLst/>
                        </a:prstGeom>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6" name="Right Arrow 5"/>
                        <a:cNvSpPr/>
                      </a:nvSpPr>
                      <a:spPr>
                        <a:xfrm rot="8468213">
                          <a:off x="3651955" y="1628017"/>
                          <a:ext cx="804207" cy="334890"/>
                        </a:xfrm>
                        <a:prstGeom prst="rightArrow">
                          <a:avLst/>
                        </a:prstGeom>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7" name="Right Arrow 6"/>
                        <a:cNvSpPr/>
                      </a:nvSpPr>
                      <a:spPr>
                        <a:xfrm rot="3136314">
                          <a:off x="4380254" y="1493030"/>
                          <a:ext cx="786618" cy="447365"/>
                        </a:xfrm>
                        <a:prstGeom prst="rightArrow">
                          <a:avLst/>
                        </a:prstGeom>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grpSp>
                </lc:lockedCanvas>
              </a:graphicData>
            </a:graphic>
          </wp:inline>
        </w:drawing>
      </w:r>
    </w:p>
    <w:p w:rsidR="00702601" w:rsidRPr="00EE53E6" w:rsidRDefault="00702601" w:rsidP="00702601">
      <w:pPr>
        <w:spacing w:before="120"/>
        <w:ind w:left="1080"/>
        <w:jc w:val="center"/>
        <w:rPr>
          <w:rFonts w:cs="Arial"/>
          <w:lang w:val="pt-PT"/>
        </w:rPr>
      </w:pPr>
      <w:r w:rsidRPr="00774441">
        <w:rPr>
          <w:rFonts w:cs="Arial"/>
          <w:b/>
          <w:lang w:val="en-GB"/>
        </w:rPr>
        <w:t>Figura 7:</w:t>
      </w:r>
      <w:r w:rsidRPr="00EE53E6">
        <w:rPr>
          <w:rFonts w:cs="Arial"/>
          <w:lang w:val="en-GB"/>
        </w:rPr>
        <w:t xml:space="preserve"> Candidíase Oral</w:t>
      </w:r>
    </w:p>
    <w:p w:rsidR="00702601" w:rsidRPr="00EE53E6" w:rsidRDefault="00702601" w:rsidP="00C52E09">
      <w:pPr>
        <w:numPr>
          <w:ilvl w:val="2"/>
          <w:numId w:val="94"/>
        </w:numPr>
        <w:spacing w:before="120" w:after="0"/>
        <w:ind w:left="1350"/>
        <w:jc w:val="both"/>
        <w:rPr>
          <w:rFonts w:cs="Arial"/>
          <w:lang w:val="pt-PT"/>
        </w:rPr>
      </w:pPr>
      <w:r w:rsidRPr="00EE53E6">
        <w:rPr>
          <w:rFonts w:cs="Arial"/>
          <w:lang w:val="pt-PT"/>
        </w:rPr>
        <w:t>Vulvovaginite por cândida. É a infecção das membranas mucosas da vagina. Produz irritação e ardor, com secreção esbranquiçada espessa. É questionável se esta infecção  é ou não infecção de transmissão sexual. A vulvovaginite por cândida persistente é típica na infecção pelo HIV. No homem pode-se produzir também infecção genital, com irritação e inchaço da glande e prepúcio.</w:t>
      </w:r>
    </w:p>
    <w:p w:rsidR="00702601" w:rsidRPr="00EE53E6" w:rsidRDefault="00702601" w:rsidP="00C52E09">
      <w:pPr>
        <w:numPr>
          <w:ilvl w:val="2"/>
          <w:numId w:val="94"/>
        </w:numPr>
        <w:spacing w:before="120" w:after="0"/>
        <w:ind w:left="1350"/>
        <w:jc w:val="both"/>
        <w:rPr>
          <w:rFonts w:cs="Arial"/>
          <w:lang w:val="pt-PT"/>
        </w:rPr>
      </w:pPr>
      <w:r w:rsidRPr="00EE53E6">
        <w:rPr>
          <w:rFonts w:cs="Arial"/>
          <w:lang w:val="pt-PT"/>
        </w:rPr>
        <w:t>Candidíase cutânea. É a infecção da pele em áreas localizadas, especialmente nas zonas com muita humidade, como virilhas ou pregas abdominais.</w:t>
      </w:r>
    </w:p>
    <w:p w:rsidR="00702601" w:rsidRPr="00EE53E6" w:rsidRDefault="00702601" w:rsidP="00C52E09">
      <w:pPr>
        <w:numPr>
          <w:ilvl w:val="2"/>
          <w:numId w:val="94"/>
        </w:numPr>
        <w:spacing w:before="120" w:after="0"/>
        <w:ind w:left="1350"/>
        <w:jc w:val="both"/>
        <w:rPr>
          <w:rFonts w:cs="Arial"/>
          <w:lang w:val="pt-PT"/>
        </w:rPr>
      </w:pPr>
      <w:r w:rsidRPr="00EE53E6">
        <w:rPr>
          <w:rFonts w:cs="Arial"/>
          <w:lang w:val="pt-PT"/>
        </w:rPr>
        <w:lastRenderedPageBreak/>
        <w:t>Candidíase esofágica. É uma infecção oportunista do esófago, muito habitual em estadios avançados da infecção pelo HIV.</w:t>
      </w:r>
    </w:p>
    <w:p w:rsidR="00702601" w:rsidRPr="00EE53E6" w:rsidRDefault="00702601" w:rsidP="00C52E09">
      <w:pPr>
        <w:numPr>
          <w:ilvl w:val="2"/>
          <w:numId w:val="94"/>
        </w:numPr>
        <w:spacing w:before="120" w:after="0"/>
        <w:ind w:left="1350"/>
        <w:jc w:val="both"/>
        <w:rPr>
          <w:rFonts w:cs="Arial"/>
          <w:lang w:val="pt-BR"/>
        </w:rPr>
      </w:pPr>
      <w:r w:rsidRPr="00EE53E6">
        <w:rPr>
          <w:rFonts w:cs="Arial"/>
          <w:lang w:val="pt-PT"/>
        </w:rPr>
        <w:t xml:space="preserve">Candidíase sistémica. É a disseminação da infecção por Cândida em todo o organismo, provocando sépsis (infecção generalizada com falência dos mecanismos homeostaticos hemodinâmicos que pode levar a morte). </w:t>
      </w:r>
      <w:r w:rsidRPr="00EE53E6">
        <w:rPr>
          <w:rFonts w:cs="Arial"/>
          <w:lang w:val="pt-BR"/>
        </w:rPr>
        <w:t>Unicamente se produz em indivíduos com imunodeficiência.</w:t>
      </w:r>
    </w:p>
    <w:p w:rsidR="00702601" w:rsidRPr="00EE53E6" w:rsidRDefault="00702601" w:rsidP="00702601">
      <w:pPr>
        <w:pStyle w:val="TM-0"/>
      </w:pPr>
    </w:p>
    <w:p w:rsidR="00702601" w:rsidRPr="00EE53E6" w:rsidRDefault="00702601" w:rsidP="00702601">
      <w:pPr>
        <w:shd w:val="clear" w:color="auto" w:fill="B8CCE4"/>
        <w:tabs>
          <w:tab w:val="left" w:pos="1276"/>
          <w:tab w:val="right" w:pos="8550"/>
        </w:tabs>
        <w:spacing w:before="120" w:after="120"/>
        <w:ind w:right="2"/>
        <w:jc w:val="both"/>
        <w:rPr>
          <w:rFonts w:cs="Arial"/>
          <w:b/>
          <w:sz w:val="24"/>
          <w:szCs w:val="24"/>
          <w:lang w:val="pt-PT"/>
        </w:rPr>
      </w:pPr>
      <w:r w:rsidRPr="00EE53E6">
        <w:rPr>
          <w:rFonts w:cs="Arial"/>
          <w:b/>
          <w:sz w:val="24"/>
          <w:szCs w:val="24"/>
          <w:lang w:val="pt-PT"/>
        </w:rPr>
        <w:t>BLOCO 6: MICOSES SISTÉMICAS</w:t>
      </w:r>
    </w:p>
    <w:p w:rsidR="00702601" w:rsidRPr="00EE53E6" w:rsidRDefault="00702601" w:rsidP="00C52E09">
      <w:pPr>
        <w:numPr>
          <w:ilvl w:val="1"/>
          <w:numId w:val="95"/>
        </w:numPr>
        <w:spacing w:before="120" w:after="0"/>
        <w:ind w:left="540" w:hanging="540"/>
        <w:jc w:val="both"/>
        <w:rPr>
          <w:rFonts w:cs="Arial"/>
          <w:i/>
        </w:rPr>
      </w:pPr>
      <w:r w:rsidRPr="00EE53E6">
        <w:rPr>
          <w:rFonts w:cs="Arial"/>
          <w:i/>
        </w:rPr>
        <w:t>Pneumocystis jirovecii</w:t>
      </w:r>
    </w:p>
    <w:p w:rsidR="00702601" w:rsidRPr="00EE53E6" w:rsidRDefault="00702601" w:rsidP="00C52E09">
      <w:pPr>
        <w:numPr>
          <w:ilvl w:val="2"/>
          <w:numId w:val="95"/>
        </w:numPr>
        <w:spacing w:before="120" w:after="0"/>
        <w:ind w:left="1350"/>
        <w:jc w:val="both"/>
        <w:rPr>
          <w:rFonts w:cs="Arial"/>
        </w:rPr>
      </w:pPr>
      <w:r w:rsidRPr="00EE53E6">
        <w:rPr>
          <w:rFonts w:cs="Arial"/>
          <w:lang w:val="pt-PT"/>
        </w:rPr>
        <w:t xml:space="preserve">É um fungo normalmente encontrado nos pulmões de indivíduos saudáveis. Porém, em indivíduos com imunodeficiências pode provocar pneumonia, especialmente nos estádios avançados da infecção pelo HIV. </w:t>
      </w:r>
      <w:r w:rsidRPr="00EE53E6">
        <w:rPr>
          <w:rFonts w:cs="Arial"/>
        </w:rPr>
        <w:t xml:space="preserve">Por isso é considerado </w:t>
      </w:r>
      <w:proofErr w:type="gramStart"/>
      <w:r w:rsidRPr="00EE53E6">
        <w:rPr>
          <w:rFonts w:cs="Arial"/>
        </w:rPr>
        <w:t>como</w:t>
      </w:r>
      <w:proofErr w:type="gramEnd"/>
      <w:r w:rsidRPr="00EE53E6">
        <w:rPr>
          <w:rFonts w:cs="Arial"/>
        </w:rPr>
        <w:t xml:space="preserve"> patógeno oportunista.</w:t>
      </w:r>
    </w:p>
    <w:p w:rsidR="00702601" w:rsidRPr="00EE53E6" w:rsidRDefault="00702601" w:rsidP="00C52E09">
      <w:pPr>
        <w:numPr>
          <w:ilvl w:val="2"/>
          <w:numId w:val="95"/>
        </w:numPr>
        <w:spacing w:before="120" w:after="0"/>
        <w:ind w:left="1350"/>
        <w:jc w:val="both"/>
        <w:rPr>
          <w:rFonts w:cs="Arial"/>
          <w:lang w:val="pt-PT"/>
        </w:rPr>
      </w:pPr>
      <w:r w:rsidRPr="00EE53E6">
        <w:rPr>
          <w:rFonts w:cs="Arial"/>
          <w:lang w:val="pt-PT"/>
        </w:rPr>
        <w:t xml:space="preserve">O </w:t>
      </w:r>
      <w:r w:rsidRPr="00EE53E6">
        <w:rPr>
          <w:rFonts w:cs="Arial"/>
          <w:i/>
          <w:lang w:val="pt-PT"/>
        </w:rPr>
        <w:t>Pneumocystis jirovecii</w:t>
      </w:r>
      <w:r w:rsidRPr="00EE53E6">
        <w:rPr>
          <w:rFonts w:cs="Arial"/>
          <w:lang w:val="pt-PT"/>
        </w:rPr>
        <w:t xml:space="preserve"> pode ser visualizado ao microscópio em escarro ou lavado bronco-alveolar,  corados  de azul de toluidina.</w:t>
      </w:r>
    </w:p>
    <w:p w:rsidR="00702601" w:rsidRPr="00EE53E6" w:rsidRDefault="00C95172" w:rsidP="00C95172">
      <w:pPr>
        <w:spacing w:before="120"/>
        <w:ind w:left="2160"/>
        <w:jc w:val="center"/>
        <w:rPr>
          <w:rFonts w:cs="Arial"/>
          <w:lang w:val="pt-PT"/>
        </w:rPr>
      </w:pPr>
      <w:r>
        <w:rPr>
          <w:rFonts w:cs="Arial"/>
          <w:noProof/>
          <w:lang w:val="en-ZW" w:eastAsia="en-ZW"/>
        </w:rPr>
        <w:drawing>
          <wp:inline distT="0" distB="0" distL="0" distR="0" wp14:anchorId="3CC1BAD1" wp14:editId="6F28B91E">
            <wp:extent cx="3951799" cy="1892411"/>
            <wp:effectExtent l="0" t="0" r="0" b="0"/>
            <wp:docPr id="4" name="Object 3"/>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572000" cy="2838509"/>
                      <a:chOff x="2483768" y="1700808"/>
                      <a:chExt cx="4572000" cy="2838509"/>
                    </a:xfrm>
                  </a:grpSpPr>
                  <a:grpSp>
                    <a:nvGrpSpPr>
                      <a:cNvPr id="4" name="Group 3"/>
                      <a:cNvGrpSpPr/>
                    </a:nvGrpSpPr>
                    <a:grpSpPr>
                      <a:xfrm>
                        <a:off x="2483768" y="1700808"/>
                        <a:ext cx="4572000" cy="2838509"/>
                        <a:chOff x="2483768" y="1700808"/>
                        <a:chExt cx="4572000" cy="2838509"/>
                      </a:xfrm>
                    </a:grpSpPr>
                    <a:pic>
                      <a:nvPicPr>
                        <a:cNvPr id="33794" name="Picture 2" descr="http://faculty.ccbcmd.edu/courses/bio141/labmanua/lab9/images/pcpcysta.jpg"/>
                        <a:cNvPicPr>
                          <a:picLocks noChangeAspect="1" noChangeArrowheads="1"/>
                        </a:cNvPicPr>
                      </a:nvPicPr>
                      <a:blipFill>
                        <a:blip r:embed="rId85"/>
                        <a:srcRect/>
                        <a:stretch>
                          <a:fillRect/>
                        </a:stretch>
                      </a:blipFill>
                      <a:spPr bwMode="auto">
                        <a:xfrm>
                          <a:off x="2699792" y="1700808"/>
                          <a:ext cx="3810000" cy="2581275"/>
                        </a:xfrm>
                        <a:prstGeom prst="rect">
                          <a:avLst/>
                        </a:prstGeom>
                        <a:noFill/>
                      </a:spPr>
                    </a:pic>
                    <a:sp>
                      <a:nvSpPr>
                        <a:cNvPr id="3" name="Rectangle 2"/>
                        <a:cNvSpPr/>
                      </a:nvSpPr>
                      <a:spPr>
                        <a:xfrm>
                          <a:off x="2483768" y="4293096"/>
                          <a:ext cx="4572000" cy="246221"/>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000" dirty="0" smtClean="0"/>
                              <a:t>http://faculty.ccbcmd.edu/courses/bio141/labmanua/lab9/images/pcpcysta.jpg</a:t>
                            </a:r>
                            <a:endParaRPr lang="en-GB" sz="1000" dirty="0"/>
                          </a:p>
                        </a:txBody>
                        <a:useSpRect/>
                      </a:txSp>
                    </a:sp>
                  </a:grpSp>
                </lc:lockedCanvas>
              </a:graphicData>
            </a:graphic>
          </wp:inline>
        </w:drawing>
      </w:r>
    </w:p>
    <w:p w:rsidR="00702601" w:rsidRPr="00EE53E6" w:rsidRDefault="00702601" w:rsidP="00C95172">
      <w:pPr>
        <w:spacing w:before="120"/>
        <w:ind w:left="2160"/>
        <w:jc w:val="center"/>
        <w:rPr>
          <w:rFonts w:cs="Arial"/>
          <w:lang w:val="pt-BR"/>
        </w:rPr>
      </w:pPr>
      <w:r w:rsidRPr="00774441">
        <w:rPr>
          <w:rFonts w:cs="Arial"/>
          <w:b/>
          <w:lang w:val="pt-BR"/>
        </w:rPr>
        <w:t>Figura 8:</w:t>
      </w:r>
      <w:r w:rsidRPr="00EE53E6">
        <w:rPr>
          <w:rFonts w:cs="Arial"/>
          <w:lang w:val="pt-BR"/>
        </w:rPr>
        <w:t xml:space="preserve"> Cistos de </w:t>
      </w:r>
      <w:r w:rsidRPr="00EE53E6">
        <w:rPr>
          <w:rFonts w:cs="Arial"/>
          <w:i/>
          <w:lang w:val="pt-BR"/>
        </w:rPr>
        <w:t>Pneumocystis Jiroveci</w:t>
      </w:r>
    </w:p>
    <w:p w:rsidR="00702601" w:rsidRPr="00EE53E6" w:rsidRDefault="00702601" w:rsidP="00C52E09">
      <w:pPr>
        <w:numPr>
          <w:ilvl w:val="1"/>
          <w:numId w:val="95"/>
        </w:numPr>
        <w:tabs>
          <w:tab w:val="left" w:pos="990"/>
        </w:tabs>
        <w:spacing w:before="120" w:after="0"/>
        <w:ind w:left="540" w:hanging="540"/>
        <w:jc w:val="both"/>
        <w:rPr>
          <w:rFonts w:cs="Arial"/>
          <w:i/>
        </w:rPr>
      </w:pPr>
      <w:r w:rsidRPr="00EE53E6">
        <w:rPr>
          <w:rFonts w:cs="Arial"/>
          <w:i/>
        </w:rPr>
        <w:t>Cryptococcus neoformans</w:t>
      </w:r>
    </w:p>
    <w:p w:rsidR="00702601" w:rsidRPr="00EE53E6" w:rsidRDefault="00702601" w:rsidP="00C52E09">
      <w:pPr>
        <w:numPr>
          <w:ilvl w:val="2"/>
          <w:numId w:val="95"/>
        </w:numPr>
        <w:spacing w:before="120" w:after="0"/>
        <w:ind w:left="1350"/>
        <w:jc w:val="both"/>
        <w:rPr>
          <w:rFonts w:cs="Arial"/>
          <w:lang w:val="pt-BR"/>
        </w:rPr>
      </w:pPr>
      <w:r w:rsidRPr="00EE53E6">
        <w:rPr>
          <w:rFonts w:cs="Arial"/>
          <w:lang w:val="pt-PT"/>
        </w:rPr>
        <w:t xml:space="preserve">É um patógeno oportunista, que é responsável por infecções em pacientes imunocomprometidos. </w:t>
      </w:r>
      <w:r w:rsidRPr="00EE53E6">
        <w:rPr>
          <w:rFonts w:cs="Arial"/>
          <w:lang w:val="pt-BR"/>
        </w:rPr>
        <w:t>Principalmente, pode provocar pneumonia e meningite (criptococose).</w:t>
      </w:r>
    </w:p>
    <w:p w:rsidR="00702601" w:rsidRPr="00EE53E6" w:rsidRDefault="00702601" w:rsidP="00C52E09">
      <w:pPr>
        <w:numPr>
          <w:ilvl w:val="2"/>
          <w:numId w:val="95"/>
        </w:numPr>
        <w:spacing w:before="120" w:after="0"/>
        <w:ind w:left="1350"/>
        <w:jc w:val="both"/>
        <w:rPr>
          <w:rFonts w:cs="Arial"/>
          <w:lang w:val="pt-PT"/>
        </w:rPr>
      </w:pPr>
      <w:r w:rsidRPr="00EE53E6">
        <w:rPr>
          <w:rFonts w:cs="Arial"/>
          <w:lang w:val="pt-PT"/>
        </w:rPr>
        <w:t>O Cryptococcus pode ser visualizado em LCR ou escarro com coloração com tinta de China.</w:t>
      </w:r>
    </w:p>
    <w:p w:rsidR="00702601" w:rsidRPr="00EE53E6" w:rsidRDefault="00702601" w:rsidP="00702601">
      <w:pPr>
        <w:spacing w:before="120"/>
        <w:ind w:left="1080"/>
        <w:jc w:val="center"/>
        <w:rPr>
          <w:rFonts w:cs="Arial"/>
          <w:lang w:val="en-GB"/>
        </w:rPr>
      </w:pPr>
      <w:r>
        <w:rPr>
          <w:rFonts w:cs="Arial"/>
          <w:noProof/>
          <w:lang w:val="en-ZW" w:eastAsia="en-ZW"/>
        </w:rPr>
        <w:drawing>
          <wp:inline distT="0" distB="0" distL="0" distR="0" wp14:anchorId="0852A1E6" wp14:editId="65199A8B">
            <wp:extent cx="4572000" cy="2043485"/>
            <wp:effectExtent l="0" t="0" r="0" b="0"/>
            <wp:docPr id="114" name="Object 4"/>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572000" cy="2823120"/>
                      <a:chOff x="467544" y="1988840"/>
                      <a:chExt cx="4572000" cy="2823120"/>
                    </a:xfrm>
                  </a:grpSpPr>
                  <a:grpSp>
                    <a:nvGrpSpPr>
                      <a:cNvPr id="7" name="Group 6"/>
                      <a:cNvGrpSpPr/>
                    </a:nvGrpSpPr>
                    <a:grpSpPr>
                      <a:xfrm>
                        <a:off x="467544" y="1988840"/>
                        <a:ext cx="4572000" cy="2823120"/>
                        <a:chOff x="467544" y="1988840"/>
                        <a:chExt cx="4572000" cy="2823120"/>
                      </a:xfrm>
                    </a:grpSpPr>
                    <a:pic>
                      <a:nvPicPr>
                        <a:cNvPr id="33796" name="Picture 4" descr="http://sequence-www.stanford.edu/group/C.neoformans/images/cneoindiaink3.jpg"/>
                        <a:cNvPicPr>
                          <a:picLocks noChangeAspect="1" noChangeArrowheads="1"/>
                        </a:cNvPicPr>
                      </a:nvPicPr>
                      <a:blipFill>
                        <a:blip r:embed="rId86"/>
                        <a:srcRect/>
                        <a:stretch>
                          <a:fillRect/>
                        </a:stretch>
                      </a:blipFill>
                      <a:spPr bwMode="auto">
                        <a:xfrm>
                          <a:off x="1043608" y="1988840"/>
                          <a:ext cx="3096344" cy="2520280"/>
                        </a:xfrm>
                        <a:prstGeom prst="rect">
                          <a:avLst/>
                        </a:prstGeom>
                        <a:noFill/>
                      </a:spPr>
                    </a:pic>
                    <a:sp>
                      <a:nvSpPr>
                        <a:cNvPr id="6" name="Rectangle 5"/>
                        <a:cNvSpPr/>
                      </a:nvSpPr>
                      <a:spPr>
                        <a:xfrm>
                          <a:off x="467544" y="4581128"/>
                          <a:ext cx="4572000" cy="230832"/>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900" dirty="0" smtClean="0"/>
                              <a:t>http://sequence-www.stanford.edu/group/C.neoformans/images/cneoindiaink3.jpg</a:t>
                            </a:r>
                            <a:endParaRPr lang="en-GB" sz="900" dirty="0"/>
                          </a:p>
                        </a:txBody>
                        <a:useSpRect/>
                      </a:txSp>
                    </a:sp>
                  </a:grpSp>
                </lc:lockedCanvas>
              </a:graphicData>
            </a:graphic>
          </wp:inline>
        </w:drawing>
      </w:r>
    </w:p>
    <w:p w:rsidR="00702601" w:rsidRPr="00EE53E6" w:rsidRDefault="00702601" w:rsidP="00702601">
      <w:pPr>
        <w:spacing w:before="120"/>
        <w:ind w:left="1080"/>
        <w:jc w:val="center"/>
        <w:rPr>
          <w:rFonts w:cs="Arial"/>
          <w:lang w:val="pt-PT"/>
        </w:rPr>
      </w:pPr>
      <w:r w:rsidRPr="00774441">
        <w:rPr>
          <w:rFonts w:cs="Arial"/>
          <w:b/>
          <w:lang w:val="pt-PT"/>
        </w:rPr>
        <w:t>Figura 9:</w:t>
      </w:r>
      <w:r w:rsidRPr="00EE53E6">
        <w:rPr>
          <w:rFonts w:cs="Arial"/>
          <w:lang w:val="pt-PT"/>
        </w:rPr>
        <w:t xml:space="preserve"> </w:t>
      </w:r>
      <w:r w:rsidRPr="00EE53E6">
        <w:rPr>
          <w:rFonts w:cs="Arial"/>
          <w:i/>
          <w:lang w:val="pt-PT"/>
        </w:rPr>
        <w:t>Cryptococcus neoformans</w:t>
      </w:r>
      <w:r w:rsidRPr="00EE53E6">
        <w:rPr>
          <w:rFonts w:cs="Arial"/>
          <w:lang w:val="pt-PT"/>
        </w:rPr>
        <w:t xml:space="preserve"> em coloração com tinta da china</w:t>
      </w:r>
    </w:p>
    <w:p w:rsidR="00702601" w:rsidRPr="00EE53E6" w:rsidRDefault="00702601" w:rsidP="00C52E09">
      <w:pPr>
        <w:numPr>
          <w:ilvl w:val="1"/>
          <w:numId w:val="95"/>
        </w:numPr>
        <w:spacing w:before="120" w:after="0"/>
        <w:ind w:left="270" w:firstLine="0"/>
        <w:jc w:val="both"/>
        <w:rPr>
          <w:rFonts w:cs="Arial"/>
          <w:i/>
        </w:rPr>
      </w:pPr>
      <w:r w:rsidRPr="00EE53E6">
        <w:rPr>
          <w:rFonts w:cs="Arial"/>
          <w:i/>
        </w:rPr>
        <w:lastRenderedPageBreak/>
        <w:t>Aspergillus spp</w:t>
      </w:r>
    </w:p>
    <w:p w:rsidR="00702601" w:rsidRPr="00EE53E6" w:rsidRDefault="00702601" w:rsidP="00C52E09">
      <w:pPr>
        <w:numPr>
          <w:ilvl w:val="2"/>
          <w:numId w:val="95"/>
        </w:numPr>
        <w:spacing w:before="120" w:after="0"/>
        <w:ind w:left="1350"/>
        <w:jc w:val="both"/>
        <w:rPr>
          <w:rFonts w:cs="Arial"/>
          <w:lang w:val="pt-BR"/>
        </w:rPr>
      </w:pPr>
      <w:r w:rsidRPr="00EE53E6">
        <w:rPr>
          <w:rFonts w:cs="Arial"/>
          <w:lang w:val="pt-PT"/>
        </w:rPr>
        <w:t xml:space="preserve">É também um patógeno oportunista, que causa a pneumonia (Aspergilose) em indivíduos com imunodeficiências. </w:t>
      </w:r>
      <w:r w:rsidRPr="00EE53E6">
        <w:rPr>
          <w:rFonts w:cs="Arial"/>
          <w:lang w:val="pt-BR"/>
        </w:rPr>
        <w:t>Pode também provocar reacções alérgicas.</w:t>
      </w:r>
    </w:p>
    <w:p w:rsidR="00702601" w:rsidRPr="00EE53E6" w:rsidRDefault="00702601" w:rsidP="00C52E09">
      <w:pPr>
        <w:numPr>
          <w:ilvl w:val="2"/>
          <w:numId w:val="95"/>
        </w:numPr>
        <w:spacing w:before="120" w:after="0"/>
        <w:ind w:left="1350"/>
        <w:jc w:val="both"/>
        <w:rPr>
          <w:rFonts w:cs="Arial"/>
          <w:lang w:val="pt-PT"/>
        </w:rPr>
      </w:pPr>
      <w:r w:rsidRPr="00EE53E6">
        <w:rPr>
          <w:rFonts w:cs="Arial"/>
          <w:lang w:val="pt-PT"/>
        </w:rPr>
        <w:t>O aspergillus pode ser visualizado ao microscópico em preparações com tinta de prata.</w:t>
      </w:r>
    </w:p>
    <w:p w:rsidR="00702601" w:rsidRPr="00EE53E6" w:rsidRDefault="00702601" w:rsidP="00702601">
      <w:pPr>
        <w:spacing w:before="120"/>
        <w:ind w:left="1080"/>
        <w:jc w:val="center"/>
        <w:rPr>
          <w:rFonts w:cs="Arial"/>
          <w:lang w:val="en-GB"/>
        </w:rPr>
      </w:pPr>
      <w:r>
        <w:rPr>
          <w:rFonts w:cs="Arial"/>
          <w:noProof/>
          <w:lang w:val="en-ZW" w:eastAsia="en-ZW"/>
        </w:rPr>
        <w:drawing>
          <wp:inline distT="0" distB="0" distL="0" distR="0" wp14:anchorId="224AA3DC" wp14:editId="247CEED6">
            <wp:extent cx="4140200" cy="2197100"/>
            <wp:effectExtent l="0" t="0" r="0" b="0"/>
            <wp:docPr id="113" name="Object 5"/>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572000" cy="3383796"/>
                      <a:chOff x="1619672" y="764704"/>
                      <a:chExt cx="4572000" cy="3383796"/>
                    </a:xfrm>
                  </a:grpSpPr>
                  <a:grpSp>
                    <a:nvGrpSpPr>
                      <a:cNvPr id="4" name="Group 3"/>
                      <a:cNvGrpSpPr/>
                    </a:nvGrpSpPr>
                    <a:grpSpPr>
                      <a:xfrm>
                        <a:off x="1619672" y="764704"/>
                        <a:ext cx="4572000" cy="3383796"/>
                        <a:chOff x="1619672" y="764704"/>
                        <a:chExt cx="4572000" cy="3383796"/>
                      </a:xfrm>
                    </a:grpSpPr>
                    <a:pic>
                      <a:nvPicPr>
                        <a:cNvPr id="34818" name="Picture 2" descr="http://www.deanza.edu/faculty/mccauley/6a_site_images/fungi-images/aspergillus-400.jpg"/>
                        <a:cNvPicPr>
                          <a:picLocks noChangeAspect="1" noChangeArrowheads="1"/>
                        </a:cNvPicPr>
                      </a:nvPicPr>
                      <a:blipFill>
                        <a:blip r:embed="rId87"/>
                        <a:srcRect/>
                        <a:stretch>
                          <a:fillRect/>
                        </a:stretch>
                      </a:blipFill>
                      <a:spPr bwMode="auto">
                        <a:xfrm>
                          <a:off x="1979712" y="764704"/>
                          <a:ext cx="3810000" cy="3181350"/>
                        </a:xfrm>
                        <a:prstGeom prst="rect">
                          <a:avLst/>
                        </a:prstGeom>
                        <a:noFill/>
                      </a:spPr>
                    </a:pic>
                    <a:sp>
                      <a:nvSpPr>
                        <a:cNvPr id="3" name="Rectangle 2"/>
                        <a:cNvSpPr/>
                      </a:nvSpPr>
                      <a:spPr>
                        <a:xfrm>
                          <a:off x="1619672" y="3933056"/>
                          <a:ext cx="4572000" cy="215444"/>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800" dirty="0" smtClean="0"/>
                              <a:t>http://www.deanza.edu/faculty/mccauley/6a_site_images/fungi-images/aspergillus-400.jpg</a:t>
                            </a:r>
                            <a:endParaRPr lang="en-GB" sz="800" dirty="0"/>
                          </a:p>
                        </a:txBody>
                        <a:useSpRect/>
                      </a:txSp>
                    </a:sp>
                  </a:grpSp>
                </lc:lockedCanvas>
              </a:graphicData>
            </a:graphic>
          </wp:inline>
        </w:drawing>
      </w:r>
    </w:p>
    <w:p w:rsidR="00702601" w:rsidRPr="00EE53E6" w:rsidRDefault="00702601" w:rsidP="00702601">
      <w:pPr>
        <w:spacing w:before="120"/>
        <w:ind w:left="1080"/>
        <w:jc w:val="center"/>
        <w:rPr>
          <w:rFonts w:cs="Arial"/>
          <w:i/>
          <w:lang w:val="pt-PT"/>
        </w:rPr>
      </w:pPr>
      <w:r w:rsidRPr="00774441">
        <w:rPr>
          <w:rFonts w:cs="Arial"/>
          <w:b/>
          <w:lang w:val="en-GB"/>
        </w:rPr>
        <w:t>Figura 10:</w:t>
      </w:r>
      <w:r w:rsidRPr="00EE53E6">
        <w:rPr>
          <w:rFonts w:cs="Arial"/>
          <w:lang w:val="en-GB"/>
        </w:rPr>
        <w:t xml:space="preserve"> </w:t>
      </w:r>
      <w:r w:rsidRPr="00EE53E6">
        <w:rPr>
          <w:rFonts w:cs="Arial"/>
          <w:i/>
          <w:lang w:val="en-GB"/>
        </w:rPr>
        <w:t>Aspergillus</w:t>
      </w:r>
    </w:p>
    <w:p w:rsidR="00702601" w:rsidRPr="00EE53E6" w:rsidRDefault="00702601" w:rsidP="00C52E09">
      <w:pPr>
        <w:numPr>
          <w:ilvl w:val="1"/>
          <w:numId w:val="95"/>
        </w:numPr>
        <w:spacing w:before="120" w:after="0"/>
        <w:ind w:left="720" w:hanging="450"/>
        <w:jc w:val="both"/>
        <w:rPr>
          <w:rFonts w:cs="Arial"/>
          <w:i/>
        </w:rPr>
      </w:pPr>
      <w:r w:rsidRPr="00EE53E6">
        <w:rPr>
          <w:rFonts w:cs="Arial"/>
          <w:i/>
        </w:rPr>
        <w:t>Histoplasma capsulatum</w:t>
      </w:r>
    </w:p>
    <w:p w:rsidR="00702601" w:rsidRPr="00EE53E6" w:rsidRDefault="00702601" w:rsidP="00C52E09">
      <w:pPr>
        <w:numPr>
          <w:ilvl w:val="2"/>
          <w:numId w:val="95"/>
        </w:numPr>
        <w:tabs>
          <w:tab w:val="left" w:pos="1440"/>
        </w:tabs>
        <w:spacing w:before="120" w:after="0"/>
        <w:ind w:hanging="1530"/>
        <w:jc w:val="both"/>
        <w:rPr>
          <w:rFonts w:cs="Arial"/>
          <w:lang w:val="pt-PT"/>
        </w:rPr>
      </w:pPr>
      <w:r w:rsidRPr="00EE53E6">
        <w:rPr>
          <w:rFonts w:cs="Arial"/>
          <w:lang w:val="pt-PT"/>
        </w:rPr>
        <w:t>Patógeno oportunista, que causa pneumonia e septicemia em indivíduos com imunodeficiência.</w:t>
      </w:r>
    </w:p>
    <w:p w:rsidR="00702601" w:rsidRPr="00EE53E6" w:rsidRDefault="00702601" w:rsidP="00C52E09">
      <w:pPr>
        <w:numPr>
          <w:ilvl w:val="2"/>
          <w:numId w:val="95"/>
        </w:numPr>
        <w:spacing w:before="120" w:after="0"/>
        <w:ind w:left="1440" w:hanging="810"/>
        <w:jc w:val="both"/>
        <w:rPr>
          <w:rFonts w:cs="Arial"/>
          <w:lang w:val="pt-PT"/>
        </w:rPr>
      </w:pPr>
      <w:r w:rsidRPr="00EE53E6">
        <w:rPr>
          <w:rFonts w:cs="Arial"/>
          <w:lang w:val="pt-PT"/>
        </w:rPr>
        <w:t>O histoplasma pode ser visualizado ao microscópio em amostras de escarro, sangue ou outros órgãos infectados.</w:t>
      </w:r>
    </w:p>
    <w:p w:rsidR="00702601" w:rsidRPr="00EE53E6" w:rsidRDefault="00702601" w:rsidP="00702601">
      <w:pPr>
        <w:spacing w:before="120"/>
        <w:ind w:left="1080"/>
        <w:jc w:val="center"/>
        <w:rPr>
          <w:rFonts w:cs="Arial"/>
          <w:lang w:val="en-GB"/>
        </w:rPr>
      </w:pPr>
      <w:r>
        <w:rPr>
          <w:rFonts w:cs="Arial"/>
          <w:noProof/>
          <w:lang w:val="en-ZW" w:eastAsia="en-ZW"/>
        </w:rPr>
        <w:drawing>
          <wp:inline distT="0" distB="0" distL="0" distR="0" wp14:anchorId="67E35F42" wp14:editId="18CA46D0">
            <wp:extent cx="3703853" cy="1993900"/>
            <wp:effectExtent l="4547" t="0" r="0" b="0"/>
            <wp:docPr id="112" name="Object 6"/>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968552" cy="3486580"/>
                      <a:chOff x="1979712" y="1340769"/>
                      <a:chExt cx="4968552" cy="3486580"/>
                    </a:xfrm>
                  </a:grpSpPr>
                  <a:grpSp>
                    <a:nvGrpSpPr>
                      <a:cNvPr id="4" name="Group 3"/>
                      <a:cNvGrpSpPr/>
                    </a:nvGrpSpPr>
                    <a:grpSpPr>
                      <a:xfrm>
                        <a:off x="1979712" y="1340769"/>
                        <a:ext cx="4968552" cy="3486580"/>
                        <a:chOff x="1979712" y="1340769"/>
                        <a:chExt cx="4968552" cy="3486580"/>
                      </a:xfrm>
                    </a:grpSpPr>
                    <a:pic>
                      <a:nvPicPr>
                        <a:cNvPr id="35842" name="Picture 2" descr="http://pathmicro.med.sc.edu/mycology/hist11.jpg"/>
                        <a:cNvPicPr>
                          <a:picLocks noChangeAspect="1" noChangeArrowheads="1"/>
                        </a:cNvPicPr>
                      </a:nvPicPr>
                      <a:blipFill>
                        <a:blip r:embed="rId88"/>
                        <a:srcRect/>
                        <a:stretch>
                          <a:fillRect/>
                        </a:stretch>
                      </a:blipFill>
                      <a:spPr bwMode="auto">
                        <a:xfrm>
                          <a:off x="1979712" y="1340769"/>
                          <a:ext cx="4968552" cy="3312368"/>
                        </a:xfrm>
                        <a:prstGeom prst="rect">
                          <a:avLst/>
                        </a:prstGeom>
                        <a:noFill/>
                      </a:spPr>
                    </a:pic>
                    <a:sp>
                      <a:nvSpPr>
                        <a:cNvPr id="3" name="Rectangle 2"/>
                        <a:cNvSpPr/>
                      </a:nvSpPr>
                      <a:spPr>
                        <a:xfrm>
                          <a:off x="2051720" y="4581128"/>
                          <a:ext cx="4572000" cy="246221"/>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000" dirty="0" smtClean="0"/>
                              <a:t>http://pathmicro.med.sc.edu/mycology/hist11.jpg</a:t>
                            </a:r>
                            <a:endParaRPr lang="en-GB" sz="1000" dirty="0"/>
                          </a:p>
                        </a:txBody>
                        <a:useSpRect/>
                      </a:txSp>
                    </a:sp>
                  </a:grpSp>
                </lc:lockedCanvas>
              </a:graphicData>
            </a:graphic>
          </wp:inline>
        </w:drawing>
      </w:r>
    </w:p>
    <w:p w:rsidR="00702601" w:rsidRPr="00EE53E6" w:rsidRDefault="00702601" w:rsidP="00702601">
      <w:pPr>
        <w:spacing w:before="120"/>
        <w:ind w:left="1080"/>
        <w:jc w:val="center"/>
        <w:rPr>
          <w:rFonts w:cs="Arial"/>
          <w:i/>
          <w:lang w:val="pt-PT"/>
        </w:rPr>
      </w:pPr>
      <w:r w:rsidRPr="00774441">
        <w:rPr>
          <w:rFonts w:cs="Arial"/>
          <w:b/>
          <w:lang w:val="pt-BR"/>
        </w:rPr>
        <w:t>Figura 11:</w:t>
      </w:r>
      <w:r w:rsidRPr="00663F87">
        <w:rPr>
          <w:rFonts w:cs="Arial"/>
          <w:lang w:val="pt-BR"/>
        </w:rPr>
        <w:t xml:space="preserve"> </w:t>
      </w:r>
      <w:r w:rsidRPr="00663F87">
        <w:rPr>
          <w:rFonts w:cs="Arial"/>
          <w:i/>
          <w:lang w:val="pt-BR"/>
        </w:rPr>
        <w:t>Histoplasma capsulatum</w:t>
      </w:r>
    </w:p>
    <w:p w:rsidR="00702601" w:rsidRPr="00EE53E6" w:rsidRDefault="00702601" w:rsidP="00702601">
      <w:pPr>
        <w:pStyle w:val="TM-3n"/>
        <w:numPr>
          <w:ilvl w:val="0"/>
          <w:numId w:val="0"/>
        </w:numPr>
        <w:tabs>
          <w:tab w:val="clear" w:pos="1276"/>
        </w:tabs>
        <w:spacing w:before="120" w:after="0" w:line="276" w:lineRule="auto"/>
        <w:ind w:left="1094" w:hanging="284"/>
      </w:pPr>
    </w:p>
    <w:p w:rsidR="00702601" w:rsidRPr="00EE53E6" w:rsidRDefault="00702601" w:rsidP="00702601">
      <w:pPr>
        <w:shd w:val="clear" w:color="auto" w:fill="B8CCE4"/>
        <w:tabs>
          <w:tab w:val="left" w:pos="1276"/>
          <w:tab w:val="right" w:pos="8550"/>
        </w:tabs>
        <w:spacing w:before="120" w:after="120"/>
        <w:ind w:right="2"/>
        <w:jc w:val="both"/>
        <w:rPr>
          <w:rFonts w:cs="Arial"/>
          <w:sz w:val="24"/>
          <w:szCs w:val="24"/>
          <w:lang w:val="pt-PT"/>
        </w:rPr>
      </w:pPr>
      <w:r w:rsidRPr="00EE53E6">
        <w:rPr>
          <w:rFonts w:cs="Arial"/>
          <w:b/>
          <w:sz w:val="24"/>
          <w:szCs w:val="24"/>
          <w:lang w:val="pt-PT"/>
        </w:rPr>
        <w:t>BLOCO 7. PONTOS-CHAVE</w:t>
      </w:r>
    </w:p>
    <w:p w:rsidR="00702601" w:rsidRPr="00EE53E6" w:rsidRDefault="00702601" w:rsidP="00702601">
      <w:pPr>
        <w:rPr>
          <w:rFonts w:cs="Arial"/>
          <w:lang w:val="pt-BR"/>
        </w:rPr>
      </w:pPr>
      <w:r w:rsidRPr="00EE53E6">
        <w:rPr>
          <w:rFonts w:cs="Arial"/>
          <w:lang w:val="pt-BR"/>
        </w:rPr>
        <w:t>7.1 Os fungos são um grupo heterogéneo de organismos eucariontes. Grande parte deles é parasita de plantas, animais ou de outros fungos.</w:t>
      </w:r>
    </w:p>
    <w:p w:rsidR="00702601" w:rsidRPr="00EE53E6" w:rsidRDefault="00702601" w:rsidP="00702601">
      <w:pPr>
        <w:rPr>
          <w:rFonts w:cs="Arial"/>
          <w:lang w:val="pt-BR"/>
        </w:rPr>
      </w:pPr>
      <w:r w:rsidRPr="00EE53E6">
        <w:rPr>
          <w:rFonts w:cs="Arial"/>
          <w:lang w:val="pt-BR"/>
        </w:rPr>
        <w:t>7.2 Micoses são doenças em seres humanos provocadas pelos fungos.</w:t>
      </w:r>
    </w:p>
    <w:p w:rsidR="00702601" w:rsidRPr="00EE53E6" w:rsidRDefault="00702601" w:rsidP="00702601">
      <w:pPr>
        <w:rPr>
          <w:rFonts w:cs="Arial"/>
          <w:lang w:val="pt-BR"/>
        </w:rPr>
      </w:pPr>
      <w:r w:rsidRPr="00EE53E6">
        <w:rPr>
          <w:rFonts w:cs="Arial"/>
          <w:lang w:val="pt-BR"/>
        </w:rPr>
        <w:t>7.3 As micoses podem ser classificadas em 4 grupos: superficiais, cutâneas, subcutâneas e sistémicas</w:t>
      </w:r>
      <w:r>
        <w:rPr>
          <w:rFonts w:cs="Arial"/>
          <w:lang w:val="pt-BR"/>
        </w:rPr>
        <w:t>.</w:t>
      </w:r>
    </w:p>
    <w:p w:rsidR="00702601" w:rsidRPr="00EE53E6" w:rsidRDefault="00702601" w:rsidP="00702601">
      <w:pPr>
        <w:rPr>
          <w:rFonts w:cs="Arial"/>
          <w:lang w:val="pt-BR"/>
        </w:rPr>
      </w:pPr>
      <w:r w:rsidRPr="00EE53E6">
        <w:rPr>
          <w:rFonts w:cs="Arial"/>
          <w:lang w:val="pt-BR"/>
        </w:rPr>
        <w:t>7.4 Os dermatófitos são um grupo de fungos que produzem as micoses cutâneas, também conhecidas como tinhas</w:t>
      </w:r>
      <w:r>
        <w:rPr>
          <w:rFonts w:cs="Arial"/>
          <w:lang w:val="pt-BR"/>
        </w:rPr>
        <w:t>.</w:t>
      </w:r>
    </w:p>
    <w:p w:rsidR="00702601" w:rsidRPr="00663F87" w:rsidRDefault="00702601" w:rsidP="00702601">
      <w:pPr>
        <w:rPr>
          <w:rFonts w:cs="Arial"/>
          <w:lang w:val="pt-BR"/>
        </w:rPr>
      </w:pPr>
      <w:r w:rsidRPr="00EE53E6">
        <w:rPr>
          <w:rFonts w:cs="Arial"/>
          <w:lang w:val="pt-BR"/>
        </w:rPr>
        <w:lastRenderedPageBreak/>
        <w:t xml:space="preserve">7.5 As infecções por Cândida, ou candidíases, podem ter apresentações clínicas muito diferentes, desde infecções superficiais na boca e na vagina (as mais frequentes na prática clínica) até infecções sistémicas potencialmente fatais. </w:t>
      </w:r>
      <w:r w:rsidRPr="00663F87">
        <w:rPr>
          <w:rFonts w:cs="Arial"/>
          <w:lang w:val="pt-BR"/>
        </w:rPr>
        <w:t>Estas últimas estão limitadas a indivíduos com imunodeficiência grave (por exemplo, em indivíduos HIV positivos).</w:t>
      </w:r>
    </w:p>
    <w:p w:rsidR="00702601" w:rsidRPr="00EE53E6" w:rsidRDefault="00702601" w:rsidP="00702601">
      <w:pPr>
        <w:rPr>
          <w:rFonts w:cs="Arial"/>
          <w:lang w:val="pt-BR"/>
        </w:rPr>
      </w:pPr>
      <w:r w:rsidRPr="00EE53E6">
        <w:rPr>
          <w:rFonts w:cs="Arial"/>
          <w:lang w:val="pt-BR"/>
        </w:rPr>
        <w:t>7.6 As micoses sistémicas aparecem particularmente em indivíduos imunodeprimidos, e podem ser fatais.</w:t>
      </w:r>
    </w:p>
    <w:p w:rsidR="00702601" w:rsidRDefault="00702601" w:rsidP="00702601">
      <w:pPr>
        <w:rPr>
          <w:rFonts w:cs="Arial"/>
          <w:lang w:val="pt-BR"/>
        </w:rPr>
      </w:pPr>
      <w:r w:rsidRPr="00EE53E6">
        <w:rPr>
          <w:rFonts w:cs="Arial"/>
          <w:lang w:val="pt-BR"/>
        </w:rPr>
        <w:t xml:space="preserve">7.7 As micoses sistémicas mais frequentes em Moçambique são a pneumonia por </w:t>
      </w:r>
      <w:r w:rsidRPr="00EE53E6">
        <w:rPr>
          <w:rFonts w:cs="Arial"/>
          <w:i/>
          <w:lang w:val="pt-BR"/>
        </w:rPr>
        <w:t>Pneumocystis jirovecii</w:t>
      </w:r>
      <w:r w:rsidRPr="00EE53E6">
        <w:rPr>
          <w:rFonts w:cs="Arial"/>
          <w:lang w:val="pt-BR"/>
        </w:rPr>
        <w:t xml:space="preserve"> e a meningite por Crytococcus.</w:t>
      </w:r>
    </w:p>
    <w:p w:rsidR="001A0DDE" w:rsidRDefault="001A0DDE">
      <w:pPr>
        <w:rPr>
          <w:rFonts w:cs="Arial"/>
          <w:lang w:val="pt-BR"/>
        </w:rPr>
      </w:pPr>
      <w:r>
        <w:rPr>
          <w:rFonts w:cs="Arial"/>
          <w:lang w:val="pt-BR"/>
        </w:rPr>
        <w:br w:type="page"/>
      </w:r>
    </w:p>
    <w:tbl>
      <w:tblPr>
        <w:tblW w:w="10060" w:type="dxa"/>
        <w:tblLayout w:type="fixed"/>
        <w:tblCellMar>
          <w:left w:w="70" w:type="dxa"/>
          <w:right w:w="70" w:type="dxa"/>
        </w:tblCellMar>
        <w:tblLook w:val="0020" w:firstRow="1" w:lastRow="0" w:firstColumn="0" w:lastColumn="0" w:noHBand="0" w:noVBand="0"/>
      </w:tblPr>
      <w:tblGrid>
        <w:gridCol w:w="1418"/>
        <w:gridCol w:w="5672"/>
        <w:gridCol w:w="1530"/>
        <w:gridCol w:w="1440"/>
      </w:tblGrid>
      <w:tr w:rsidR="00702601" w:rsidRPr="0053492E" w:rsidTr="00702601">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702601" w:rsidRPr="0053492E" w:rsidRDefault="00702601" w:rsidP="00702601">
            <w:pPr>
              <w:spacing w:line="240" w:lineRule="auto"/>
              <w:rPr>
                <w:rFonts w:cs="Arial"/>
                <w:b/>
              </w:rPr>
            </w:pPr>
            <w:r w:rsidRPr="0053492E">
              <w:rPr>
                <w:rFonts w:cs="Arial"/>
                <w:b/>
              </w:rPr>
              <w:lastRenderedPageBreak/>
              <w:t>Disciplina</w:t>
            </w:r>
          </w:p>
        </w:tc>
        <w:tc>
          <w:tcPr>
            <w:tcW w:w="5672" w:type="dxa"/>
            <w:tcBorders>
              <w:top w:val="single" w:sz="6" w:space="0" w:color="000000"/>
              <w:left w:val="single" w:sz="6" w:space="0" w:color="000000"/>
              <w:bottom w:val="single" w:sz="6" w:space="0" w:color="000000"/>
              <w:right w:val="single" w:sz="6" w:space="0" w:color="000000"/>
            </w:tcBorders>
            <w:vAlign w:val="center"/>
          </w:tcPr>
          <w:p w:rsidR="00702601" w:rsidRPr="0053492E" w:rsidRDefault="00702601" w:rsidP="00702601">
            <w:pPr>
              <w:spacing w:line="240" w:lineRule="auto"/>
              <w:rPr>
                <w:rFonts w:cs="Arial"/>
              </w:rPr>
            </w:pPr>
            <w:r w:rsidRPr="0053492E">
              <w:rPr>
                <w:rFonts w:cs="Arial"/>
              </w:rPr>
              <w:t>Introdução às Ciências Médicas</w:t>
            </w:r>
          </w:p>
        </w:tc>
        <w:tc>
          <w:tcPr>
            <w:tcW w:w="1530" w:type="dxa"/>
            <w:tcBorders>
              <w:top w:val="single" w:sz="6" w:space="0" w:color="000000"/>
              <w:left w:val="single" w:sz="6" w:space="0" w:color="000000"/>
              <w:bottom w:val="single" w:sz="6" w:space="0" w:color="000000"/>
              <w:right w:val="single" w:sz="6" w:space="0" w:color="000000"/>
            </w:tcBorders>
            <w:vAlign w:val="center"/>
          </w:tcPr>
          <w:p w:rsidR="00702601" w:rsidRPr="0053492E" w:rsidRDefault="00702601" w:rsidP="00702601">
            <w:pPr>
              <w:spacing w:line="240" w:lineRule="auto"/>
              <w:rPr>
                <w:rFonts w:cs="Arial"/>
                <w:b/>
              </w:rPr>
            </w:pPr>
            <w:r w:rsidRPr="0053492E">
              <w:rPr>
                <w:rFonts w:cs="Arial"/>
                <w:b/>
              </w:rPr>
              <w:t xml:space="preserve">N° da Aula </w:t>
            </w:r>
          </w:p>
        </w:tc>
        <w:tc>
          <w:tcPr>
            <w:tcW w:w="1440" w:type="dxa"/>
            <w:tcBorders>
              <w:top w:val="single" w:sz="6" w:space="0" w:color="000000"/>
              <w:left w:val="single" w:sz="6" w:space="0" w:color="000000"/>
              <w:bottom w:val="single" w:sz="6" w:space="0" w:color="000000"/>
              <w:right w:val="single" w:sz="6" w:space="0" w:color="000000"/>
            </w:tcBorders>
            <w:vAlign w:val="center"/>
          </w:tcPr>
          <w:p w:rsidR="00702601" w:rsidRPr="00850CFC" w:rsidRDefault="00702601" w:rsidP="00702601">
            <w:pPr>
              <w:spacing w:line="240" w:lineRule="auto"/>
              <w:jc w:val="center"/>
              <w:rPr>
                <w:rFonts w:cs="Arial"/>
              </w:rPr>
            </w:pPr>
            <w:r w:rsidRPr="00850CFC">
              <w:rPr>
                <w:rFonts w:cs="Arial"/>
              </w:rPr>
              <w:t>12</w:t>
            </w:r>
          </w:p>
        </w:tc>
      </w:tr>
      <w:tr w:rsidR="00702601" w:rsidRPr="0053492E" w:rsidTr="00702601">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702601" w:rsidRPr="0053492E" w:rsidRDefault="00702601" w:rsidP="00702601">
            <w:pPr>
              <w:spacing w:line="240" w:lineRule="auto"/>
              <w:rPr>
                <w:rFonts w:cs="Arial"/>
                <w:b/>
              </w:rPr>
            </w:pPr>
            <w:r w:rsidRPr="0053492E">
              <w:rPr>
                <w:rFonts w:cs="Arial"/>
                <w:b/>
              </w:rPr>
              <w:t>Tópico</w:t>
            </w:r>
          </w:p>
        </w:tc>
        <w:tc>
          <w:tcPr>
            <w:tcW w:w="5672" w:type="dxa"/>
            <w:tcBorders>
              <w:top w:val="single" w:sz="6" w:space="0" w:color="000000"/>
              <w:left w:val="single" w:sz="6" w:space="0" w:color="000000"/>
              <w:bottom w:val="single" w:sz="6" w:space="0" w:color="000000"/>
              <w:right w:val="single" w:sz="6" w:space="0" w:color="000000"/>
            </w:tcBorders>
            <w:vAlign w:val="center"/>
          </w:tcPr>
          <w:p w:rsidR="00702601" w:rsidRPr="0053492E" w:rsidRDefault="00702601" w:rsidP="00702601">
            <w:pPr>
              <w:spacing w:line="240" w:lineRule="auto"/>
              <w:rPr>
                <w:rFonts w:cs="Arial"/>
              </w:rPr>
            </w:pPr>
            <w:r w:rsidRPr="0053492E">
              <w:rPr>
                <w:rFonts w:cs="Arial"/>
              </w:rPr>
              <w:t>Parasitologia</w:t>
            </w:r>
          </w:p>
        </w:tc>
        <w:tc>
          <w:tcPr>
            <w:tcW w:w="1530" w:type="dxa"/>
            <w:tcBorders>
              <w:top w:val="single" w:sz="6" w:space="0" w:color="000000"/>
              <w:left w:val="single" w:sz="6" w:space="0" w:color="000000"/>
              <w:bottom w:val="single" w:sz="6" w:space="0" w:color="000000"/>
              <w:right w:val="single" w:sz="6" w:space="0" w:color="000000"/>
            </w:tcBorders>
            <w:vAlign w:val="center"/>
          </w:tcPr>
          <w:p w:rsidR="00702601" w:rsidRPr="0053492E" w:rsidRDefault="00702601" w:rsidP="00702601">
            <w:pPr>
              <w:spacing w:line="240" w:lineRule="auto"/>
              <w:rPr>
                <w:rFonts w:cs="Arial"/>
                <w:b/>
              </w:rPr>
            </w:pPr>
            <w:r w:rsidRPr="0053492E">
              <w:rPr>
                <w:rFonts w:cs="Arial"/>
                <w:b/>
              </w:rPr>
              <w:t xml:space="preserve">Tipo </w:t>
            </w:r>
          </w:p>
        </w:tc>
        <w:tc>
          <w:tcPr>
            <w:tcW w:w="1440" w:type="dxa"/>
            <w:tcBorders>
              <w:top w:val="single" w:sz="6" w:space="0" w:color="000000"/>
              <w:left w:val="single" w:sz="6" w:space="0" w:color="000000"/>
              <w:bottom w:val="single" w:sz="6" w:space="0" w:color="000000"/>
              <w:right w:val="single" w:sz="6" w:space="0" w:color="000000"/>
            </w:tcBorders>
            <w:vAlign w:val="center"/>
          </w:tcPr>
          <w:p w:rsidR="00702601" w:rsidRPr="00850CFC" w:rsidRDefault="00702601" w:rsidP="00702601">
            <w:pPr>
              <w:spacing w:line="240" w:lineRule="auto"/>
              <w:jc w:val="center"/>
              <w:rPr>
                <w:rFonts w:cs="Arial"/>
              </w:rPr>
            </w:pPr>
            <w:r w:rsidRPr="00850CFC">
              <w:rPr>
                <w:rFonts w:cs="Arial"/>
              </w:rPr>
              <w:t>Teórica</w:t>
            </w:r>
          </w:p>
        </w:tc>
      </w:tr>
      <w:tr w:rsidR="00702601" w:rsidRPr="0053492E" w:rsidTr="00702601">
        <w:trPr>
          <w:cantSplit/>
          <w:trHeight w:val="414"/>
        </w:trPr>
        <w:tc>
          <w:tcPr>
            <w:tcW w:w="1418" w:type="dxa"/>
            <w:tcBorders>
              <w:top w:val="single" w:sz="6" w:space="0" w:color="000000"/>
              <w:left w:val="single" w:sz="6" w:space="0" w:color="000000"/>
              <w:bottom w:val="single" w:sz="6" w:space="0" w:color="000000"/>
              <w:right w:val="single" w:sz="6" w:space="0" w:color="000000"/>
            </w:tcBorders>
            <w:vAlign w:val="center"/>
          </w:tcPr>
          <w:p w:rsidR="00702601" w:rsidRPr="0053492E" w:rsidRDefault="00702601" w:rsidP="00702601">
            <w:pPr>
              <w:spacing w:line="240" w:lineRule="auto"/>
              <w:rPr>
                <w:rFonts w:cs="Arial"/>
                <w:b/>
              </w:rPr>
            </w:pPr>
            <w:r w:rsidRPr="0053492E">
              <w:rPr>
                <w:rFonts w:cs="Arial"/>
                <w:b/>
              </w:rPr>
              <w:t>Conteúdos</w:t>
            </w:r>
          </w:p>
        </w:tc>
        <w:tc>
          <w:tcPr>
            <w:tcW w:w="5672" w:type="dxa"/>
            <w:tcBorders>
              <w:top w:val="single" w:sz="6" w:space="0" w:color="000000"/>
              <w:left w:val="single" w:sz="6" w:space="0" w:color="000000"/>
              <w:bottom w:val="single" w:sz="6" w:space="0" w:color="000000"/>
              <w:right w:val="single" w:sz="6" w:space="0" w:color="000000"/>
            </w:tcBorders>
            <w:vAlign w:val="center"/>
          </w:tcPr>
          <w:p w:rsidR="00702601" w:rsidRPr="001A0DDE" w:rsidRDefault="00702601" w:rsidP="001A0DDE">
            <w:pPr>
              <w:pStyle w:val="Heading1"/>
              <w:spacing w:before="0"/>
              <w:rPr>
                <w:b w:val="0"/>
                <w:sz w:val="22"/>
                <w:szCs w:val="22"/>
                <w:lang w:val="pt-BR"/>
              </w:rPr>
            </w:pPr>
            <w:bookmarkStart w:id="17" w:name="_Toc329099760"/>
            <w:r w:rsidRPr="001A0DDE">
              <w:rPr>
                <w:b w:val="0"/>
                <w:sz w:val="22"/>
                <w:szCs w:val="22"/>
                <w:lang w:val="pt-BR"/>
              </w:rPr>
              <w:t>Conceitos Básicos de Parasitologia</w:t>
            </w:r>
            <w:bookmarkEnd w:id="17"/>
          </w:p>
          <w:p w:rsidR="00702601" w:rsidRPr="0053492E" w:rsidRDefault="00702601" w:rsidP="00702601">
            <w:pPr>
              <w:spacing w:line="240" w:lineRule="auto"/>
              <w:rPr>
                <w:rFonts w:cs="Arial"/>
                <w:lang w:val="pt-BR"/>
              </w:rPr>
            </w:pPr>
            <w:r w:rsidRPr="001A0DDE">
              <w:rPr>
                <w:rFonts w:cs="Arial"/>
                <w:lang w:val="pt-BR"/>
              </w:rPr>
              <w:t>Protozoários</w:t>
            </w:r>
            <w:r w:rsidRPr="0053492E">
              <w:rPr>
                <w:rFonts w:cs="Arial"/>
                <w:lang w:val="pt-BR"/>
              </w:rPr>
              <w:t xml:space="preserve"> </w:t>
            </w:r>
          </w:p>
        </w:tc>
        <w:tc>
          <w:tcPr>
            <w:tcW w:w="1530" w:type="dxa"/>
            <w:tcBorders>
              <w:top w:val="single" w:sz="6" w:space="0" w:color="000000"/>
              <w:left w:val="single" w:sz="6" w:space="0" w:color="000000"/>
              <w:bottom w:val="single" w:sz="6" w:space="0" w:color="000000"/>
              <w:right w:val="single" w:sz="6" w:space="0" w:color="000000"/>
            </w:tcBorders>
            <w:vAlign w:val="center"/>
          </w:tcPr>
          <w:p w:rsidR="00702601" w:rsidRPr="0053492E" w:rsidRDefault="00702601" w:rsidP="00702601">
            <w:pPr>
              <w:spacing w:line="240" w:lineRule="auto"/>
              <w:rPr>
                <w:rFonts w:cs="Arial"/>
                <w:b/>
              </w:rPr>
            </w:pPr>
            <w:r w:rsidRPr="0053492E">
              <w:rPr>
                <w:rFonts w:cs="Arial"/>
                <w:b/>
              </w:rPr>
              <w:t>Duração</w:t>
            </w:r>
          </w:p>
        </w:tc>
        <w:tc>
          <w:tcPr>
            <w:tcW w:w="1440" w:type="dxa"/>
            <w:tcBorders>
              <w:top w:val="single" w:sz="6" w:space="0" w:color="000000"/>
              <w:left w:val="single" w:sz="6" w:space="0" w:color="000000"/>
              <w:bottom w:val="single" w:sz="6" w:space="0" w:color="000000"/>
              <w:right w:val="single" w:sz="6" w:space="0" w:color="000000"/>
            </w:tcBorders>
            <w:vAlign w:val="center"/>
          </w:tcPr>
          <w:p w:rsidR="00702601" w:rsidRPr="00850CFC" w:rsidRDefault="00702601" w:rsidP="00702601">
            <w:pPr>
              <w:spacing w:line="240" w:lineRule="auto"/>
              <w:jc w:val="center"/>
              <w:rPr>
                <w:rFonts w:cs="Arial"/>
              </w:rPr>
            </w:pPr>
            <w:r w:rsidRPr="00850CFC">
              <w:rPr>
                <w:rFonts w:cs="Arial"/>
              </w:rPr>
              <w:t>2 h</w:t>
            </w:r>
          </w:p>
        </w:tc>
      </w:tr>
    </w:tbl>
    <w:p w:rsidR="001A0DDE" w:rsidRDefault="001A0DDE" w:rsidP="00774441">
      <w:pPr>
        <w:spacing w:line="240" w:lineRule="auto"/>
        <w:rPr>
          <w:b/>
        </w:rPr>
      </w:pPr>
    </w:p>
    <w:p w:rsidR="00702601" w:rsidRPr="0052785B" w:rsidRDefault="00702601" w:rsidP="0052785B">
      <w:pPr>
        <w:rPr>
          <w:b/>
        </w:rPr>
      </w:pPr>
      <w:r w:rsidRPr="0052785B">
        <w:rPr>
          <w:b/>
        </w:rPr>
        <w:t>Objectivos de Aprendizagem:</w:t>
      </w:r>
    </w:p>
    <w:p w:rsidR="00702601" w:rsidRPr="00702601" w:rsidRDefault="00702601" w:rsidP="00702601">
      <w:pPr>
        <w:rPr>
          <w:rFonts w:cs="Arial"/>
          <w:lang w:val="pt-BR"/>
        </w:rPr>
      </w:pPr>
      <w:r w:rsidRPr="00702601">
        <w:rPr>
          <w:rFonts w:cs="Arial"/>
          <w:lang w:val="pt-BR"/>
        </w:rPr>
        <w:t>Até ao fim da aula os alunos devem ser capazes de:</w:t>
      </w:r>
    </w:p>
    <w:p w:rsidR="00702601" w:rsidRPr="00702601" w:rsidRDefault="00702601" w:rsidP="00702601">
      <w:pPr>
        <w:rPr>
          <w:rFonts w:cs="Arial"/>
          <w:lang w:val="pt-BR"/>
        </w:rPr>
      </w:pPr>
      <w:r w:rsidRPr="00702601">
        <w:rPr>
          <w:rFonts w:cs="Arial"/>
          <w:lang w:val="pt-BR"/>
        </w:rPr>
        <w:t>Sobre o conteúdo “Conceitos básicos” de Parasitologia:</w:t>
      </w:r>
    </w:p>
    <w:p w:rsidR="00702601" w:rsidRPr="00702601" w:rsidRDefault="00702601" w:rsidP="00C52E09">
      <w:pPr>
        <w:numPr>
          <w:ilvl w:val="0"/>
          <w:numId w:val="99"/>
        </w:numPr>
        <w:spacing w:after="0"/>
        <w:rPr>
          <w:rFonts w:cs="Arial"/>
          <w:lang w:val="pt-BR"/>
        </w:rPr>
      </w:pPr>
      <w:r w:rsidRPr="00702601">
        <w:rPr>
          <w:rFonts w:cs="Arial"/>
          <w:lang w:val="pt-BR"/>
        </w:rPr>
        <w:t>Definir e classificar os parasitas;</w:t>
      </w:r>
    </w:p>
    <w:p w:rsidR="00702601" w:rsidRPr="00702601" w:rsidRDefault="00702601" w:rsidP="00C52E09">
      <w:pPr>
        <w:numPr>
          <w:ilvl w:val="0"/>
          <w:numId w:val="99"/>
        </w:numPr>
        <w:spacing w:after="0"/>
        <w:rPr>
          <w:rFonts w:cs="Arial"/>
          <w:lang w:val="pt-BR"/>
        </w:rPr>
      </w:pPr>
      <w:r w:rsidRPr="00702601">
        <w:rPr>
          <w:rFonts w:cs="Arial"/>
          <w:lang w:val="pt-BR"/>
        </w:rPr>
        <w:t>Explicar a patogenia da infecção parasitária</w:t>
      </w:r>
    </w:p>
    <w:p w:rsidR="00702601" w:rsidRPr="00702601" w:rsidRDefault="00702601" w:rsidP="00C52E09">
      <w:pPr>
        <w:numPr>
          <w:ilvl w:val="0"/>
          <w:numId w:val="99"/>
        </w:numPr>
        <w:spacing w:after="0"/>
        <w:rPr>
          <w:rFonts w:cs="Arial"/>
          <w:lang w:val="pt-BR"/>
        </w:rPr>
      </w:pPr>
      <w:r w:rsidRPr="00702601">
        <w:rPr>
          <w:rFonts w:cs="Arial"/>
          <w:lang w:val="pt-BR"/>
        </w:rPr>
        <w:t>Explicar as características básicas dos protozoários;</w:t>
      </w:r>
    </w:p>
    <w:p w:rsidR="00702601" w:rsidRPr="00702601" w:rsidRDefault="00702601" w:rsidP="00C52E09">
      <w:pPr>
        <w:numPr>
          <w:ilvl w:val="0"/>
          <w:numId w:val="99"/>
        </w:numPr>
        <w:spacing w:after="0"/>
        <w:rPr>
          <w:rFonts w:cs="Arial"/>
          <w:lang w:val="pt-BR"/>
        </w:rPr>
      </w:pPr>
      <w:r w:rsidRPr="00702601">
        <w:rPr>
          <w:rFonts w:cs="Arial"/>
          <w:lang w:val="pt-BR"/>
        </w:rPr>
        <w:t>Classificar correctamente os diferentes tipos de protozoários;</w:t>
      </w:r>
    </w:p>
    <w:p w:rsidR="00702601" w:rsidRPr="00702601" w:rsidRDefault="00702601" w:rsidP="00C52E09">
      <w:pPr>
        <w:numPr>
          <w:ilvl w:val="0"/>
          <w:numId w:val="99"/>
        </w:numPr>
        <w:spacing w:after="0"/>
        <w:rPr>
          <w:rFonts w:cs="Arial"/>
          <w:lang w:val="pt-BR"/>
        </w:rPr>
      </w:pPr>
      <w:r w:rsidRPr="00702601">
        <w:rPr>
          <w:rFonts w:cs="Arial"/>
          <w:lang w:val="pt-BR"/>
        </w:rPr>
        <w:t>Listar as espécies mais comuns em Moçambique e identificar as patologias associadas a elas;</w:t>
      </w:r>
    </w:p>
    <w:p w:rsidR="00702601" w:rsidRPr="00702601" w:rsidRDefault="00702601" w:rsidP="001A0DDE">
      <w:pPr>
        <w:tabs>
          <w:tab w:val="left" w:pos="244"/>
        </w:tabs>
        <w:spacing w:line="240" w:lineRule="auto"/>
        <w:rPr>
          <w:rFonts w:cs="Arial"/>
          <w:lang w:val="pt-BR"/>
        </w:rPr>
      </w:pPr>
    </w:p>
    <w:p w:rsidR="00702601" w:rsidRPr="0052785B" w:rsidRDefault="00702601" w:rsidP="0052785B">
      <w:pPr>
        <w:rPr>
          <w:b/>
        </w:rPr>
      </w:pPr>
      <w:r w:rsidRPr="0052785B">
        <w:rPr>
          <w:b/>
        </w:rPr>
        <w:t>Estrutura da Aula</w:t>
      </w:r>
    </w:p>
    <w:tbl>
      <w:tblPr>
        <w:tblW w:w="10098" w:type="dxa"/>
        <w:tblBorders>
          <w:top w:val="single" w:sz="18" w:space="0" w:color="auto"/>
          <w:bottom w:val="single" w:sz="18" w:space="0" w:color="auto"/>
        </w:tblBorders>
        <w:tblLayout w:type="fixed"/>
        <w:tblLook w:val="0400" w:firstRow="0" w:lastRow="0" w:firstColumn="0" w:lastColumn="0" w:noHBand="0" w:noVBand="1"/>
      </w:tblPr>
      <w:tblGrid>
        <w:gridCol w:w="738"/>
        <w:gridCol w:w="3690"/>
        <w:gridCol w:w="4050"/>
        <w:gridCol w:w="1620"/>
      </w:tblGrid>
      <w:tr w:rsidR="00702601" w:rsidRPr="0053492E" w:rsidTr="00FC6E81">
        <w:trPr>
          <w:trHeight w:val="432"/>
        </w:trPr>
        <w:tc>
          <w:tcPr>
            <w:tcW w:w="738" w:type="dxa"/>
            <w:tcBorders>
              <w:top w:val="single" w:sz="18" w:space="0" w:color="auto"/>
              <w:bottom w:val="single" w:sz="18" w:space="0" w:color="auto"/>
              <w:right w:val="single" w:sz="4" w:space="0" w:color="auto"/>
            </w:tcBorders>
            <w:shd w:val="clear" w:color="auto" w:fill="B8CCE4"/>
          </w:tcPr>
          <w:p w:rsidR="00702601" w:rsidRPr="0053492E" w:rsidRDefault="00702601" w:rsidP="00702601">
            <w:pPr>
              <w:spacing w:before="60" w:line="600" w:lineRule="auto"/>
              <w:ind w:left="-110" w:right="-108"/>
              <w:jc w:val="center"/>
              <w:rPr>
                <w:rFonts w:cs="Arial"/>
                <w:b/>
              </w:rPr>
            </w:pPr>
            <w:r w:rsidRPr="0053492E">
              <w:rPr>
                <w:rFonts w:cs="Arial"/>
                <w:b/>
              </w:rPr>
              <w:t>Bloco</w:t>
            </w:r>
          </w:p>
        </w:tc>
        <w:tc>
          <w:tcPr>
            <w:tcW w:w="3690" w:type="dxa"/>
            <w:tcBorders>
              <w:top w:val="single" w:sz="18" w:space="0" w:color="auto"/>
              <w:left w:val="single" w:sz="4" w:space="0" w:color="auto"/>
              <w:bottom w:val="single" w:sz="18" w:space="0" w:color="auto"/>
              <w:right w:val="single" w:sz="4" w:space="0" w:color="auto"/>
            </w:tcBorders>
            <w:shd w:val="clear" w:color="auto" w:fill="B8CCE4"/>
          </w:tcPr>
          <w:p w:rsidR="00702601" w:rsidRPr="0053492E" w:rsidRDefault="00702601" w:rsidP="00702601">
            <w:pPr>
              <w:spacing w:before="60" w:line="600" w:lineRule="auto"/>
              <w:jc w:val="center"/>
              <w:rPr>
                <w:rFonts w:cs="Arial"/>
                <w:b/>
              </w:rPr>
            </w:pPr>
            <w:r w:rsidRPr="0053492E">
              <w:rPr>
                <w:rFonts w:cs="Arial"/>
                <w:b/>
              </w:rPr>
              <w:t>Título do Bloco</w:t>
            </w:r>
          </w:p>
        </w:tc>
        <w:tc>
          <w:tcPr>
            <w:tcW w:w="4050" w:type="dxa"/>
            <w:tcBorders>
              <w:top w:val="single" w:sz="18" w:space="0" w:color="auto"/>
              <w:left w:val="single" w:sz="4" w:space="0" w:color="auto"/>
              <w:bottom w:val="single" w:sz="18" w:space="0" w:color="auto"/>
              <w:right w:val="single" w:sz="4" w:space="0" w:color="auto"/>
            </w:tcBorders>
            <w:shd w:val="clear" w:color="auto" w:fill="B8CCE4"/>
          </w:tcPr>
          <w:p w:rsidR="00702601" w:rsidRPr="0053492E" w:rsidRDefault="00702601" w:rsidP="00702601">
            <w:pPr>
              <w:tabs>
                <w:tab w:val="left" w:pos="244"/>
              </w:tabs>
              <w:spacing w:before="60" w:line="600" w:lineRule="auto"/>
              <w:jc w:val="center"/>
              <w:rPr>
                <w:rFonts w:cs="Arial"/>
                <w:b/>
                <w:lang w:val="pt-BR"/>
              </w:rPr>
            </w:pPr>
            <w:r w:rsidRPr="0053492E">
              <w:rPr>
                <w:rFonts w:cs="Arial"/>
                <w:b/>
              </w:rPr>
              <w:t>M</w:t>
            </w:r>
            <w:r w:rsidRPr="0053492E">
              <w:rPr>
                <w:rFonts w:cs="Arial"/>
                <w:b/>
                <w:lang w:val="pt-BR"/>
              </w:rPr>
              <w:t>étodo de Ensino</w:t>
            </w:r>
          </w:p>
        </w:tc>
        <w:tc>
          <w:tcPr>
            <w:tcW w:w="1620" w:type="dxa"/>
            <w:tcBorders>
              <w:top w:val="single" w:sz="18" w:space="0" w:color="auto"/>
              <w:left w:val="single" w:sz="4" w:space="0" w:color="auto"/>
              <w:bottom w:val="single" w:sz="18" w:space="0" w:color="auto"/>
            </w:tcBorders>
            <w:shd w:val="clear" w:color="auto" w:fill="B8CCE4"/>
          </w:tcPr>
          <w:p w:rsidR="00702601" w:rsidRPr="0053492E" w:rsidRDefault="00702601" w:rsidP="00702601">
            <w:pPr>
              <w:tabs>
                <w:tab w:val="left" w:pos="244"/>
              </w:tabs>
              <w:spacing w:before="60" w:line="600" w:lineRule="auto"/>
              <w:jc w:val="center"/>
              <w:rPr>
                <w:rFonts w:cs="Arial"/>
                <w:b/>
                <w:lang w:val="pt-BR"/>
              </w:rPr>
            </w:pPr>
            <w:r w:rsidRPr="0053492E">
              <w:rPr>
                <w:rFonts w:cs="Arial"/>
                <w:b/>
              </w:rPr>
              <w:t>Duração</w:t>
            </w:r>
          </w:p>
        </w:tc>
      </w:tr>
      <w:tr w:rsidR="00702601" w:rsidRPr="0053492E" w:rsidTr="00FC6E81">
        <w:tc>
          <w:tcPr>
            <w:tcW w:w="738" w:type="dxa"/>
            <w:tcBorders>
              <w:top w:val="single" w:sz="18" w:space="0" w:color="auto"/>
              <w:bottom w:val="single" w:sz="4" w:space="0" w:color="auto"/>
              <w:right w:val="single" w:sz="4" w:space="0" w:color="auto"/>
            </w:tcBorders>
          </w:tcPr>
          <w:p w:rsidR="00702601" w:rsidRPr="0053492E" w:rsidRDefault="00702601" w:rsidP="00702601">
            <w:pPr>
              <w:spacing w:before="60" w:after="60" w:line="600" w:lineRule="auto"/>
              <w:ind w:left="-110" w:right="-108"/>
              <w:jc w:val="center"/>
              <w:rPr>
                <w:rFonts w:cs="Arial"/>
              </w:rPr>
            </w:pPr>
            <w:r w:rsidRPr="0053492E">
              <w:rPr>
                <w:rFonts w:cs="Arial"/>
              </w:rPr>
              <w:t>1</w:t>
            </w:r>
          </w:p>
        </w:tc>
        <w:tc>
          <w:tcPr>
            <w:tcW w:w="3690" w:type="dxa"/>
            <w:tcBorders>
              <w:top w:val="single" w:sz="18" w:space="0" w:color="auto"/>
              <w:left w:val="single" w:sz="4" w:space="0" w:color="auto"/>
              <w:bottom w:val="single" w:sz="4" w:space="0" w:color="auto"/>
              <w:right w:val="single" w:sz="4" w:space="0" w:color="auto"/>
            </w:tcBorders>
          </w:tcPr>
          <w:p w:rsidR="00702601" w:rsidRPr="0053492E" w:rsidRDefault="00702601" w:rsidP="00702601">
            <w:pPr>
              <w:tabs>
                <w:tab w:val="left" w:pos="244"/>
              </w:tabs>
              <w:spacing w:before="60" w:after="60" w:line="600" w:lineRule="auto"/>
              <w:rPr>
                <w:rFonts w:cs="Arial"/>
              </w:rPr>
            </w:pPr>
            <w:r w:rsidRPr="0053492E">
              <w:rPr>
                <w:rFonts w:cs="Arial"/>
              </w:rPr>
              <w:t>Introdução à Aula</w:t>
            </w:r>
          </w:p>
        </w:tc>
        <w:tc>
          <w:tcPr>
            <w:tcW w:w="4050" w:type="dxa"/>
            <w:tcBorders>
              <w:top w:val="single" w:sz="18" w:space="0" w:color="auto"/>
              <w:left w:val="single" w:sz="4" w:space="0" w:color="auto"/>
              <w:bottom w:val="single" w:sz="4" w:space="0" w:color="auto"/>
              <w:right w:val="single" w:sz="4" w:space="0" w:color="auto"/>
            </w:tcBorders>
          </w:tcPr>
          <w:p w:rsidR="00702601" w:rsidRPr="0053492E" w:rsidRDefault="00702601" w:rsidP="00702601">
            <w:pPr>
              <w:tabs>
                <w:tab w:val="left" w:pos="244"/>
              </w:tabs>
              <w:spacing w:before="60" w:after="60" w:line="600" w:lineRule="auto"/>
              <w:rPr>
                <w:rFonts w:cs="Arial"/>
              </w:rPr>
            </w:pPr>
          </w:p>
        </w:tc>
        <w:tc>
          <w:tcPr>
            <w:tcW w:w="1620" w:type="dxa"/>
            <w:tcBorders>
              <w:top w:val="single" w:sz="18" w:space="0" w:color="auto"/>
              <w:left w:val="single" w:sz="4" w:space="0" w:color="auto"/>
              <w:bottom w:val="single" w:sz="4" w:space="0" w:color="auto"/>
            </w:tcBorders>
          </w:tcPr>
          <w:p w:rsidR="00702601" w:rsidRPr="0053492E" w:rsidRDefault="00702601" w:rsidP="00702601">
            <w:pPr>
              <w:tabs>
                <w:tab w:val="left" w:pos="244"/>
              </w:tabs>
              <w:spacing w:before="60" w:after="60" w:line="600" w:lineRule="auto"/>
              <w:jc w:val="right"/>
              <w:rPr>
                <w:rFonts w:cs="Arial"/>
              </w:rPr>
            </w:pPr>
          </w:p>
        </w:tc>
      </w:tr>
      <w:tr w:rsidR="00702601" w:rsidRPr="00FC6E81" w:rsidTr="00FC6E81">
        <w:tc>
          <w:tcPr>
            <w:tcW w:w="738" w:type="dxa"/>
            <w:tcBorders>
              <w:top w:val="single" w:sz="4" w:space="0" w:color="auto"/>
              <w:bottom w:val="single" w:sz="4" w:space="0" w:color="auto"/>
              <w:right w:val="single" w:sz="4" w:space="0" w:color="auto"/>
            </w:tcBorders>
            <w:shd w:val="clear" w:color="auto" w:fill="D9D9D9"/>
          </w:tcPr>
          <w:p w:rsidR="00702601" w:rsidRPr="0053492E" w:rsidRDefault="00702601" w:rsidP="00702601">
            <w:pPr>
              <w:spacing w:before="60" w:after="60" w:line="600" w:lineRule="auto"/>
              <w:ind w:left="-110" w:right="-108"/>
              <w:jc w:val="center"/>
              <w:rPr>
                <w:rFonts w:cs="Arial"/>
              </w:rPr>
            </w:pPr>
            <w:r w:rsidRPr="0053492E">
              <w:rPr>
                <w:rFonts w:cs="Arial"/>
              </w:rPr>
              <w:t>2</w:t>
            </w:r>
          </w:p>
        </w:tc>
        <w:tc>
          <w:tcPr>
            <w:tcW w:w="3690" w:type="dxa"/>
            <w:tcBorders>
              <w:top w:val="single" w:sz="4" w:space="0" w:color="auto"/>
              <w:left w:val="single" w:sz="4" w:space="0" w:color="auto"/>
              <w:bottom w:val="single" w:sz="4" w:space="0" w:color="auto"/>
              <w:right w:val="single" w:sz="4" w:space="0" w:color="auto"/>
            </w:tcBorders>
            <w:shd w:val="clear" w:color="auto" w:fill="D9D9D9"/>
          </w:tcPr>
          <w:p w:rsidR="00702601" w:rsidRPr="00702601" w:rsidRDefault="00702601" w:rsidP="00702601">
            <w:pPr>
              <w:tabs>
                <w:tab w:val="left" w:pos="244"/>
              </w:tabs>
              <w:spacing w:after="60" w:line="600" w:lineRule="auto"/>
              <w:rPr>
                <w:rFonts w:cs="Arial"/>
                <w:iCs/>
                <w:lang w:val="pt-BR"/>
              </w:rPr>
            </w:pPr>
            <w:r w:rsidRPr="00702601">
              <w:rPr>
                <w:rFonts w:cs="Arial"/>
                <w:iCs/>
                <w:lang w:val="pt-BR"/>
              </w:rPr>
              <w:t>Conceitos Básicos de Parasitologia e Patogenia</w:t>
            </w:r>
          </w:p>
        </w:tc>
        <w:tc>
          <w:tcPr>
            <w:tcW w:w="4050" w:type="dxa"/>
            <w:tcBorders>
              <w:top w:val="single" w:sz="4" w:space="0" w:color="auto"/>
              <w:left w:val="single" w:sz="4" w:space="0" w:color="auto"/>
              <w:bottom w:val="single" w:sz="4" w:space="0" w:color="auto"/>
              <w:right w:val="single" w:sz="4" w:space="0" w:color="auto"/>
            </w:tcBorders>
            <w:shd w:val="clear" w:color="auto" w:fill="D9D9D9"/>
          </w:tcPr>
          <w:p w:rsidR="00702601" w:rsidRPr="0053492E" w:rsidRDefault="00702601" w:rsidP="00702601">
            <w:pPr>
              <w:spacing w:before="60" w:after="60" w:line="600" w:lineRule="auto"/>
              <w:ind w:left="-18" w:firstLine="18"/>
              <w:rPr>
                <w:rFonts w:cs="Arial"/>
                <w:lang w:val="pt-BR"/>
              </w:rPr>
            </w:pPr>
          </w:p>
        </w:tc>
        <w:tc>
          <w:tcPr>
            <w:tcW w:w="1620" w:type="dxa"/>
            <w:tcBorders>
              <w:top w:val="single" w:sz="4" w:space="0" w:color="auto"/>
              <w:left w:val="single" w:sz="4" w:space="0" w:color="auto"/>
              <w:bottom w:val="single" w:sz="4" w:space="0" w:color="auto"/>
            </w:tcBorders>
            <w:shd w:val="clear" w:color="auto" w:fill="D9D9D9"/>
          </w:tcPr>
          <w:p w:rsidR="00702601" w:rsidRPr="0053492E" w:rsidRDefault="00702601" w:rsidP="00702601">
            <w:pPr>
              <w:spacing w:before="60" w:after="60" w:line="600" w:lineRule="auto"/>
              <w:ind w:left="-18" w:firstLine="18"/>
              <w:jc w:val="right"/>
              <w:rPr>
                <w:rFonts w:cs="Arial"/>
                <w:lang w:val="pt-BR"/>
              </w:rPr>
            </w:pPr>
          </w:p>
        </w:tc>
      </w:tr>
      <w:tr w:rsidR="00702601" w:rsidRPr="0053492E" w:rsidTr="00FC6E81">
        <w:tc>
          <w:tcPr>
            <w:tcW w:w="738" w:type="dxa"/>
            <w:tcBorders>
              <w:top w:val="single" w:sz="4" w:space="0" w:color="auto"/>
              <w:bottom w:val="single" w:sz="4" w:space="0" w:color="auto"/>
              <w:right w:val="single" w:sz="4" w:space="0" w:color="auto"/>
            </w:tcBorders>
            <w:shd w:val="clear" w:color="auto" w:fill="FFFFFF"/>
          </w:tcPr>
          <w:p w:rsidR="00702601" w:rsidRPr="0053492E" w:rsidRDefault="00702601" w:rsidP="00702601">
            <w:pPr>
              <w:spacing w:before="60" w:after="60" w:line="600" w:lineRule="auto"/>
              <w:ind w:left="-110" w:right="-108"/>
              <w:jc w:val="center"/>
              <w:rPr>
                <w:rFonts w:cs="Arial"/>
              </w:rPr>
            </w:pPr>
            <w:r w:rsidRPr="0053492E">
              <w:rPr>
                <w:rFonts w:cs="Arial"/>
              </w:rPr>
              <w:t>3</w:t>
            </w:r>
          </w:p>
        </w:tc>
        <w:tc>
          <w:tcPr>
            <w:tcW w:w="3690" w:type="dxa"/>
            <w:tcBorders>
              <w:top w:val="single" w:sz="4" w:space="0" w:color="auto"/>
              <w:left w:val="single" w:sz="4" w:space="0" w:color="auto"/>
              <w:bottom w:val="single" w:sz="4" w:space="0" w:color="auto"/>
              <w:right w:val="single" w:sz="4" w:space="0" w:color="auto"/>
            </w:tcBorders>
            <w:shd w:val="clear" w:color="auto" w:fill="FFFFFF"/>
          </w:tcPr>
          <w:p w:rsidR="00702601" w:rsidRPr="0053492E" w:rsidRDefault="00702601" w:rsidP="00702601">
            <w:pPr>
              <w:tabs>
                <w:tab w:val="left" w:pos="244"/>
              </w:tabs>
              <w:spacing w:before="60" w:after="60" w:line="600" w:lineRule="auto"/>
              <w:rPr>
                <w:rFonts w:cs="Arial"/>
                <w:iCs/>
              </w:rPr>
            </w:pPr>
            <w:r w:rsidRPr="0053492E">
              <w:rPr>
                <w:rFonts w:cs="Arial"/>
                <w:iCs/>
              </w:rPr>
              <w:t>Características dos Protozoários</w:t>
            </w:r>
          </w:p>
        </w:tc>
        <w:tc>
          <w:tcPr>
            <w:tcW w:w="4050" w:type="dxa"/>
            <w:tcBorders>
              <w:top w:val="single" w:sz="4" w:space="0" w:color="auto"/>
              <w:left w:val="single" w:sz="4" w:space="0" w:color="auto"/>
              <w:bottom w:val="single" w:sz="4" w:space="0" w:color="auto"/>
              <w:right w:val="single" w:sz="4" w:space="0" w:color="auto"/>
            </w:tcBorders>
            <w:shd w:val="clear" w:color="auto" w:fill="FFFFFF"/>
          </w:tcPr>
          <w:p w:rsidR="00702601" w:rsidRPr="0053492E" w:rsidRDefault="00702601" w:rsidP="00702601">
            <w:pPr>
              <w:spacing w:before="60" w:after="60" w:line="600" w:lineRule="auto"/>
              <w:ind w:left="-18" w:firstLine="18"/>
              <w:rPr>
                <w:rFonts w:cs="Arial"/>
              </w:rPr>
            </w:pPr>
          </w:p>
        </w:tc>
        <w:tc>
          <w:tcPr>
            <w:tcW w:w="1620" w:type="dxa"/>
            <w:tcBorders>
              <w:top w:val="single" w:sz="4" w:space="0" w:color="auto"/>
              <w:left w:val="single" w:sz="4" w:space="0" w:color="auto"/>
              <w:bottom w:val="single" w:sz="4" w:space="0" w:color="auto"/>
            </w:tcBorders>
            <w:shd w:val="clear" w:color="auto" w:fill="FFFFFF"/>
          </w:tcPr>
          <w:p w:rsidR="00702601" w:rsidRPr="0053492E" w:rsidRDefault="00702601" w:rsidP="00702601">
            <w:pPr>
              <w:spacing w:before="60" w:after="60" w:line="600" w:lineRule="auto"/>
              <w:ind w:left="-18" w:firstLine="18"/>
              <w:jc w:val="right"/>
              <w:rPr>
                <w:rFonts w:cs="Arial"/>
              </w:rPr>
            </w:pPr>
          </w:p>
        </w:tc>
      </w:tr>
      <w:tr w:rsidR="00702601" w:rsidRPr="00FC6E81" w:rsidTr="00FC6E81">
        <w:tc>
          <w:tcPr>
            <w:tcW w:w="738" w:type="dxa"/>
            <w:tcBorders>
              <w:top w:val="single" w:sz="4" w:space="0" w:color="auto"/>
              <w:bottom w:val="single" w:sz="4" w:space="0" w:color="auto"/>
              <w:right w:val="single" w:sz="4" w:space="0" w:color="auto"/>
            </w:tcBorders>
            <w:shd w:val="clear" w:color="auto" w:fill="D9D9D9"/>
          </w:tcPr>
          <w:p w:rsidR="00702601" w:rsidRPr="0053492E" w:rsidRDefault="00702601" w:rsidP="00702601">
            <w:pPr>
              <w:spacing w:before="60" w:after="60" w:line="600" w:lineRule="auto"/>
              <w:ind w:left="-110" w:right="-108"/>
              <w:jc w:val="center"/>
              <w:rPr>
                <w:rFonts w:cs="Arial"/>
              </w:rPr>
            </w:pPr>
            <w:r w:rsidRPr="0053492E">
              <w:rPr>
                <w:rFonts w:cs="Arial"/>
              </w:rPr>
              <w:t>4</w:t>
            </w:r>
          </w:p>
        </w:tc>
        <w:tc>
          <w:tcPr>
            <w:tcW w:w="3690" w:type="dxa"/>
            <w:tcBorders>
              <w:top w:val="single" w:sz="4" w:space="0" w:color="auto"/>
              <w:left w:val="single" w:sz="4" w:space="0" w:color="auto"/>
              <w:bottom w:val="single" w:sz="4" w:space="0" w:color="auto"/>
              <w:right w:val="single" w:sz="4" w:space="0" w:color="auto"/>
            </w:tcBorders>
            <w:shd w:val="clear" w:color="auto" w:fill="D9D9D9"/>
          </w:tcPr>
          <w:p w:rsidR="00702601" w:rsidRPr="00702601" w:rsidRDefault="00702601" w:rsidP="00702601">
            <w:pPr>
              <w:tabs>
                <w:tab w:val="left" w:pos="244"/>
              </w:tabs>
              <w:spacing w:before="60" w:after="60" w:line="600" w:lineRule="auto"/>
              <w:rPr>
                <w:rFonts w:cs="Arial"/>
                <w:iCs/>
                <w:lang w:val="pt-BR"/>
              </w:rPr>
            </w:pPr>
            <w:r w:rsidRPr="00702601">
              <w:rPr>
                <w:rFonts w:cs="Arial"/>
                <w:iCs/>
                <w:lang w:val="pt-BR"/>
              </w:rPr>
              <w:t>Protozoários Intestinais Frequentes em Moçambique</w:t>
            </w:r>
          </w:p>
        </w:tc>
        <w:tc>
          <w:tcPr>
            <w:tcW w:w="4050" w:type="dxa"/>
            <w:tcBorders>
              <w:top w:val="single" w:sz="4" w:space="0" w:color="auto"/>
              <w:left w:val="single" w:sz="4" w:space="0" w:color="auto"/>
              <w:bottom w:val="single" w:sz="4" w:space="0" w:color="auto"/>
              <w:right w:val="single" w:sz="4" w:space="0" w:color="auto"/>
            </w:tcBorders>
            <w:shd w:val="clear" w:color="auto" w:fill="D9D9D9"/>
          </w:tcPr>
          <w:p w:rsidR="00702601" w:rsidRPr="0053492E" w:rsidRDefault="00702601" w:rsidP="00702601">
            <w:pPr>
              <w:spacing w:before="60" w:after="60" w:line="600" w:lineRule="auto"/>
              <w:ind w:left="-18" w:firstLine="18"/>
              <w:rPr>
                <w:rFonts w:cs="Arial"/>
                <w:lang w:val="pt-BR"/>
              </w:rPr>
            </w:pPr>
          </w:p>
        </w:tc>
        <w:tc>
          <w:tcPr>
            <w:tcW w:w="1620" w:type="dxa"/>
            <w:tcBorders>
              <w:top w:val="single" w:sz="4" w:space="0" w:color="auto"/>
              <w:left w:val="single" w:sz="4" w:space="0" w:color="auto"/>
              <w:bottom w:val="single" w:sz="4" w:space="0" w:color="auto"/>
            </w:tcBorders>
            <w:shd w:val="clear" w:color="auto" w:fill="D9D9D9"/>
          </w:tcPr>
          <w:p w:rsidR="00702601" w:rsidRPr="0053492E" w:rsidRDefault="00702601" w:rsidP="00702601">
            <w:pPr>
              <w:spacing w:before="60" w:after="60" w:line="600" w:lineRule="auto"/>
              <w:ind w:left="-18" w:firstLine="18"/>
              <w:jc w:val="right"/>
              <w:rPr>
                <w:rFonts w:cs="Arial"/>
                <w:lang w:val="pt-BR"/>
              </w:rPr>
            </w:pPr>
          </w:p>
        </w:tc>
      </w:tr>
      <w:tr w:rsidR="00702601" w:rsidRPr="00FC6E81" w:rsidTr="00FC6E81">
        <w:tc>
          <w:tcPr>
            <w:tcW w:w="738" w:type="dxa"/>
            <w:tcBorders>
              <w:top w:val="single" w:sz="4" w:space="0" w:color="auto"/>
              <w:bottom w:val="single" w:sz="4" w:space="0" w:color="auto"/>
              <w:right w:val="single" w:sz="4" w:space="0" w:color="auto"/>
            </w:tcBorders>
            <w:shd w:val="clear" w:color="auto" w:fill="FFFFFF"/>
          </w:tcPr>
          <w:p w:rsidR="00702601" w:rsidRPr="0053492E" w:rsidRDefault="00702601" w:rsidP="00702601">
            <w:pPr>
              <w:spacing w:before="60" w:after="60" w:line="600" w:lineRule="auto"/>
              <w:ind w:left="-110" w:right="-108"/>
              <w:jc w:val="center"/>
              <w:rPr>
                <w:rFonts w:cs="Arial"/>
              </w:rPr>
            </w:pPr>
            <w:r w:rsidRPr="0053492E">
              <w:rPr>
                <w:rFonts w:cs="Arial"/>
              </w:rPr>
              <w:t>5</w:t>
            </w:r>
          </w:p>
        </w:tc>
        <w:tc>
          <w:tcPr>
            <w:tcW w:w="3690" w:type="dxa"/>
            <w:tcBorders>
              <w:top w:val="single" w:sz="4" w:space="0" w:color="auto"/>
              <w:left w:val="single" w:sz="4" w:space="0" w:color="auto"/>
              <w:bottom w:val="single" w:sz="4" w:space="0" w:color="auto"/>
              <w:right w:val="single" w:sz="4" w:space="0" w:color="auto"/>
            </w:tcBorders>
            <w:shd w:val="clear" w:color="auto" w:fill="FFFFFF"/>
          </w:tcPr>
          <w:p w:rsidR="00702601" w:rsidRPr="00702601" w:rsidRDefault="00702601" w:rsidP="001A0DDE">
            <w:pPr>
              <w:tabs>
                <w:tab w:val="left" w:pos="244"/>
              </w:tabs>
              <w:spacing w:before="60" w:after="0" w:line="600" w:lineRule="auto"/>
              <w:rPr>
                <w:rFonts w:cs="Arial"/>
                <w:iCs/>
                <w:lang w:val="pt-BR"/>
              </w:rPr>
            </w:pPr>
            <w:r w:rsidRPr="00702601">
              <w:rPr>
                <w:rFonts w:cs="Arial"/>
                <w:iCs/>
                <w:lang w:val="pt-BR"/>
              </w:rPr>
              <w:t>Protozoários Genitourinários Frequentes em Moçambique</w:t>
            </w:r>
          </w:p>
        </w:tc>
        <w:tc>
          <w:tcPr>
            <w:tcW w:w="4050" w:type="dxa"/>
            <w:tcBorders>
              <w:top w:val="single" w:sz="4" w:space="0" w:color="auto"/>
              <w:left w:val="single" w:sz="4" w:space="0" w:color="auto"/>
              <w:bottom w:val="single" w:sz="4" w:space="0" w:color="auto"/>
              <w:right w:val="single" w:sz="4" w:space="0" w:color="auto"/>
            </w:tcBorders>
            <w:shd w:val="clear" w:color="auto" w:fill="FFFFFF"/>
          </w:tcPr>
          <w:p w:rsidR="00702601" w:rsidRPr="0053492E" w:rsidRDefault="00702601" w:rsidP="00702601">
            <w:pPr>
              <w:spacing w:before="60" w:after="60" w:line="600" w:lineRule="auto"/>
              <w:ind w:left="-18" w:firstLine="18"/>
              <w:rPr>
                <w:rFonts w:cs="Arial"/>
                <w:lang w:val="pt-BR"/>
              </w:rPr>
            </w:pPr>
          </w:p>
        </w:tc>
        <w:tc>
          <w:tcPr>
            <w:tcW w:w="1620" w:type="dxa"/>
            <w:tcBorders>
              <w:top w:val="single" w:sz="4" w:space="0" w:color="auto"/>
              <w:left w:val="single" w:sz="4" w:space="0" w:color="auto"/>
              <w:bottom w:val="single" w:sz="4" w:space="0" w:color="auto"/>
            </w:tcBorders>
            <w:shd w:val="clear" w:color="auto" w:fill="FFFFFF"/>
          </w:tcPr>
          <w:p w:rsidR="00702601" w:rsidRPr="0053492E" w:rsidRDefault="00702601" w:rsidP="00702601">
            <w:pPr>
              <w:spacing w:before="60" w:after="60" w:line="600" w:lineRule="auto"/>
              <w:ind w:left="-18" w:firstLine="18"/>
              <w:jc w:val="right"/>
              <w:rPr>
                <w:rFonts w:cs="Arial"/>
                <w:lang w:val="pt-BR"/>
              </w:rPr>
            </w:pPr>
          </w:p>
        </w:tc>
      </w:tr>
      <w:tr w:rsidR="00702601" w:rsidRPr="00FC6E81" w:rsidTr="00FC6E81">
        <w:tc>
          <w:tcPr>
            <w:tcW w:w="738" w:type="dxa"/>
            <w:tcBorders>
              <w:top w:val="single" w:sz="4" w:space="0" w:color="auto"/>
              <w:bottom w:val="single" w:sz="4" w:space="0" w:color="auto"/>
              <w:right w:val="single" w:sz="4" w:space="0" w:color="auto"/>
            </w:tcBorders>
            <w:shd w:val="clear" w:color="auto" w:fill="D9D9D9"/>
          </w:tcPr>
          <w:p w:rsidR="00702601" w:rsidRPr="0053492E" w:rsidRDefault="00702601" w:rsidP="00702601">
            <w:pPr>
              <w:spacing w:before="60" w:after="60" w:line="600" w:lineRule="auto"/>
              <w:ind w:left="-110" w:right="-108"/>
              <w:jc w:val="center"/>
              <w:rPr>
                <w:rFonts w:cs="Arial"/>
              </w:rPr>
            </w:pPr>
            <w:r w:rsidRPr="0053492E">
              <w:rPr>
                <w:rFonts w:cs="Arial"/>
              </w:rPr>
              <w:t>6</w:t>
            </w:r>
          </w:p>
        </w:tc>
        <w:tc>
          <w:tcPr>
            <w:tcW w:w="3690" w:type="dxa"/>
            <w:tcBorders>
              <w:top w:val="single" w:sz="4" w:space="0" w:color="auto"/>
              <w:left w:val="single" w:sz="4" w:space="0" w:color="auto"/>
              <w:bottom w:val="single" w:sz="4" w:space="0" w:color="auto"/>
              <w:right w:val="single" w:sz="4" w:space="0" w:color="auto"/>
            </w:tcBorders>
            <w:shd w:val="clear" w:color="auto" w:fill="D9D9D9"/>
          </w:tcPr>
          <w:p w:rsidR="00702601" w:rsidRPr="00702601" w:rsidRDefault="00702601" w:rsidP="001A0DDE">
            <w:pPr>
              <w:tabs>
                <w:tab w:val="left" w:pos="244"/>
              </w:tabs>
              <w:spacing w:before="60" w:after="0" w:line="600" w:lineRule="auto"/>
              <w:rPr>
                <w:rFonts w:cs="Arial"/>
                <w:iCs/>
                <w:lang w:val="pt-BR"/>
              </w:rPr>
            </w:pPr>
            <w:r w:rsidRPr="00702601">
              <w:rPr>
                <w:rFonts w:cs="Arial"/>
                <w:iCs/>
                <w:lang w:val="pt-BR"/>
              </w:rPr>
              <w:t>Protozoários Sistémicos Frequentes em Moçambique</w:t>
            </w:r>
          </w:p>
        </w:tc>
        <w:tc>
          <w:tcPr>
            <w:tcW w:w="4050" w:type="dxa"/>
            <w:tcBorders>
              <w:top w:val="single" w:sz="4" w:space="0" w:color="auto"/>
              <w:left w:val="single" w:sz="4" w:space="0" w:color="auto"/>
              <w:bottom w:val="single" w:sz="4" w:space="0" w:color="auto"/>
              <w:right w:val="single" w:sz="4" w:space="0" w:color="auto"/>
            </w:tcBorders>
            <w:shd w:val="clear" w:color="auto" w:fill="D9D9D9"/>
          </w:tcPr>
          <w:p w:rsidR="00702601" w:rsidRPr="0053492E" w:rsidRDefault="00702601" w:rsidP="00702601">
            <w:pPr>
              <w:spacing w:before="60" w:after="60" w:line="600" w:lineRule="auto"/>
              <w:ind w:left="-18" w:firstLine="18"/>
              <w:rPr>
                <w:rFonts w:cs="Arial"/>
                <w:lang w:val="pt-BR"/>
              </w:rPr>
            </w:pPr>
          </w:p>
        </w:tc>
        <w:tc>
          <w:tcPr>
            <w:tcW w:w="1620" w:type="dxa"/>
            <w:tcBorders>
              <w:top w:val="single" w:sz="4" w:space="0" w:color="auto"/>
              <w:left w:val="single" w:sz="4" w:space="0" w:color="auto"/>
              <w:bottom w:val="single" w:sz="4" w:space="0" w:color="auto"/>
            </w:tcBorders>
            <w:shd w:val="clear" w:color="auto" w:fill="D9D9D9"/>
          </w:tcPr>
          <w:p w:rsidR="00702601" w:rsidRPr="0053492E" w:rsidRDefault="00702601" w:rsidP="00702601">
            <w:pPr>
              <w:spacing w:before="60" w:after="60" w:line="600" w:lineRule="auto"/>
              <w:ind w:left="-18" w:firstLine="18"/>
              <w:jc w:val="right"/>
              <w:rPr>
                <w:rFonts w:cs="Arial"/>
                <w:lang w:val="pt-BR"/>
              </w:rPr>
            </w:pPr>
          </w:p>
        </w:tc>
      </w:tr>
      <w:tr w:rsidR="00702601" w:rsidRPr="0053492E" w:rsidTr="00FC6E81">
        <w:tc>
          <w:tcPr>
            <w:tcW w:w="738" w:type="dxa"/>
            <w:tcBorders>
              <w:top w:val="single" w:sz="4" w:space="0" w:color="auto"/>
              <w:bottom w:val="single" w:sz="18" w:space="0" w:color="auto"/>
              <w:right w:val="single" w:sz="4" w:space="0" w:color="auto"/>
            </w:tcBorders>
            <w:shd w:val="clear" w:color="auto" w:fill="FFFFFF"/>
          </w:tcPr>
          <w:p w:rsidR="00702601" w:rsidRPr="0053492E" w:rsidRDefault="00702601" w:rsidP="00702601">
            <w:pPr>
              <w:spacing w:before="60" w:after="60" w:line="600" w:lineRule="auto"/>
              <w:ind w:left="-110" w:right="-108"/>
              <w:jc w:val="center"/>
              <w:rPr>
                <w:rFonts w:cs="Arial"/>
              </w:rPr>
            </w:pPr>
            <w:r w:rsidRPr="0053492E">
              <w:rPr>
                <w:rFonts w:cs="Arial"/>
              </w:rPr>
              <w:t>7</w:t>
            </w:r>
          </w:p>
        </w:tc>
        <w:tc>
          <w:tcPr>
            <w:tcW w:w="3690" w:type="dxa"/>
            <w:tcBorders>
              <w:top w:val="single" w:sz="4" w:space="0" w:color="auto"/>
              <w:left w:val="single" w:sz="4" w:space="0" w:color="auto"/>
              <w:bottom w:val="single" w:sz="18" w:space="0" w:color="auto"/>
              <w:right w:val="single" w:sz="4" w:space="0" w:color="auto"/>
            </w:tcBorders>
            <w:shd w:val="clear" w:color="auto" w:fill="FFFFFF"/>
          </w:tcPr>
          <w:p w:rsidR="00702601" w:rsidRPr="0053492E" w:rsidRDefault="00702601" w:rsidP="00702601">
            <w:pPr>
              <w:tabs>
                <w:tab w:val="left" w:pos="244"/>
              </w:tabs>
              <w:spacing w:before="60" w:after="60" w:line="600" w:lineRule="auto"/>
              <w:rPr>
                <w:rFonts w:cs="Arial"/>
                <w:i/>
                <w:iCs/>
              </w:rPr>
            </w:pPr>
            <w:r w:rsidRPr="0053492E">
              <w:rPr>
                <w:rFonts w:cs="Arial"/>
              </w:rPr>
              <w:t>Pontos-chave</w:t>
            </w:r>
          </w:p>
        </w:tc>
        <w:tc>
          <w:tcPr>
            <w:tcW w:w="4050" w:type="dxa"/>
            <w:tcBorders>
              <w:top w:val="single" w:sz="4" w:space="0" w:color="auto"/>
              <w:left w:val="single" w:sz="4" w:space="0" w:color="auto"/>
              <w:bottom w:val="single" w:sz="18" w:space="0" w:color="auto"/>
              <w:right w:val="single" w:sz="4" w:space="0" w:color="auto"/>
            </w:tcBorders>
            <w:shd w:val="clear" w:color="auto" w:fill="FFFFFF"/>
          </w:tcPr>
          <w:p w:rsidR="00702601" w:rsidRPr="0053492E" w:rsidRDefault="00702601" w:rsidP="00702601">
            <w:pPr>
              <w:spacing w:before="60" w:after="60" w:line="600" w:lineRule="auto"/>
              <w:ind w:left="-18" w:firstLine="18"/>
              <w:rPr>
                <w:rFonts w:cs="Arial"/>
              </w:rPr>
            </w:pPr>
          </w:p>
        </w:tc>
        <w:tc>
          <w:tcPr>
            <w:tcW w:w="1620" w:type="dxa"/>
            <w:tcBorders>
              <w:top w:val="single" w:sz="4" w:space="0" w:color="auto"/>
              <w:left w:val="single" w:sz="4" w:space="0" w:color="auto"/>
              <w:bottom w:val="single" w:sz="18" w:space="0" w:color="auto"/>
            </w:tcBorders>
            <w:shd w:val="clear" w:color="auto" w:fill="FFFFFF"/>
          </w:tcPr>
          <w:p w:rsidR="00702601" w:rsidRPr="0053492E" w:rsidRDefault="00702601" w:rsidP="00702601">
            <w:pPr>
              <w:spacing w:before="60" w:after="60" w:line="600" w:lineRule="auto"/>
              <w:ind w:left="-18" w:firstLine="18"/>
              <w:jc w:val="right"/>
              <w:rPr>
                <w:rFonts w:cs="Arial"/>
              </w:rPr>
            </w:pPr>
          </w:p>
        </w:tc>
      </w:tr>
    </w:tbl>
    <w:p w:rsidR="00702601" w:rsidRPr="0053492E" w:rsidRDefault="00702601" w:rsidP="00702601">
      <w:pPr>
        <w:tabs>
          <w:tab w:val="left" w:pos="424"/>
        </w:tabs>
        <w:jc w:val="both"/>
        <w:rPr>
          <w:rFonts w:cs="Arial"/>
          <w:b/>
          <w:lang w:val="pt-BR"/>
        </w:rPr>
      </w:pPr>
      <w:r w:rsidRPr="0053492E">
        <w:rPr>
          <w:rFonts w:cs="Arial"/>
          <w:b/>
          <w:lang w:val="pt-BR"/>
        </w:rPr>
        <w:lastRenderedPageBreak/>
        <w:t>Equipamentos e meios audiovisuais necessários:</w:t>
      </w:r>
    </w:p>
    <w:p w:rsidR="00702601" w:rsidRPr="0053492E" w:rsidRDefault="00702601" w:rsidP="00702601">
      <w:pPr>
        <w:tabs>
          <w:tab w:val="left" w:pos="424"/>
        </w:tabs>
        <w:jc w:val="both"/>
        <w:rPr>
          <w:rFonts w:cs="Arial"/>
          <w:lang w:val="pt-BR"/>
        </w:rPr>
      </w:pPr>
    </w:p>
    <w:p w:rsidR="00702601" w:rsidRPr="0053492E" w:rsidRDefault="00702601" w:rsidP="00702601">
      <w:pPr>
        <w:tabs>
          <w:tab w:val="left" w:pos="424"/>
        </w:tabs>
        <w:jc w:val="both"/>
        <w:rPr>
          <w:rFonts w:cs="Arial"/>
          <w:lang w:val="pt-BR"/>
        </w:rPr>
      </w:pPr>
    </w:p>
    <w:p w:rsidR="00702601" w:rsidRDefault="00702601" w:rsidP="00702601">
      <w:pPr>
        <w:tabs>
          <w:tab w:val="left" w:pos="424"/>
        </w:tabs>
        <w:jc w:val="both"/>
        <w:rPr>
          <w:rFonts w:cs="Arial"/>
          <w:lang w:val="pt-BR"/>
        </w:rPr>
      </w:pPr>
    </w:p>
    <w:p w:rsidR="00702601" w:rsidRDefault="00702601" w:rsidP="00702601">
      <w:pPr>
        <w:tabs>
          <w:tab w:val="left" w:pos="424"/>
        </w:tabs>
        <w:jc w:val="both"/>
        <w:rPr>
          <w:rFonts w:cs="Arial"/>
          <w:lang w:val="pt-BR"/>
        </w:rPr>
      </w:pPr>
    </w:p>
    <w:p w:rsidR="00EB2A96" w:rsidRDefault="00EB2A96" w:rsidP="00702601">
      <w:pPr>
        <w:tabs>
          <w:tab w:val="left" w:pos="424"/>
        </w:tabs>
        <w:jc w:val="both"/>
        <w:rPr>
          <w:rFonts w:cs="Arial"/>
          <w:lang w:val="pt-BR"/>
        </w:rPr>
      </w:pPr>
    </w:p>
    <w:p w:rsidR="00EB2A96" w:rsidRDefault="00EB2A96" w:rsidP="00702601">
      <w:pPr>
        <w:tabs>
          <w:tab w:val="left" w:pos="424"/>
        </w:tabs>
        <w:jc w:val="both"/>
        <w:rPr>
          <w:rFonts w:cs="Arial"/>
          <w:lang w:val="pt-BR"/>
        </w:rPr>
      </w:pPr>
    </w:p>
    <w:p w:rsidR="00EB2A96" w:rsidRDefault="00EB2A96" w:rsidP="00702601">
      <w:pPr>
        <w:tabs>
          <w:tab w:val="left" w:pos="424"/>
        </w:tabs>
        <w:jc w:val="both"/>
        <w:rPr>
          <w:rFonts w:cs="Arial"/>
          <w:lang w:val="pt-BR"/>
        </w:rPr>
      </w:pPr>
    </w:p>
    <w:p w:rsidR="00EB2A96" w:rsidRDefault="00EB2A96" w:rsidP="00702601">
      <w:pPr>
        <w:tabs>
          <w:tab w:val="left" w:pos="424"/>
        </w:tabs>
        <w:jc w:val="both"/>
        <w:rPr>
          <w:rFonts w:cs="Arial"/>
          <w:lang w:val="pt-BR"/>
        </w:rPr>
      </w:pPr>
    </w:p>
    <w:p w:rsidR="00702601" w:rsidRPr="0053492E" w:rsidRDefault="00702601" w:rsidP="00702601">
      <w:pPr>
        <w:tabs>
          <w:tab w:val="left" w:pos="424"/>
        </w:tabs>
        <w:jc w:val="both"/>
        <w:rPr>
          <w:rFonts w:cs="Arial"/>
          <w:lang w:val="pt-BR"/>
        </w:rPr>
      </w:pPr>
    </w:p>
    <w:p w:rsidR="00702601" w:rsidRPr="0053492E" w:rsidRDefault="00702601" w:rsidP="00702601">
      <w:pPr>
        <w:tabs>
          <w:tab w:val="left" w:pos="424"/>
        </w:tabs>
        <w:jc w:val="both"/>
        <w:rPr>
          <w:rFonts w:cs="Arial"/>
          <w:lang w:val="pt-BR"/>
        </w:rPr>
      </w:pPr>
    </w:p>
    <w:p w:rsidR="00702601" w:rsidRPr="0053492E" w:rsidRDefault="00702601" w:rsidP="00702601">
      <w:pPr>
        <w:tabs>
          <w:tab w:val="left" w:pos="424"/>
        </w:tabs>
        <w:jc w:val="both"/>
        <w:rPr>
          <w:rFonts w:cs="Arial"/>
          <w:lang w:val="pt-BR"/>
        </w:rPr>
      </w:pPr>
      <w:r w:rsidRPr="0053492E">
        <w:rPr>
          <w:rFonts w:cs="Arial"/>
          <w:b/>
          <w:lang w:val="pt-BR"/>
        </w:rPr>
        <w:t>Trabalhos para casa (TPC), exercícios e textos para leitura – incluir data a ser entregue:</w:t>
      </w:r>
      <w:r w:rsidRPr="0053492E">
        <w:rPr>
          <w:rFonts w:cs="Arial"/>
          <w:lang w:val="pt-BR"/>
        </w:rPr>
        <w:t xml:space="preserve"> </w:t>
      </w:r>
    </w:p>
    <w:p w:rsidR="00702601" w:rsidRPr="0053492E" w:rsidRDefault="00702601" w:rsidP="00702601">
      <w:pPr>
        <w:tabs>
          <w:tab w:val="left" w:pos="424"/>
        </w:tabs>
        <w:jc w:val="both"/>
        <w:rPr>
          <w:rFonts w:cs="Arial"/>
          <w:lang w:val="pt-BR"/>
        </w:rPr>
      </w:pPr>
    </w:p>
    <w:p w:rsidR="00702601" w:rsidRDefault="00702601" w:rsidP="00702601">
      <w:pPr>
        <w:tabs>
          <w:tab w:val="left" w:pos="424"/>
        </w:tabs>
        <w:jc w:val="both"/>
        <w:rPr>
          <w:rFonts w:cs="Arial"/>
          <w:lang w:val="pt-BR"/>
        </w:rPr>
      </w:pPr>
    </w:p>
    <w:p w:rsidR="00702601" w:rsidRPr="0053492E" w:rsidRDefault="00702601" w:rsidP="00702601">
      <w:pPr>
        <w:tabs>
          <w:tab w:val="left" w:pos="424"/>
        </w:tabs>
        <w:jc w:val="both"/>
        <w:rPr>
          <w:rFonts w:cs="Arial"/>
          <w:lang w:val="pt-BR"/>
        </w:rPr>
      </w:pPr>
    </w:p>
    <w:p w:rsidR="00702601" w:rsidRDefault="00702601" w:rsidP="00702601">
      <w:pPr>
        <w:tabs>
          <w:tab w:val="left" w:pos="424"/>
        </w:tabs>
        <w:jc w:val="both"/>
        <w:rPr>
          <w:rFonts w:cs="Arial"/>
          <w:lang w:val="pt-BR"/>
        </w:rPr>
      </w:pPr>
    </w:p>
    <w:p w:rsidR="001A0DDE" w:rsidRDefault="001A0DDE" w:rsidP="00702601">
      <w:pPr>
        <w:tabs>
          <w:tab w:val="left" w:pos="424"/>
        </w:tabs>
        <w:jc w:val="both"/>
        <w:rPr>
          <w:rFonts w:cs="Arial"/>
          <w:lang w:val="pt-BR"/>
        </w:rPr>
      </w:pPr>
    </w:p>
    <w:p w:rsidR="001A0DDE" w:rsidRDefault="001A0DDE" w:rsidP="00702601">
      <w:pPr>
        <w:tabs>
          <w:tab w:val="left" w:pos="424"/>
        </w:tabs>
        <w:jc w:val="both"/>
        <w:rPr>
          <w:rFonts w:cs="Arial"/>
          <w:lang w:val="pt-BR"/>
        </w:rPr>
      </w:pPr>
    </w:p>
    <w:p w:rsidR="001A0DDE" w:rsidRDefault="001A0DDE" w:rsidP="00702601">
      <w:pPr>
        <w:tabs>
          <w:tab w:val="left" w:pos="424"/>
        </w:tabs>
        <w:jc w:val="both"/>
        <w:rPr>
          <w:rFonts w:cs="Arial"/>
          <w:lang w:val="pt-BR"/>
        </w:rPr>
      </w:pPr>
    </w:p>
    <w:p w:rsidR="001A0DDE" w:rsidRDefault="001A0DDE" w:rsidP="00702601">
      <w:pPr>
        <w:tabs>
          <w:tab w:val="left" w:pos="424"/>
        </w:tabs>
        <w:jc w:val="both"/>
        <w:rPr>
          <w:rFonts w:cs="Arial"/>
          <w:lang w:val="pt-BR"/>
        </w:rPr>
      </w:pPr>
    </w:p>
    <w:p w:rsidR="001A0DDE" w:rsidRDefault="001A0DDE" w:rsidP="00702601">
      <w:pPr>
        <w:tabs>
          <w:tab w:val="left" w:pos="424"/>
        </w:tabs>
        <w:jc w:val="both"/>
        <w:rPr>
          <w:rFonts w:cs="Arial"/>
          <w:lang w:val="pt-BR"/>
        </w:rPr>
      </w:pPr>
    </w:p>
    <w:p w:rsidR="001A0DDE" w:rsidRDefault="001A0DDE" w:rsidP="00702601">
      <w:pPr>
        <w:tabs>
          <w:tab w:val="left" w:pos="424"/>
        </w:tabs>
        <w:jc w:val="both"/>
        <w:rPr>
          <w:rFonts w:cs="Arial"/>
          <w:lang w:val="pt-BR"/>
        </w:rPr>
      </w:pPr>
    </w:p>
    <w:p w:rsidR="001A0DDE" w:rsidRDefault="001A0DDE" w:rsidP="00702601">
      <w:pPr>
        <w:tabs>
          <w:tab w:val="left" w:pos="424"/>
        </w:tabs>
        <w:jc w:val="both"/>
        <w:rPr>
          <w:rFonts w:cs="Arial"/>
          <w:lang w:val="pt-BR"/>
        </w:rPr>
      </w:pPr>
    </w:p>
    <w:p w:rsidR="001A0DDE" w:rsidRDefault="001A0DDE" w:rsidP="00702601">
      <w:pPr>
        <w:tabs>
          <w:tab w:val="left" w:pos="424"/>
        </w:tabs>
        <w:jc w:val="both"/>
        <w:rPr>
          <w:rFonts w:cs="Arial"/>
          <w:lang w:val="pt-BR"/>
        </w:rPr>
      </w:pPr>
    </w:p>
    <w:p w:rsidR="001A0DDE" w:rsidRPr="0053492E" w:rsidRDefault="001A0DDE" w:rsidP="00702601">
      <w:pPr>
        <w:tabs>
          <w:tab w:val="left" w:pos="424"/>
        </w:tabs>
        <w:jc w:val="both"/>
        <w:rPr>
          <w:rFonts w:cs="Arial"/>
          <w:lang w:val="pt-BR"/>
        </w:rPr>
      </w:pPr>
    </w:p>
    <w:p w:rsidR="00702601" w:rsidRPr="00927EAF" w:rsidRDefault="00702601" w:rsidP="00927EAF">
      <w:pPr>
        <w:rPr>
          <w:b/>
          <w:lang w:val="pt-BR"/>
        </w:rPr>
      </w:pPr>
      <w:r w:rsidRPr="00927EAF">
        <w:rPr>
          <w:b/>
          <w:lang w:val="pt-BR"/>
        </w:rPr>
        <w:t>Bibliografia (referências usadas para o desenvolvimento do conteúdo):</w:t>
      </w:r>
    </w:p>
    <w:p w:rsidR="00702601" w:rsidRPr="0053492E" w:rsidRDefault="00702601" w:rsidP="00702601">
      <w:pPr>
        <w:rPr>
          <w:lang w:val="pt-BR"/>
        </w:rPr>
      </w:pPr>
      <w:r w:rsidRPr="0053492E">
        <w:rPr>
          <w:lang w:val="pt-BR"/>
        </w:rPr>
        <w:t xml:space="preserve">Engelkirk, P.G. Gwendolyn, B. Microbiologia para as Ciências da Saúde. 7ª. Ed. Guanabara Koogan. </w:t>
      </w:r>
    </w:p>
    <w:p w:rsidR="00702601" w:rsidRPr="00F47FAF" w:rsidRDefault="00702601" w:rsidP="00702601">
      <w:pPr>
        <w:rPr>
          <w:b/>
          <w:lang w:val="pt-BR"/>
        </w:rPr>
      </w:pPr>
      <w:r w:rsidRPr="00F47FAF">
        <w:rPr>
          <w:lang w:val="pt-BR"/>
        </w:rPr>
        <w:t>Jawetz, M. Adelberg. Microbiologia Médica. 22ª. Ed. McGraw Hill, 2004.</w:t>
      </w:r>
    </w:p>
    <w:p w:rsidR="00702601" w:rsidRPr="00F47FAF" w:rsidRDefault="00702601" w:rsidP="00702601">
      <w:pPr>
        <w:tabs>
          <w:tab w:val="left" w:pos="424"/>
        </w:tabs>
        <w:spacing w:after="240" w:line="240" w:lineRule="auto"/>
        <w:rPr>
          <w:rFonts w:cs="Arial"/>
          <w:lang w:val="pt-BR"/>
        </w:rPr>
      </w:pPr>
      <w:r w:rsidRPr="00F47FAF">
        <w:rPr>
          <w:rFonts w:cs="Arial"/>
          <w:lang w:val="pt-BR"/>
        </w:rPr>
        <w:br w:type="page"/>
      </w:r>
    </w:p>
    <w:p w:rsidR="00702601" w:rsidRPr="00F47FAF" w:rsidRDefault="00702601" w:rsidP="00702601">
      <w:pPr>
        <w:shd w:val="clear" w:color="auto" w:fill="B8CCE4"/>
        <w:tabs>
          <w:tab w:val="left" w:pos="1276"/>
          <w:tab w:val="right" w:pos="8550"/>
        </w:tabs>
        <w:spacing w:before="120" w:after="120"/>
        <w:ind w:right="2"/>
        <w:jc w:val="both"/>
        <w:rPr>
          <w:rFonts w:cs="Arial"/>
          <w:b/>
          <w:lang w:val="pt-BR"/>
        </w:rPr>
      </w:pPr>
      <w:r w:rsidRPr="00F47FAF">
        <w:rPr>
          <w:rFonts w:cs="Arial"/>
          <w:b/>
          <w:lang w:val="pt-BR"/>
        </w:rPr>
        <w:lastRenderedPageBreak/>
        <w:t>BLOCO 1: INTRODUÇÃO À AULA</w:t>
      </w:r>
    </w:p>
    <w:p w:rsidR="00702601" w:rsidRDefault="00702601" w:rsidP="00C52E09">
      <w:pPr>
        <w:pStyle w:val="ListParagraph"/>
        <w:numPr>
          <w:ilvl w:val="1"/>
          <w:numId w:val="110"/>
        </w:numPr>
        <w:spacing w:before="120" w:after="0"/>
        <w:ind w:right="2"/>
        <w:jc w:val="both"/>
        <w:rPr>
          <w:rFonts w:cs="Arial"/>
          <w:lang w:val="pt-BR"/>
        </w:rPr>
      </w:pPr>
      <w:r w:rsidRPr="00702601">
        <w:rPr>
          <w:rFonts w:cs="Arial"/>
          <w:lang w:val="pt-BR"/>
        </w:rPr>
        <w:t>Apresentação do tópico, conteúdos e objectivos de aprendizagem.</w:t>
      </w:r>
    </w:p>
    <w:p w:rsidR="00702601" w:rsidRDefault="00702601" w:rsidP="00C52E09">
      <w:pPr>
        <w:pStyle w:val="ListParagraph"/>
        <w:numPr>
          <w:ilvl w:val="1"/>
          <w:numId w:val="110"/>
        </w:numPr>
        <w:spacing w:before="120" w:after="0"/>
        <w:ind w:right="2"/>
        <w:jc w:val="both"/>
        <w:rPr>
          <w:rFonts w:cs="Arial"/>
          <w:lang w:val="pt-BR"/>
        </w:rPr>
      </w:pPr>
      <w:r w:rsidRPr="00702601">
        <w:rPr>
          <w:rFonts w:cs="Arial"/>
          <w:lang w:val="pt-BR"/>
        </w:rPr>
        <w:t>Apresentação da estrutura da aula.</w:t>
      </w:r>
    </w:p>
    <w:p w:rsidR="00702601" w:rsidRDefault="00702601" w:rsidP="00C52E09">
      <w:pPr>
        <w:pStyle w:val="ListParagraph"/>
        <w:numPr>
          <w:ilvl w:val="1"/>
          <w:numId w:val="110"/>
        </w:numPr>
        <w:spacing w:before="120" w:after="0"/>
        <w:ind w:right="2"/>
        <w:jc w:val="both"/>
        <w:rPr>
          <w:rFonts w:cs="Arial"/>
          <w:lang w:val="pt-BR"/>
        </w:rPr>
      </w:pPr>
      <w:r w:rsidRPr="00702601">
        <w:rPr>
          <w:rFonts w:cs="Arial"/>
          <w:lang w:val="pt-BR"/>
        </w:rPr>
        <w:t>Apresentação da bibliografia que o aluno deverá manejar para ampliar os conhecimentos.</w:t>
      </w:r>
    </w:p>
    <w:p w:rsidR="001A0DDE" w:rsidRPr="00702601" w:rsidRDefault="001A0DDE" w:rsidP="00774441">
      <w:pPr>
        <w:pStyle w:val="ListParagraph"/>
        <w:spacing w:before="120" w:after="0" w:line="240" w:lineRule="auto"/>
        <w:ind w:right="2"/>
        <w:jc w:val="both"/>
        <w:rPr>
          <w:rFonts w:cs="Arial"/>
          <w:lang w:val="pt-BR"/>
        </w:rPr>
      </w:pPr>
    </w:p>
    <w:p w:rsidR="00702601" w:rsidRPr="00702601" w:rsidRDefault="00702601" w:rsidP="00702601">
      <w:pPr>
        <w:shd w:val="clear" w:color="auto" w:fill="B8CCE4"/>
        <w:tabs>
          <w:tab w:val="left" w:pos="1276"/>
          <w:tab w:val="right" w:pos="8550"/>
        </w:tabs>
        <w:spacing w:before="120" w:after="120"/>
        <w:ind w:right="2"/>
        <w:jc w:val="both"/>
        <w:rPr>
          <w:rFonts w:cs="Arial"/>
          <w:b/>
          <w:lang w:val="pt-BR"/>
        </w:rPr>
      </w:pPr>
      <w:r w:rsidRPr="00702601">
        <w:rPr>
          <w:rFonts w:cs="Arial"/>
          <w:b/>
          <w:lang w:val="pt-BR"/>
        </w:rPr>
        <w:t>BLOCO 2: CONCEITOS BÁSICOS DE PARASITOLOGIA E PATOGENIA</w:t>
      </w:r>
    </w:p>
    <w:p w:rsidR="00702601" w:rsidRPr="00702601" w:rsidRDefault="00702601" w:rsidP="00C52E09">
      <w:pPr>
        <w:numPr>
          <w:ilvl w:val="1"/>
          <w:numId w:val="100"/>
        </w:numPr>
        <w:spacing w:before="120" w:after="0"/>
        <w:jc w:val="both"/>
        <w:rPr>
          <w:rFonts w:cs="Arial"/>
          <w:lang w:val="pt-BR"/>
        </w:rPr>
      </w:pPr>
      <w:r w:rsidRPr="00702601">
        <w:rPr>
          <w:rFonts w:cs="Arial"/>
          <w:lang w:val="pt-BR"/>
        </w:rPr>
        <w:t>O parasitismo é uma relação de associação entre seres vivos que beneficia uma das partes (o parasita), e geralmente prejudica a outra (hospedeiro) – unilateralidade de benefícios.</w:t>
      </w:r>
    </w:p>
    <w:p w:rsidR="00702601" w:rsidRPr="00702601" w:rsidRDefault="00702601" w:rsidP="00C52E09">
      <w:pPr>
        <w:numPr>
          <w:ilvl w:val="1"/>
          <w:numId w:val="100"/>
        </w:numPr>
        <w:spacing w:before="120" w:after="0"/>
        <w:jc w:val="both"/>
        <w:rPr>
          <w:rFonts w:cs="Arial"/>
          <w:lang w:val="pt-BR"/>
        </w:rPr>
      </w:pPr>
      <w:r w:rsidRPr="00702601">
        <w:rPr>
          <w:rFonts w:cs="Arial"/>
          <w:lang w:val="pt-BR"/>
        </w:rPr>
        <w:t>Simbiose – é a associação de dois ou mais seres vivos de espécies diferentes, que lhes permite viver com vantagens recíprocas.</w:t>
      </w:r>
    </w:p>
    <w:p w:rsidR="00702601" w:rsidRPr="00702601" w:rsidRDefault="00702601" w:rsidP="00C52E09">
      <w:pPr>
        <w:numPr>
          <w:ilvl w:val="1"/>
          <w:numId w:val="100"/>
        </w:numPr>
        <w:spacing w:before="120" w:after="0"/>
        <w:jc w:val="both"/>
        <w:rPr>
          <w:rFonts w:cs="Arial"/>
          <w:lang w:val="pt-BR"/>
        </w:rPr>
      </w:pPr>
      <w:r w:rsidRPr="00702601">
        <w:rPr>
          <w:rFonts w:cs="Arial"/>
          <w:lang w:val="pt-BR"/>
        </w:rPr>
        <w:t>O parasitismo nem sempre provoca doença. Porém, o parasita pode alimentar-se de fluidos orgánicos ou de nutrientes que normalmente seriam utilizados pelo hospedeiro.</w:t>
      </w:r>
    </w:p>
    <w:p w:rsidR="00702601" w:rsidRPr="00702601" w:rsidRDefault="00702601" w:rsidP="00C52E09">
      <w:pPr>
        <w:numPr>
          <w:ilvl w:val="1"/>
          <w:numId w:val="100"/>
        </w:numPr>
        <w:spacing w:before="120" w:after="0"/>
        <w:jc w:val="both"/>
        <w:rPr>
          <w:rFonts w:cs="Arial"/>
          <w:lang w:val="pt-BR"/>
        </w:rPr>
      </w:pPr>
      <w:r w:rsidRPr="00702601">
        <w:rPr>
          <w:rFonts w:cs="Arial"/>
          <w:lang w:val="pt-BR"/>
        </w:rPr>
        <w:t>Portanto, os parasitas são definidos como organismos eucariontes que vivem na superfície ou no interior de outros organismos vivos (os hospedeiros), dos quais obtêm alguma vantagem. Podem ser unicelulares (por exemplo, amebas e plasmódios) ou multicelulares (por exemplo, vermes helmintos).</w:t>
      </w:r>
    </w:p>
    <w:p w:rsidR="00702601" w:rsidRPr="00702601" w:rsidRDefault="00702601" w:rsidP="00C52E09">
      <w:pPr>
        <w:numPr>
          <w:ilvl w:val="1"/>
          <w:numId w:val="100"/>
        </w:numPr>
        <w:spacing w:before="120" w:after="0"/>
        <w:jc w:val="both"/>
        <w:rPr>
          <w:rFonts w:cs="Arial"/>
          <w:lang w:val="pt-BR"/>
        </w:rPr>
      </w:pPr>
      <w:r w:rsidRPr="00702601">
        <w:rPr>
          <w:rFonts w:cs="Arial"/>
          <w:lang w:val="pt-BR"/>
        </w:rPr>
        <w:t>Os parasitas que vivem na superfície do corpo do hospedeiro são chamados ectoparasitas (por exemplo, o artrópodo que produz a sarna). Os que vivem no interior do corpo são chamados endoparasitas (por exemplo, os vermes áscaris, ou o toxoplasma).</w:t>
      </w:r>
    </w:p>
    <w:p w:rsidR="00702601" w:rsidRPr="00702601" w:rsidRDefault="00702601" w:rsidP="00C52E09">
      <w:pPr>
        <w:numPr>
          <w:ilvl w:val="1"/>
          <w:numId w:val="100"/>
        </w:numPr>
        <w:spacing w:before="120" w:after="0"/>
        <w:jc w:val="both"/>
        <w:rPr>
          <w:rFonts w:cs="Arial"/>
          <w:lang w:val="pt-BR"/>
        </w:rPr>
      </w:pPr>
      <w:r w:rsidRPr="00702601">
        <w:rPr>
          <w:rFonts w:cs="Arial"/>
          <w:lang w:val="pt-BR"/>
        </w:rPr>
        <w:t xml:space="preserve">Normalmente, os parasitas são transportados de um hospedeiro a outro por vectores (mosca, mosquitos). </w:t>
      </w:r>
    </w:p>
    <w:p w:rsidR="00702601" w:rsidRPr="00702601" w:rsidRDefault="00702601" w:rsidP="00C52E09">
      <w:pPr>
        <w:numPr>
          <w:ilvl w:val="1"/>
          <w:numId w:val="100"/>
        </w:numPr>
        <w:spacing w:before="120" w:after="0"/>
        <w:jc w:val="both"/>
        <w:rPr>
          <w:rFonts w:cs="Arial"/>
          <w:lang w:val="pt-BR"/>
        </w:rPr>
      </w:pPr>
      <w:r w:rsidRPr="00702601">
        <w:rPr>
          <w:rFonts w:cs="Arial"/>
          <w:lang w:val="pt-BR"/>
        </w:rPr>
        <w:t>O conhecimento do ciclo de vida dum parasita e dos seus vectores de transmissão é importante em termos de medicina preventiva, para poder reconhecer e controlar possíveis infecções, e impedir a sua transmissão.</w:t>
      </w:r>
    </w:p>
    <w:p w:rsidR="00702601" w:rsidRPr="00702601" w:rsidRDefault="00702601" w:rsidP="00C52E09">
      <w:pPr>
        <w:numPr>
          <w:ilvl w:val="1"/>
          <w:numId w:val="100"/>
        </w:numPr>
        <w:spacing w:before="120" w:after="0"/>
        <w:jc w:val="both"/>
        <w:rPr>
          <w:rFonts w:cs="Arial"/>
          <w:b/>
          <w:lang w:val="pt-BR"/>
        </w:rPr>
      </w:pPr>
      <w:r w:rsidRPr="00702601">
        <w:rPr>
          <w:rFonts w:cs="Arial"/>
          <w:lang w:val="pt-BR"/>
        </w:rPr>
        <w:t xml:space="preserve">Normalmente, o estudo da parasitologia considera 3 categorias de parasitas: protozoários (por exemplo, o plasmódio), helmintos (por exemplo, </w:t>
      </w:r>
      <w:r w:rsidRPr="00702601">
        <w:rPr>
          <w:rFonts w:cs="Arial"/>
          <w:i/>
          <w:lang w:val="pt-BR"/>
        </w:rPr>
        <w:t>Ascaris lumbricoides</w:t>
      </w:r>
      <w:r w:rsidRPr="00702601">
        <w:rPr>
          <w:rFonts w:cs="Arial"/>
          <w:lang w:val="pt-BR"/>
        </w:rPr>
        <w:t xml:space="preserve">) e artrópodos (por exemplo, </w:t>
      </w:r>
      <w:r w:rsidRPr="00702601">
        <w:rPr>
          <w:rFonts w:cs="Arial"/>
          <w:i/>
          <w:lang w:val="pt-BR"/>
        </w:rPr>
        <w:t>Sarcoptes scabiei</w:t>
      </w:r>
      <w:r w:rsidRPr="00702601">
        <w:rPr>
          <w:rFonts w:cs="Arial"/>
          <w:lang w:val="pt-BR"/>
        </w:rPr>
        <w:t>, responsável pela sarna).</w:t>
      </w:r>
    </w:p>
    <w:p w:rsidR="00702601" w:rsidRPr="0053492E" w:rsidRDefault="00702601" w:rsidP="00702601">
      <w:pPr>
        <w:tabs>
          <w:tab w:val="left" w:pos="851"/>
        </w:tabs>
        <w:spacing w:before="120"/>
        <w:ind w:left="142"/>
        <w:jc w:val="center"/>
        <w:rPr>
          <w:rFonts w:cs="Arial"/>
          <w:b/>
          <w:noProof/>
          <w:lang w:val="en-GB" w:eastAsia="en-GB"/>
        </w:rPr>
      </w:pPr>
      <w:r>
        <w:rPr>
          <w:rFonts w:cs="Arial"/>
          <w:b/>
          <w:noProof/>
          <w:lang w:val="en-ZW" w:eastAsia="en-ZW"/>
        </w:rPr>
        <w:drawing>
          <wp:inline distT="0" distB="0" distL="0" distR="0" wp14:anchorId="230B5941" wp14:editId="056BD53A">
            <wp:extent cx="6394506" cy="3057166"/>
            <wp:effectExtent l="19050" t="19050" r="0" b="0"/>
            <wp:docPr id="156" name="Diagram 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9" r:lo="rId90" r:qs="rId91" r:cs="rId92"/>
              </a:graphicData>
            </a:graphic>
          </wp:inline>
        </w:drawing>
      </w:r>
    </w:p>
    <w:p w:rsidR="00702601" w:rsidRPr="0053492E" w:rsidRDefault="00702601" w:rsidP="00702601">
      <w:pPr>
        <w:spacing w:before="120"/>
        <w:ind w:left="446"/>
        <w:jc w:val="center"/>
        <w:rPr>
          <w:rFonts w:cs="Arial"/>
        </w:rPr>
      </w:pPr>
      <w:r w:rsidRPr="00774441">
        <w:rPr>
          <w:rFonts w:cs="Arial"/>
          <w:b/>
        </w:rPr>
        <w:t>Figura 1:</w:t>
      </w:r>
      <w:r w:rsidRPr="0053492E">
        <w:rPr>
          <w:rFonts w:cs="Arial"/>
        </w:rPr>
        <w:t xml:space="preserve"> Classificação dos Parasitas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88"/>
        <w:gridCol w:w="2070"/>
        <w:gridCol w:w="6236"/>
      </w:tblGrid>
      <w:tr w:rsidR="001A0DDE" w:rsidRPr="00A306FA" w:rsidTr="001A0DDE">
        <w:trPr>
          <w:trHeight w:val="480"/>
          <w:jc w:val="center"/>
        </w:trPr>
        <w:tc>
          <w:tcPr>
            <w:tcW w:w="1004" w:type="pct"/>
          </w:tcPr>
          <w:p w:rsidR="00702601" w:rsidRPr="001A0DDE" w:rsidRDefault="00702601" w:rsidP="00702601">
            <w:pPr>
              <w:pStyle w:val="TM-3"/>
              <w:ind w:left="0" w:right="567" w:firstLine="0"/>
              <w:rPr>
                <w:b/>
              </w:rPr>
            </w:pPr>
            <w:r w:rsidRPr="001A0DDE">
              <w:rPr>
                <w:b/>
              </w:rPr>
              <w:lastRenderedPageBreak/>
              <w:t>Parasita</w:t>
            </w:r>
          </w:p>
        </w:tc>
        <w:tc>
          <w:tcPr>
            <w:tcW w:w="996" w:type="pct"/>
          </w:tcPr>
          <w:p w:rsidR="00702601" w:rsidRPr="001A0DDE" w:rsidRDefault="00702601" w:rsidP="00702601">
            <w:pPr>
              <w:pStyle w:val="TM-3"/>
              <w:ind w:left="0" w:right="567" w:firstLine="0"/>
              <w:rPr>
                <w:b/>
              </w:rPr>
            </w:pPr>
            <w:r w:rsidRPr="001A0DDE">
              <w:rPr>
                <w:b/>
              </w:rPr>
              <w:t>Divisão</w:t>
            </w:r>
          </w:p>
        </w:tc>
        <w:tc>
          <w:tcPr>
            <w:tcW w:w="3000" w:type="pct"/>
          </w:tcPr>
          <w:p w:rsidR="00702601" w:rsidRPr="001A0DDE" w:rsidRDefault="00702601" w:rsidP="00702601">
            <w:pPr>
              <w:pStyle w:val="TM-3"/>
              <w:ind w:left="0" w:right="567" w:firstLine="0"/>
              <w:rPr>
                <w:b/>
              </w:rPr>
            </w:pPr>
            <w:r w:rsidRPr="001A0DDE">
              <w:rPr>
                <w:b/>
              </w:rPr>
              <w:t>Exemplos</w:t>
            </w:r>
          </w:p>
        </w:tc>
      </w:tr>
      <w:tr w:rsidR="001A0DDE" w:rsidRPr="00FC6E81" w:rsidTr="001A0DDE">
        <w:trPr>
          <w:trHeight w:val="656"/>
          <w:jc w:val="center"/>
        </w:trPr>
        <w:tc>
          <w:tcPr>
            <w:tcW w:w="1004" w:type="pct"/>
            <w:vMerge w:val="restart"/>
            <w:vAlign w:val="center"/>
          </w:tcPr>
          <w:p w:rsidR="00702601" w:rsidRPr="00A306FA" w:rsidRDefault="00702601" w:rsidP="00702601">
            <w:pPr>
              <w:pStyle w:val="TM-3"/>
              <w:ind w:left="0" w:right="567" w:firstLine="0"/>
              <w:jc w:val="center"/>
            </w:pPr>
            <w:r w:rsidRPr="00A306FA">
              <w:t>Protozoários</w:t>
            </w:r>
          </w:p>
        </w:tc>
        <w:tc>
          <w:tcPr>
            <w:tcW w:w="996" w:type="pct"/>
          </w:tcPr>
          <w:p w:rsidR="00702601" w:rsidRPr="00A306FA" w:rsidRDefault="00702601" w:rsidP="00702601">
            <w:pPr>
              <w:pStyle w:val="TM-3"/>
              <w:ind w:left="0" w:right="567" w:firstLine="0"/>
            </w:pPr>
            <w:r w:rsidRPr="00A306FA">
              <w:t>Intestinais</w:t>
            </w:r>
          </w:p>
        </w:tc>
        <w:tc>
          <w:tcPr>
            <w:tcW w:w="3000" w:type="pct"/>
          </w:tcPr>
          <w:p w:rsidR="00702601" w:rsidRPr="00A306FA" w:rsidRDefault="00702601" w:rsidP="00702601">
            <w:pPr>
              <w:pStyle w:val="TM-3"/>
              <w:ind w:left="0" w:right="567" w:firstLine="0"/>
              <w:rPr>
                <w:i/>
              </w:rPr>
            </w:pPr>
            <w:r w:rsidRPr="00A306FA">
              <w:rPr>
                <w:i/>
              </w:rPr>
              <w:t>Entamoeba histolytica, Giardia lamblia, Isospora belli, Cryptosporídium spp, Balantidium coli</w:t>
            </w:r>
          </w:p>
        </w:tc>
      </w:tr>
      <w:tr w:rsidR="001A0DDE" w:rsidRPr="00A306FA" w:rsidTr="001A0DDE">
        <w:trPr>
          <w:trHeight w:val="144"/>
          <w:jc w:val="center"/>
        </w:trPr>
        <w:tc>
          <w:tcPr>
            <w:tcW w:w="1004" w:type="pct"/>
            <w:vMerge/>
            <w:vAlign w:val="center"/>
          </w:tcPr>
          <w:p w:rsidR="00702601" w:rsidRPr="00A306FA" w:rsidRDefault="00702601" w:rsidP="00702601">
            <w:pPr>
              <w:pStyle w:val="TM-3"/>
              <w:ind w:left="0" w:right="567" w:firstLine="0"/>
              <w:jc w:val="center"/>
            </w:pPr>
          </w:p>
        </w:tc>
        <w:tc>
          <w:tcPr>
            <w:tcW w:w="996" w:type="pct"/>
          </w:tcPr>
          <w:p w:rsidR="00702601" w:rsidRPr="00A306FA" w:rsidRDefault="00702601" w:rsidP="00702601">
            <w:pPr>
              <w:pStyle w:val="TM-3"/>
              <w:ind w:left="0" w:right="567" w:firstLine="0"/>
            </w:pPr>
            <w:r w:rsidRPr="00A306FA">
              <w:t>Urogenitais</w:t>
            </w:r>
          </w:p>
        </w:tc>
        <w:tc>
          <w:tcPr>
            <w:tcW w:w="3000" w:type="pct"/>
          </w:tcPr>
          <w:p w:rsidR="00702601" w:rsidRPr="00A306FA" w:rsidRDefault="00702601" w:rsidP="00702601">
            <w:pPr>
              <w:pStyle w:val="TM-3"/>
              <w:ind w:left="0" w:right="567" w:firstLine="0"/>
              <w:rPr>
                <w:i/>
              </w:rPr>
            </w:pPr>
            <w:r w:rsidRPr="00A306FA">
              <w:rPr>
                <w:i/>
              </w:rPr>
              <w:t>Trichomonas vaginalis</w:t>
            </w:r>
          </w:p>
        </w:tc>
      </w:tr>
      <w:tr w:rsidR="001A0DDE" w:rsidRPr="00FC6E81" w:rsidTr="001A0DDE">
        <w:trPr>
          <w:trHeight w:val="476"/>
          <w:jc w:val="center"/>
        </w:trPr>
        <w:tc>
          <w:tcPr>
            <w:tcW w:w="1004" w:type="pct"/>
            <w:vMerge/>
            <w:vAlign w:val="center"/>
          </w:tcPr>
          <w:p w:rsidR="00702601" w:rsidRPr="00A306FA" w:rsidRDefault="00702601" w:rsidP="00702601">
            <w:pPr>
              <w:pStyle w:val="TM-3"/>
              <w:ind w:left="0" w:right="567" w:firstLine="0"/>
              <w:jc w:val="center"/>
            </w:pPr>
          </w:p>
        </w:tc>
        <w:tc>
          <w:tcPr>
            <w:tcW w:w="996" w:type="pct"/>
          </w:tcPr>
          <w:p w:rsidR="00702601" w:rsidRPr="00A306FA" w:rsidRDefault="00702601" w:rsidP="00702601">
            <w:pPr>
              <w:pStyle w:val="TM-3"/>
              <w:ind w:left="0" w:right="567" w:firstLine="0"/>
            </w:pPr>
            <w:r w:rsidRPr="00A306FA">
              <w:t>Sistémicos</w:t>
            </w:r>
          </w:p>
        </w:tc>
        <w:tc>
          <w:tcPr>
            <w:tcW w:w="3000" w:type="pct"/>
          </w:tcPr>
          <w:p w:rsidR="00702601" w:rsidRPr="00A306FA" w:rsidRDefault="00702601" w:rsidP="00702601">
            <w:pPr>
              <w:pStyle w:val="TM-3"/>
              <w:ind w:left="0" w:right="567" w:firstLine="0"/>
              <w:rPr>
                <w:i/>
                <w:lang w:val="pt-BR"/>
              </w:rPr>
            </w:pPr>
            <w:r w:rsidRPr="00A306FA">
              <w:rPr>
                <w:i/>
                <w:lang w:val="pt-BR"/>
              </w:rPr>
              <w:t>Plasmodium spp, Toxoplasma gondii, Trypanosoma brucei</w:t>
            </w:r>
          </w:p>
        </w:tc>
      </w:tr>
      <w:tr w:rsidR="001A0DDE" w:rsidRPr="00A306FA" w:rsidTr="001A0DDE">
        <w:trPr>
          <w:trHeight w:val="1070"/>
          <w:jc w:val="center"/>
        </w:trPr>
        <w:tc>
          <w:tcPr>
            <w:tcW w:w="1004" w:type="pct"/>
            <w:vMerge w:val="restart"/>
            <w:vAlign w:val="center"/>
          </w:tcPr>
          <w:p w:rsidR="00702601" w:rsidRPr="00A306FA" w:rsidRDefault="00702601" w:rsidP="00702601">
            <w:pPr>
              <w:pStyle w:val="TM-3"/>
              <w:ind w:left="0" w:right="567" w:firstLine="0"/>
              <w:jc w:val="center"/>
            </w:pPr>
            <w:r w:rsidRPr="00A306FA">
              <w:t>Helmintos</w:t>
            </w:r>
          </w:p>
        </w:tc>
        <w:tc>
          <w:tcPr>
            <w:tcW w:w="996" w:type="pct"/>
          </w:tcPr>
          <w:p w:rsidR="00702601" w:rsidRPr="00A306FA" w:rsidRDefault="00702601" w:rsidP="00702601">
            <w:pPr>
              <w:pStyle w:val="TM-3"/>
              <w:ind w:left="0" w:right="567" w:firstLine="0"/>
            </w:pPr>
            <w:r w:rsidRPr="00A306FA">
              <w:t>Nemátodes</w:t>
            </w:r>
          </w:p>
        </w:tc>
        <w:tc>
          <w:tcPr>
            <w:tcW w:w="3000" w:type="pct"/>
          </w:tcPr>
          <w:p w:rsidR="00702601" w:rsidRPr="00A306FA" w:rsidRDefault="00702601" w:rsidP="00702601">
            <w:pPr>
              <w:pStyle w:val="TM-3"/>
              <w:ind w:left="0" w:right="567" w:firstLine="0"/>
              <w:rPr>
                <w:i/>
              </w:rPr>
            </w:pPr>
            <w:r w:rsidRPr="00A306FA">
              <w:rPr>
                <w:i/>
              </w:rPr>
              <w:t>Enterobius vermicularis, Ascaris lumbricoides, Ancylostoma duodenale, Strongyloídes stercolaris, Wuchereria bancrofti, Trichuris trichiura, Onchocerca volvulus Trichinella spiralis</w:t>
            </w:r>
          </w:p>
        </w:tc>
      </w:tr>
      <w:tr w:rsidR="001A0DDE" w:rsidRPr="00FC6E81" w:rsidTr="001A0DDE">
        <w:trPr>
          <w:trHeight w:val="144"/>
          <w:jc w:val="center"/>
        </w:trPr>
        <w:tc>
          <w:tcPr>
            <w:tcW w:w="1004" w:type="pct"/>
            <w:vMerge/>
            <w:vAlign w:val="center"/>
          </w:tcPr>
          <w:p w:rsidR="00702601" w:rsidRPr="00A306FA" w:rsidRDefault="00702601" w:rsidP="00702601">
            <w:pPr>
              <w:pStyle w:val="TM-3"/>
              <w:ind w:left="0" w:right="567" w:firstLine="0"/>
              <w:jc w:val="center"/>
            </w:pPr>
          </w:p>
        </w:tc>
        <w:tc>
          <w:tcPr>
            <w:tcW w:w="996" w:type="pct"/>
          </w:tcPr>
          <w:p w:rsidR="00702601" w:rsidRPr="00A306FA" w:rsidRDefault="00702601" w:rsidP="00702601">
            <w:pPr>
              <w:pStyle w:val="TM-3"/>
              <w:ind w:left="0" w:right="567" w:firstLine="0"/>
            </w:pPr>
            <w:r w:rsidRPr="00A306FA">
              <w:t>Tremátodes</w:t>
            </w:r>
          </w:p>
        </w:tc>
        <w:tc>
          <w:tcPr>
            <w:tcW w:w="3000" w:type="pct"/>
          </w:tcPr>
          <w:p w:rsidR="00702601" w:rsidRPr="00A306FA" w:rsidRDefault="00702601" w:rsidP="00702601">
            <w:pPr>
              <w:pStyle w:val="TM-3"/>
              <w:ind w:left="0" w:right="567" w:firstLine="0"/>
              <w:rPr>
                <w:i/>
              </w:rPr>
            </w:pPr>
            <w:r w:rsidRPr="00A306FA">
              <w:rPr>
                <w:i/>
              </w:rPr>
              <w:t>Schistosoma haematobium e Schistosoma mansoni, Fasciola hepatica</w:t>
            </w:r>
          </w:p>
        </w:tc>
      </w:tr>
      <w:tr w:rsidR="001A0DDE" w:rsidRPr="00FC6E81" w:rsidTr="001A0DDE">
        <w:trPr>
          <w:trHeight w:val="494"/>
          <w:jc w:val="center"/>
        </w:trPr>
        <w:tc>
          <w:tcPr>
            <w:tcW w:w="1004" w:type="pct"/>
            <w:vMerge/>
            <w:vAlign w:val="center"/>
          </w:tcPr>
          <w:p w:rsidR="00702601" w:rsidRPr="00A306FA" w:rsidRDefault="00702601" w:rsidP="00702601">
            <w:pPr>
              <w:pStyle w:val="TM-3"/>
              <w:ind w:left="0" w:right="567" w:firstLine="0"/>
              <w:jc w:val="center"/>
            </w:pPr>
          </w:p>
        </w:tc>
        <w:tc>
          <w:tcPr>
            <w:tcW w:w="996" w:type="pct"/>
          </w:tcPr>
          <w:p w:rsidR="00702601" w:rsidRPr="00A306FA" w:rsidRDefault="00702601" w:rsidP="00702601">
            <w:pPr>
              <w:pStyle w:val="TM-3"/>
              <w:ind w:left="0" w:right="567" w:firstLine="0"/>
            </w:pPr>
            <w:r w:rsidRPr="00A306FA">
              <w:t>Cestódes</w:t>
            </w:r>
          </w:p>
        </w:tc>
        <w:tc>
          <w:tcPr>
            <w:tcW w:w="3000" w:type="pct"/>
          </w:tcPr>
          <w:p w:rsidR="00702601" w:rsidRPr="00A306FA" w:rsidRDefault="00702601" w:rsidP="00702601">
            <w:pPr>
              <w:pStyle w:val="TM-3"/>
              <w:ind w:left="0" w:right="567" w:firstLine="0"/>
              <w:rPr>
                <w:i/>
              </w:rPr>
            </w:pPr>
            <w:r w:rsidRPr="00A306FA">
              <w:rPr>
                <w:i/>
              </w:rPr>
              <w:t xml:space="preserve">Taenia solium e taenia saginata, Hymenolepsis nana, Diphyllobothrium latum </w:t>
            </w:r>
          </w:p>
        </w:tc>
      </w:tr>
      <w:tr w:rsidR="001A0DDE" w:rsidRPr="00A306FA" w:rsidTr="001A0DDE">
        <w:trPr>
          <w:trHeight w:val="359"/>
          <w:jc w:val="center"/>
        </w:trPr>
        <w:tc>
          <w:tcPr>
            <w:tcW w:w="1004" w:type="pct"/>
            <w:vAlign w:val="center"/>
          </w:tcPr>
          <w:p w:rsidR="00702601" w:rsidRPr="00A306FA" w:rsidRDefault="00702601" w:rsidP="00702601">
            <w:pPr>
              <w:pStyle w:val="TM-3"/>
              <w:ind w:left="0" w:right="567" w:firstLine="0"/>
              <w:jc w:val="center"/>
            </w:pPr>
            <w:r w:rsidRPr="00A306FA">
              <w:t>Artrópodes</w:t>
            </w:r>
          </w:p>
        </w:tc>
        <w:tc>
          <w:tcPr>
            <w:tcW w:w="996" w:type="pct"/>
          </w:tcPr>
          <w:p w:rsidR="00702601" w:rsidRPr="00A306FA" w:rsidRDefault="00702601" w:rsidP="00702601">
            <w:pPr>
              <w:pStyle w:val="TM-3"/>
              <w:ind w:left="0" w:right="567" w:firstLine="0"/>
            </w:pPr>
          </w:p>
        </w:tc>
        <w:tc>
          <w:tcPr>
            <w:tcW w:w="3000" w:type="pct"/>
          </w:tcPr>
          <w:p w:rsidR="00702601" w:rsidRPr="00A306FA" w:rsidRDefault="00702601" w:rsidP="00702601">
            <w:pPr>
              <w:pStyle w:val="TM-3"/>
              <w:ind w:left="0" w:right="567" w:firstLine="0"/>
              <w:rPr>
                <w:i/>
              </w:rPr>
            </w:pPr>
            <w:r w:rsidRPr="00A306FA">
              <w:rPr>
                <w:i/>
              </w:rPr>
              <w:t xml:space="preserve">Sarcoptes scabiei, carraças, piolhos, </w:t>
            </w:r>
          </w:p>
        </w:tc>
      </w:tr>
    </w:tbl>
    <w:p w:rsidR="00702601" w:rsidRPr="00A306FA" w:rsidRDefault="00702601" w:rsidP="00702601">
      <w:pPr>
        <w:pStyle w:val="TM-3"/>
        <w:ind w:left="1418" w:right="567" w:firstLine="0"/>
        <w:jc w:val="center"/>
      </w:pPr>
      <w:r w:rsidRPr="00774441">
        <w:rPr>
          <w:b/>
        </w:rPr>
        <w:t>Figura 2:</w:t>
      </w:r>
      <w:r w:rsidRPr="00A306FA">
        <w:t xml:space="preserve"> Classificação de parasitas e alguns exemplos</w:t>
      </w:r>
    </w:p>
    <w:p w:rsidR="00702601" w:rsidRPr="00A306FA" w:rsidRDefault="00702601" w:rsidP="00702601">
      <w:pPr>
        <w:pStyle w:val="TM-3"/>
        <w:ind w:left="0" w:right="567" w:firstLine="0"/>
        <w:rPr>
          <w:b/>
        </w:rPr>
      </w:pPr>
      <w:r w:rsidRPr="00A306FA">
        <w:rPr>
          <w:b/>
        </w:rPr>
        <w:t>2.9</w:t>
      </w:r>
      <w:r>
        <w:t xml:space="preserve"> </w:t>
      </w:r>
      <w:r w:rsidRPr="00A306FA">
        <w:rPr>
          <w:b/>
        </w:rPr>
        <w:t>Patogenia da infecção parasitária:</w:t>
      </w:r>
    </w:p>
    <w:p w:rsidR="00702601" w:rsidRPr="00A306FA" w:rsidRDefault="00702601" w:rsidP="00702601">
      <w:pPr>
        <w:pStyle w:val="TM-3"/>
        <w:ind w:left="0" w:right="567" w:firstLine="0"/>
      </w:pPr>
      <w:r w:rsidRPr="00A306FA">
        <w:t>A patogenia das infecções por parasitas envolve os seguintes passos:</w:t>
      </w:r>
    </w:p>
    <w:p w:rsidR="00702601" w:rsidRPr="00A306FA" w:rsidRDefault="00702601" w:rsidP="00C52E09">
      <w:pPr>
        <w:pStyle w:val="TM-3"/>
        <w:numPr>
          <w:ilvl w:val="0"/>
          <w:numId w:val="97"/>
        </w:numPr>
        <w:ind w:right="567"/>
      </w:pPr>
      <w:r w:rsidRPr="00A306FA">
        <w:t>Exposição e entrada do parasita (via oral –</w:t>
      </w:r>
      <w:r>
        <w:t xml:space="preserve"> </w:t>
      </w:r>
      <w:r w:rsidRPr="00A306FA">
        <w:t>feco-oral, ou pele)</w:t>
      </w:r>
    </w:p>
    <w:p w:rsidR="00702601" w:rsidRPr="00A306FA" w:rsidRDefault="00702601" w:rsidP="00C52E09">
      <w:pPr>
        <w:pStyle w:val="TM-3"/>
        <w:numPr>
          <w:ilvl w:val="0"/>
          <w:numId w:val="97"/>
        </w:numPr>
        <w:ind w:right="567"/>
      </w:pPr>
      <w:r w:rsidRPr="00A306FA">
        <w:t>Adesão celular/tissular e replicação</w:t>
      </w:r>
    </w:p>
    <w:p w:rsidR="00702601" w:rsidRPr="00A306FA" w:rsidRDefault="00702601" w:rsidP="00C52E09">
      <w:pPr>
        <w:pStyle w:val="TM-3"/>
        <w:numPr>
          <w:ilvl w:val="0"/>
          <w:numId w:val="97"/>
        </w:numPr>
        <w:ind w:right="567"/>
      </w:pPr>
      <w:r w:rsidRPr="00A306FA">
        <w:t>Evasão e inactivação dos mecanismos de defesa do hospedeiro (variação antigénica, mimetismo molecular, parasitismo intra-celular, imunossupressão)</w:t>
      </w:r>
    </w:p>
    <w:p w:rsidR="00702601" w:rsidRDefault="00702601" w:rsidP="00C52E09">
      <w:pPr>
        <w:pStyle w:val="TM-3"/>
        <w:numPr>
          <w:ilvl w:val="0"/>
          <w:numId w:val="97"/>
        </w:numPr>
        <w:ind w:right="567"/>
      </w:pPr>
      <w:r w:rsidRPr="00A306FA">
        <w:t>Lesão celular e tissular, que por produção de substâncias tóxicas, quer por obstrução de vasos, ductos ou outras estruturas (exemplo: a Wchereria bancrofti bloqueia o fluxo linfático causando elefantíase – edema duro da região afectada; os Ascaris podem obstruir os intestinos ou canais biliares, entre outros)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49"/>
        <w:gridCol w:w="7045"/>
      </w:tblGrid>
      <w:tr w:rsidR="00702601" w:rsidRPr="00A306FA" w:rsidTr="001A0DDE">
        <w:tc>
          <w:tcPr>
            <w:tcW w:w="1611" w:type="pct"/>
          </w:tcPr>
          <w:p w:rsidR="00702601" w:rsidRPr="001A0DDE" w:rsidRDefault="00702601" w:rsidP="00702601">
            <w:pPr>
              <w:pStyle w:val="TM-3"/>
              <w:ind w:left="0" w:right="567" w:firstLine="0"/>
              <w:rPr>
                <w:b/>
              </w:rPr>
            </w:pPr>
            <w:r>
              <w:br w:type="page"/>
            </w:r>
            <w:r w:rsidRPr="001A0DDE">
              <w:rPr>
                <w:b/>
              </w:rPr>
              <w:t>Via de entrada</w:t>
            </w:r>
          </w:p>
        </w:tc>
        <w:tc>
          <w:tcPr>
            <w:tcW w:w="3389" w:type="pct"/>
          </w:tcPr>
          <w:p w:rsidR="00702601" w:rsidRPr="001A0DDE" w:rsidRDefault="00702601" w:rsidP="00702601">
            <w:pPr>
              <w:pStyle w:val="TM-3"/>
              <w:ind w:left="0" w:right="567" w:firstLine="0"/>
              <w:rPr>
                <w:b/>
              </w:rPr>
            </w:pPr>
            <w:r w:rsidRPr="001A0DDE">
              <w:rPr>
                <w:b/>
              </w:rPr>
              <w:t>Exemplos</w:t>
            </w:r>
          </w:p>
        </w:tc>
      </w:tr>
      <w:tr w:rsidR="00702601" w:rsidRPr="00FC6E81" w:rsidTr="001A0DDE">
        <w:tc>
          <w:tcPr>
            <w:tcW w:w="1611" w:type="pct"/>
            <w:vAlign w:val="center"/>
          </w:tcPr>
          <w:p w:rsidR="00702601" w:rsidRPr="00A306FA" w:rsidRDefault="00702601" w:rsidP="001A0DDE">
            <w:pPr>
              <w:pStyle w:val="TM-3"/>
              <w:ind w:left="0" w:right="567" w:firstLine="0"/>
            </w:pPr>
            <w:r w:rsidRPr="00A306FA">
              <w:t>Oral – ingestão (feco-oral)</w:t>
            </w:r>
          </w:p>
        </w:tc>
        <w:tc>
          <w:tcPr>
            <w:tcW w:w="3389" w:type="pct"/>
          </w:tcPr>
          <w:p w:rsidR="00702601" w:rsidRPr="00A306FA" w:rsidRDefault="00702601" w:rsidP="00702601">
            <w:pPr>
              <w:pStyle w:val="TM-3"/>
              <w:ind w:left="0" w:right="567" w:firstLine="0"/>
            </w:pPr>
            <w:r w:rsidRPr="00A306FA">
              <w:rPr>
                <w:i/>
              </w:rPr>
              <w:t>Giardia, Entamoeba histolytica</w:t>
            </w:r>
            <w:r w:rsidRPr="00A306FA">
              <w:t>, cestodes, nematodes</w:t>
            </w:r>
          </w:p>
        </w:tc>
      </w:tr>
      <w:tr w:rsidR="00702601" w:rsidRPr="00FC6E81" w:rsidTr="001A0DDE">
        <w:tc>
          <w:tcPr>
            <w:tcW w:w="1611" w:type="pct"/>
            <w:vMerge w:val="restart"/>
            <w:vAlign w:val="center"/>
          </w:tcPr>
          <w:p w:rsidR="00702601" w:rsidRPr="00A306FA" w:rsidRDefault="00702601" w:rsidP="001A0DDE">
            <w:pPr>
              <w:pStyle w:val="TM-3"/>
              <w:ind w:left="0" w:right="567" w:firstLine="0"/>
            </w:pPr>
            <w:r w:rsidRPr="00A306FA">
              <w:t>Penetração directa</w:t>
            </w:r>
          </w:p>
        </w:tc>
        <w:tc>
          <w:tcPr>
            <w:tcW w:w="3389" w:type="pct"/>
          </w:tcPr>
          <w:p w:rsidR="00702601" w:rsidRPr="00A306FA" w:rsidRDefault="00702601" w:rsidP="00702601">
            <w:pPr>
              <w:pStyle w:val="TM-3"/>
              <w:ind w:left="0" w:right="567" w:firstLine="0"/>
            </w:pPr>
            <w:r w:rsidRPr="00A306FA">
              <w:t xml:space="preserve">Picada de artrópodes: </w:t>
            </w:r>
            <w:r w:rsidRPr="00A306FA">
              <w:rPr>
                <w:i/>
              </w:rPr>
              <w:t xml:space="preserve">plasmodium spp </w:t>
            </w:r>
            <w:r w:rsidRPr="00A306FA">
              <w:t>(malária), Tripanosomas (mosca tsé-tsé)</w:t>
            </w:r>
          </w:p>
        </w:tc>
      </w:tr>
      <w:tr w:rsidR="00702601" w:rsidRPr="00A306FA" w:rsidTr="001A0DDE">
        <w:tc>
          <w:tcPr>
            <w:tcW w:w="1611" w:type="pct"/>
            <w:vMerge/>
          </w:tcPr>
          <w:p w:rsidR="00702601" w:rsidRPr="00A306FA" w:rsidRDefault="00702601" w:rsidP="00702601">
            <w:pPr>
              <w:pStyle w:val="TM-3"/>
              <w:ind w:left="0" w:right="567" w:firstLine="0"/>
            </w:pPr>
          </w:p>
        </w:tc>
        <w:tc>
          <w:tcPr>
            <w:tcW w:w="3389" w:type="pct"/>
          </w:tcPr>
          <w:p w:rsidR="00702601" w:rsidRPr="00A306FA" w:rsidRDefault="00702601" w:rsidP="00702601">
            <w:pPr>
              <w:pStyle w:val="TM-3"/>
              <w:ind w:left="0" w:right="567" w:firstLine="0"/>
              <w:rPr>
                <w:i/>
              </w:rPr>
            </w:pPr>
            <w:r w:rsidRPr="00A306FA">
              <w:t xml:space="preserve">Penetração transplacentária: </w:t>
            </w:r>
            <w:r w:rsidRPr="00A306FA">
              <w:rPr>
                <w:i/>
              </w:rPr>
              <w:t>Toxoplasma gondii</w:t>
            </w:r>
          </w:p>
        </w:tc>
      </w:tr>
      <w:tr w:rsidR="00702601" w:rsidRPr="00FC6E81" w:rsidTr="001A0DDE">
        <w:tc>
          <w:tcPr>
            <w:tcW w:w="1611" w:type="pct"/>
            <w:vMerge/>
          </w:tcPr>
          <w:p w:rsidR="00702601" w:rsidRPr="00A306FA" w:rsidRDefault="00702601" w:rsidP="00702601">
            <w:pPr>
              <w:pStyle w:val="TM-3"/>
              <w:ind w:left="0" w:right="567" w:firstLine="0"/>
            </w:pPr>
          </w:p>
        </w:tc>
        <w:tc>
          <w:tcPr>
            <w:tcW w:w="3389" w:type="pct"/>
          </w:tcPr>
          <w:p w:rsidR="00702601" w:rsidRPr="00A306FA" w:rsidRDefault="00702601" w:rsidP="00702601">
            <w:pPr>
              <w:pStyle w:val="TM-3"/>
              <w:ind w:left="0" w:right="567" w:firstLine="0"/>
            </w:pPr>
            <w:r w:rsidRPr="00A306FA">
              <w:t xml:space="preserve">Penetração directa: </w:t>
            </w:r>
            <w:r w:rsidRPr="00A306FA">
              <w:rPr>
                <w:i/>
              </w:rPr>
              <w:t>Ancylostoma duodenale, Schistosomas spp, Strongyloides stercolaris</w:t>
            </w:r>
          </w:p>
        </w:tc>
      </w:tr>
    </w:tbl>
    <w:p w:rsidR="00774441" w:rsidRDefault="00774441" w:rsidP="00702601">
      <w:pPr>
        <w:pStyle w:val="TM-3"/>
        <w:ind w:left="0" w:right="567" w:firstLine="0"/>
        <w:jc w:val="center"/>
      </w:pPr>
    </w:p>
    <w:p w:rsidR="00702601" w:rsidRDefault="00702601" w:rsidP="00702601">
      <w:pPr>
        <w:pStyle w:val="TM-3"/>
        <w:ind w:left="0" w:right="567" w:firstLine="0"/>
        <w:jc w:val="center"/>
      </w:pPr>
      <w:r w:rsidRPr="00774441">
        <w:rPr>
          <w:b/>
        </w:rPr>
        <w:t>Figura 3</w:t>
      </w:r>
      <w:r>
        <w:t>: Via de entrada dos parasitas e exemplos</w:t>
      </w:r>
    </w:p>
    <w:p w:rsidR="001A0DDE" w:rsidRDefault="001A0DDE" w:rsidP="00702601">
      <w:pPr>
        <w:pStyle w:val="TM-3"/>
        <w:ind w:left="0" w:right="567" w:firstLine="0"/>
        <w:jc w:val="center"/>
      </w:pPr>
    </w:p>
    <w:p w:rsidR="00702601" w:rsidRPr="00774441" w:rsidRDefault="00702601" w:rsidP="00702601">
      <w:pPr>
        <w:shd w:val="clear" w:color="auto" w:fill="B8CCE4"/>
        <w:tabs>
          <w:tab w:val="left" w:pos="1276"/>
          <w:tab w:val="right" w:pos="8550"/>
        </w:tabs>
        <w:spacing w:before="120" w:after="120"/>
        <w:ind w:right="2"/>
        <w:jc w:val="both"/>
        <w:rPr>
          <w:rFonts w:cs="Arial"/>
          <w:b/>
          <w:lang w:val="pt-PT"/>
        </w:rPr>
      </w:pPr>
      <w:r w:rsidRPr="00774441">
        <w:rPr>
          <w:rFonts w:cs="Arial"/>
          <w:b/>
          <w:lang w:val="pt-PT"/>
        </w:rPr>
        <w:lastRenderedPageBreak/>
        <w:t>BLOCO 3: CARACTERÍSTÍCAS DOS PROTOZOÁRIOS</w:t>
      </w:r>
    </w:p>
    <w:p w:rsidR="00702601" w:rsidRPr="0053492E" w:rsidRDefault="00702601" w:rsidP="00C52E09">
      <w:pPr>
        <w:numPr>
          <w:ilvl w:val="1"/>
          <w:numId w:val="101"/>
        </w:numPr>
        <w:spacing w:before="120" w:after="0"/>
        <w:jc w:val="both"/>
        <w:rPr>
          <w:rFonts w:cs="Arial"/>
          <w:lang w:val="pt-BR"/>
        </w:rPr>
      </w:pPr>
      <w:r w:rsidRPr="0053492E">
        <w:rPr>
          <w:rFonts w:cs="Arial"/>
          <w:lang w:val="pt-BR"/>
        </w:rPr>
        <w:t>Protozoários são microrganismos eucario</w:t>
      </w:r>
      <w:r>
        <w:rPr>
          <w:rFonts w:cs="Arial"/>
          <w:lang w:val="pt-BR"/>
        </w:rPr>
        <w:t>nte</w:t>
      </w:r>
      <w:r w:rsidRPr="0053492E">
        <w:rPr>
          <w:rFonts w:cs="Arial"/>
          <w:lang w:val="pt-BR"/>
        </w:rPr>
        <w:t>s unicelulares. São heterotróficos, isto é, não são capazes de fabricar os seus próprios alimentos, mas têm que procura-los de fontes externas.</w:t>
      </w:r>
      <w:r>
        <w:rPr>
          <w:rFonts w:cs="Arial"/>
          <w:lang w:val="pt-BR"/>
        </w:rPr>
        <w:t xml:space="preserve"> </w:t>
      </w:r>
    </w:p>
    <w:p w:rsidR="00702601" w:rsidRPr="0053492E" w:rsidRDefault="00702601" w:rsidP="00C52E09">
      <w:pPr>
        <w:numPr>
          <w:ilvl w:val="1"/>
          <w:numId w:val="101"/>
        </w:numPr>
        <w:spacing w:before="120" w:after="0"/>
        <w:jc w:val="both"/>
        <w:rPr>
          <w:rFonts w:cs="Arial"/>
          <w:lang w:val="pt-BR"/>
        </w:rPr>
      </w:pPr>
      <w:r w:rsidRPr="001A50F0">
        <w:rPr>
          <w:rFonts w:cs="Arial"/>
          <w:lang w:val="pt-BR"/>
        </w:rPr>
        <w:t>Os protozoários são micoorganismos unicelulares com membrana celular, citoplasma com organelos (retículo endoplasmático, grânulos de armazenamento, vacúolos contrácteis e digestivos), núcleo e membrana nuclear. Possuem para a locomoção flagelos (</w:t>
      </w:r>
      <w:r w:rsidRPr="001A50F0">
        <w:rPr>
          <w:rFonts w:cs="Arial"/>
          <w:i/>
          <w:lang w:val="pt-BR"/>
        </w:rPr>
        <w:t>Giardia lamblia, Trypanossoma</w:t>
      </w:r>
      <w:r w:rsidRPr="001A50F0">
        <w:rPr>
          <w:rFonts w:cs="Arial"/>
          <w:lang w:val="pt-BR"/>
        </w:rPr>
        <w:t>), cílios (</w:t>
      </w:r>
      <w:r w:rsidRPr="001A50F0">
        <w:rPr>
          <w:rFonts w:cs="Arial"/>
          <w:i/>
          <w:lang w:val="pt-BR"/>
        </w:rPr>
        <w:t>Balantidium coli</w:t>
      </w:r>
      <w:r w:rsidRPr="001A50F0">
        <w:rPr>
          <w:rFonts w:cs="Arial"/>
          <w:lang w:val="pt-BR"/>
        </w:rPr>
        <w:t xml:space="preserve">) ou pseudópodes (falsos pés - projecções da membrana celular – </w:t>
      </w:r>
      <w:r w:rsidRPr="001A50F0">
        <w:rPr>
          <w:rFonts w:cs="Arial"/>
          <w:i/>
          <w:lang w:val="pt-BR"/>
        </w:rPr>
        <w:t>Entamoeba histolítica</w:t>
      </w:r>
      <w:r w:rsidRPr="001A50F0">
        <w:rPr>
          <w:rFonts w:cs="Arial"/>
          <w:lang w:val="pt-BR"/>
        </w:rPr>
        <w:t>). Outros não têm mobilidade por si (</w:t>
      </w:r>
      <w:r w:rsidRPr="001A50F0">
        <w:rPr>
          <w:rFonts w:cs="Arial"/>
          <w:i/>
          <w:lang w:val="pt-BR"/>
        </w:rPr>
        <w:t>Plasmódio spp, Toxoplasma gondii</w:t>
      </w:r>
      <w:r w:rsidRPr="001A50F0">
        <w:rPr>
          <w:rFonts w:cs="Arial"/>
          <w:lang w:val="pt-BR"/>
        </w:rPr>
        <w:t>), sendo transportados através das células na qual infectam.</w:t>
      </w:r>
      <w:r>
        <w:rPr>
          <w:rFonts w:cs="Arial"/>
          <w:lang w:val="pt-BR"/>
        </w:rPr>
        <w:t xml:space="preserve"> </w:t>
      </w:r>
      <w:r w:rsidRPr="0053492E">
        <w:rPr>
          <w:rFonts w:cs="Arial"/>
          <w:lang w:val="pt-BR"/>
        </w:rPr>
        <w:t>Apresentam variadas morfologias e processos de alimentação, locomoção e reprodução.</w:t>
      </w:r>
    </w:p>
    <w:p w:rsidR="00702601" w:rsidRPr="0053492E" w:rsidRDefault="00702601" w:rsidP="00C52E09">
      <w:pPr>
        <w:numPr>
          <w:ilvl w:val="1"/>
          <w:numId w:val="101"/>
        </w:numPr>
        <w:spacing w:before="120" w:after="0"/>
        <w:jc w:val="both"/>
        <w:rPr>
          <w:rFonts w:cs="Arial"/>
          <w:lang w:val="pt-BR"/>
        </w:rPr>
      </w:pPr>
      <w:r w:rsidRPr="0053492E">
        <w:rPr>
          <w:rFonts w:cs="Arial"/>
          <w:lang w:val="pt-BR"/>
        </w:rPr>
        <w:t>Os protozoários são uma fonte importante de alimento para muitos invertebrados de tamanho microscópico.</w:t>
      </w:r>
    </w:p>
    <w:p w:rsidR="00702601" w:rsidRPr="0053492E" w:rsidRDefault="00702601" w:rsidP="00C52E09">
      <w:pPr>
        <w:numPr>
          <w:ilvl w:val="1"/>
          <w:numId w:val="101"/>
        </w:numPr>
        <w:spacing w:before="120" w:after="0"/>
        <w:jc w:val="both"/>
        <w:rPr>
          <w:rFonts w:cs="Arial"/>
          <w:lang w:val="pt-BR"/>
        </w:rPr>
      </w:pPr>
      <w:r w:rsidRPr="0053492E">
        <w:rPr>
          <w:rFonts w:cs="Arial"/>
          <w:lang w:val="pt-BR"/>
        </w:rPr>
        <w:t>Uma grande parte dos protozoários faz vida livre, estando presentes em muitos ambientes diferentes. Porém, alguns deles parasitam diversos animais, entre outros, o ser humano.</w:t>
      </w:r>
    </w:p>
    <w:p w:rsidR="00702601" w:rsidRPr="0053492E" w:rsidRDefault="00702601" w:rsidP="00C52E09">
      <w:pPr>
        <w:numPr>
          <w:ilvl w:val="1"/>
          <w:numId w:val="101"/>
        </w:numPr>
        <w:spacing w:before="120" w:after="0"/>
        <w:jc w:val="both"/>
        <w:rPr>
          <w:rFonts w:cs="Arial"/>
          <w:lang w:val="pt-BR"/>
        </w:rPr>
      </w:pPr>
      <w:r w:rsidRPr="0053492E">
        <w:rPr>
          <w:rFonts w:cs="Arial"/>
          <w:lang w:val="pt-BR"/>
        </w:rPr>
        <w:t>Dependendo da sua actividade fisiológica, muitos protozoários apresentam fases de desenvolvimento bem definidas, abaixo mencionados:</w:t>
      </w:r>
    </w:p>
    <w:p w:rsidR="00702601" w:rsidRPr="0053492E" w:rsidRDefault="00702601" w:rsidP="006A6C6E">
      <w:pPr>
        <w:spacing w:before="120"/>
        <w:ind w:left="540"/>
        <w:jc w:val="both"/>
        <w:rPr>
          <w:rFonts w:cs="Arial"/>
          <w:lang w:val="pt-BR"/>
        </w:rPr>
      </w:pPr>
      <w:r>
        <w:rPr>
          <w:rFonts w:cs="Arial"/>
          <w:b/>
          <w:i/>
          <w:lang w:val="pt-BR"/>
        </w:rPr>
        <w:t xml:space="preserve">3.5.1 </w:t>
      </w:r>
      <w:r w:rsidRPr="0053492E">
        <w:rPr>
          <w:rFonts w:cs="Arial"/>
          <w:b/>
          <w:i/>
          <w:lang w:val="pt-BR"/>
        </w:rPr>
        <w:t>Trofozoíto</w:t>
      </w:r>
      <w:r w:rsidRPr="0053492E">
        <w:rPr>
          <w:rFonts w:cs="Arial"/>
          <w:lang w:val="pt-BR"/>
        </w:rPr>
        <w:t>, que é a forma activa. Nesta forma o protozoário se alimenta e se reproduz através de diferentes processos.</w:t>
      </w:r>
    </w:p>
    <w:p w:rsidR="00702601" w:rsidRPr="0053492E" w:rsidRDefault="00702601" w:rsidP="006A6C6E">
      <w:pPr>
        <w:spacing w:before="120"/>
        <w:ind w:left="540"/>
        <w:jc w:val="both"/>
        <w:rPr>
          <w:rFonts w:cs="Arial"/>
          <w:lang w:val="pt-BR"/>
        </w:rPr>
      </w:pPr>
      <w:r>
        <w:rPr>
          <w:rFonts w:cs="Arial"/>
          <w:b/>
          <w:i/>
          <w:lang w:val="pt-BR"/>
        </w:rPr>
        <w:t xml:space="preserve">3.5.2 </w:t>
      </w:r>
      <w:r w:rsidRPr="0053492E">
        <w:rPr>
          <w:rFonts w:cs="Arial"/>
          <w:b/>
          <w:i/>
          <w:lang w:val="pt-BR"/>
        </w:rPr>
        <w:t>Cisto e oocisto</w:t>
      </w:r>
      <w:r w:rsidRPr="0053492E">
        <w:rPr>
          <w:rFonts w:cs="Arial"/>
          <w:lang w:val="pt-BR"/>
        </w:rPr>
        <w:t>, que são formas latentes. O protozoário secreta uma parede resistente que o protege.</w:t>
      </w:r>
    </w:p>
    <w:p w:rsidR="00702601" w:rsidRPr="0053492E" w:rsidRDefault="00702601" w:rsidP="006A6C6E">
      <w:pPr>
        <w:spacing w:before="120"/>
        <w:ind w:left="540"/>
        <w:jc w:val="both"/>
        <w:rPr>
          <w:rFonts w:cs="Arial"/>
          <w:lang w:val="pt-BR"/>
        </w:rPr>
      </w:pPr>
      <w:r>
        <w:rPr>
          <w:rFonts w:cs="Arial"/>
          <w:b/>
          <w:i/>
          <w:lang w:val="pt-BR"/>
        </w:rPr>
        <w:t xml:space="preserve">3.5.3 </w:t>
      </w:r>
      <w:r w:rsidRPr="0053492E">
        <w:rPr>
          <w:rFonts w:cs="Arial"/>
          <w:b/>
          <w:i/>
          <w:lang w:val="pt-BR"/>
        </w:rPr>
        <w:t>Gâmeta,</w:t>
      </w:r>
      <w:r w:rsidRPr="0053492E">
        <w:rPr>
          <w:rFonts w:cs="Arial"/>
          <w:lang w:val="pt-BR"/>
        </w:rPr>
        <w:t xml:space="preserve"> é a forma sexuada, e aparece nos protozoários do subfilo Sporozoa.</w:t>
      </w:r>
    </w:p>
    <w:p w:rsidR="00702601" w:rsidRPr="0053492E" w:rsidRDefault="00702601" w:rsidP="00C52E09">
      <w:pPr>
        <w:numPr>
          <w:ilvl w:val="1"/>
          <w:numId w:val="101"/>
        </w:numPr>
        <w:spacing w:before="120" w:after="0"/>
        <w:jc w:val="both"/>
        <w:rPr>
          <w:rFonts w:cs="Arial"/>
          <w:lang w:val="pt-BR"/>
        </w:rPr>
      </w:pPr>
      <w:r w:rsidRPr="0053492E">
        <w:rPr>
          <w:rFonts w:cs="Arial"/>
          <w:lang w:val="pt-BR"/>
        </w:rPr>
        <w:t>Os protozoários de interesse médico pertencem a 4 grupos diferentes e são classificados segundo a sua forma de locomoção em:</w:t>
      </w:r>
    </w:p>
    <w:p w:rsidR="00702601" w:rsidRPr="0053492E" w:rsidRDefault="00702601" w:rsidP="006A6C6E">
      <w:pPr>
        <w:spacing w:before="120"/>
        <w:ind w:left="540"/>
        <w:jc w:val="both"/>
        <w:rPr>
          <w:rFonts w:cs="Arial"/>
          <w:lang w:val="pt-BR"/>
        </w:rPr>
      </w:pPr>
      <w:r w:rsidRPr="00774441">
        <w:rPr>
          <w:rFonts w:cs="Arial"/>
          <w:b/>
          <w:lang w:val="pt-BR"/>
        </w:rPr>
        <w:t>3.6.1</w:t>
      </w:r>
      <w:r>
        <w:rPr>
          <w:rFonts w:cs="Arial"/>
          <w:lang w:val="pt-BR"/>
        </w:rPr>
        <w:t xml:space="preserve"> </w:t>
      </w:r>
      <w:r w:rsidRPr="0053492E">
        <w:rPr>
          <w:rFonts w:cs="Arial"/>
          <w:lang w:val="pt-BR"/>
        </w:rPr>
        <w:t>Flagelados. Apresentam um ou mais flagelos, que utilizam para se deslocar. Entre eles encontram-se os parasitas Giardia lamblia, e as diferentes espécies de , Trypanosoma, e Trichomonas.</w:t>
      </w:r>
    </w:p>
    <w:p w:rsidR="00702601" w:rsidRPr="0053492E" w:rsidRDefault="00702601" w:rsidP="00702601">
      <w:pPr>
        <w:spacing w:before="120"/>
        <w:ind w:left="1080"/>
        <w:jc w:val="both"/>
        <w:rPr>
          <w:rFonts w:cs="Arial"/>
          <w:lang w:val="pt-BR"/>
        </w:rPr>
      </w:pPr>
      <w:r>
        <w:rPr>
          <w:rFonts w:cs="Arial"/>
          <w:noProof/>
          <w:lang w:val="en-ZW" w:eastAsia="en-ZW"/>
        </w:rPr>
        <w:drawing>
          <wp:inline distT="0" distB="0" distL="0" distR="0" wp14:anchorId="14DFD7E8" wp14:editId="6A6A9DD8">
            <wp:extent cx="4572000" cy="1955800"/>
            <wp:effectExtent l="0" t="0" r="0" b="0"/>
            <wp:docPr id="155" name="Object 1"/>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572000" cy="3327176"/>
                      <a:chOff x="2267744" y="1340768"/>
                      <a:chExt cx="4572000" cy="3327176"/>
                    </a:xfrm>
                  </a:grpSpPr>
                  <a:grpSp>
                    <a:nvGrpSpPr>
                      <a:cNvPr id="5" name="Group 4"/>
                      <a:cNvGrpSpPr/>
                    </a:nvGrpSpPr>
                    <a:grpSpPr>
                      <a:xfrm>
                        <a:off x="2267744" y="1340768"/>
                        <a:ext cx="4572000" cy="3327176"/>
                        <a:chOff x="2267744" y="1340768"/>
                        <a:chExt cx="4572000" cy="3327176"/>
                      </a:xfrm>
                    </a:grpSpPr>
                    <a:pic>
                      <a:nvPicPr>
                        <a:cNvPr id="36866" name="Picture 2" descr="http://faculty.ccbcmd.edu/courses/bio141/labmanua/lab22/images/trypanosoma1_scale_final.jpg"/>
                        <a:cNvPicPr>
                          <a:picLocks noChangeAspect="1" noChangeArrowheads="1"/>
                        </a:cNvPicPr>
                      </a:nvPicPr>
                      <a:blipFill>
                        <a:blip r:embed="rId94"/>
                        <a:srcRect/>
                        <a:stretch>
                          <a:fillRect/>
                        </a:stretch>
                      </a:blipFill>
                      <a:spPr bwMode="auto">
                        <a:xfrm>
                          <a:off x="2339752" y="1340768"/>
                          <a:ext cx="4176464" cy="3096344"/>
                        </a:xfrm>
                        <a:prstGeom prst="rect">
                          <a:avLst/>
                        </a:prstGeom>
                        <a:noFill/>
                      </a:spPr>
                    </a:pic>
                    <a:sp>
                      <a:nvSpPr>
                        <a:cNvPr id="3" name="TextBox 2"/>
                        <a:cNvSpPr txBox="1"/>
                      </a:nvSpPr>
                      <a:spPr>
                        <a:xfrm>
                          <a:off x="3635896" y="2348880"/>
                          <a:ext cx="936104" cy="369332"/>
                        </a:xfrm>
                        <a:prstGeom prst="rect">
                          <a:avLst/>
                        </a:prstGeom>
                        <a:solidFill>
                          <a:schemeClr val="accent2"/>
                        </a:solidFill>
                      </a:spPr>
                      <a:txSp>
                        <a:txBody>
                          <a:bodyPr wrap="square" rtlCol="0">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dirty="0" err="1" smtClean="0"/>
                              <a:t>Flagelo</a:t>
                            </a:r>
                            <a:endParaRPr lang="en-GB" dirty="0"/>
                          </a:p>
                        </a:txBody>
                        <a:useSpRect/>
                      </a:txSp>
                    </a:sp>
                    <a:sp>
                      <a:nvSpPr>
                        <a:cNvPr id="4" name="Rectangle 3"/>
                        <a:cNvSpPr/>
                      </a:nvSpPr>
                      <a:spPr>
                        <a:xfrm>
                          <a:off x="2267744" y="4437112"/>
                          <a:ext cx="4572000" cy="230832"/>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900" dirty="0" smtClean="0">
                                <a:hlinkClick r:id="rId95"/>
                              </a:rPr>
                              <a:t>http://student.ccbcmd.edu/courses/bio141/labmanua/lab22/trypan.html</a:t>
                            </a:r>
                            <a:endParaRPr lang="en-GB" sz="900" dirty="0"/>
                          </a:p>
                        </a:txBody>
                        <a:useSpRect/>
                      </a:txSp>
                    </a:sp>
                  </a:grpSp>
                </lc:lockedCanvas>
              </a:graphicData>
            </a:graphic>
          </wp:inline>
        </w:drawing>
      </w:r>
    </w:p>
    <w:p w:rsidR="00702601" w:rsidRPr="001612CC" w:rsidRDefault="00702601" w:rsidP="00702601">
      <w:pPr>
        <w:pStyle w:val="TM-3"/>
        <w:ind w:left="1418" w:right="567" w:firstLine="0"/>
      </w:pPr>
      <w:r w:rsidRPr="00774441">
        <w:rPr>
          <w:b/>
        </w:rPr>
        <w:t>Figura 4</w:t>
      </w:r>
      <w:r w:rsidR="00774441">
        <w:rPr>
          <w:b/>
        </w:rPr>
        <w:t>:</w:t>
      </w:r>
      <w:r w:rsidRPr="001612CC">
        <w:t xml:space="preserve"> Protozoário flagelado (</w:t>
      </w:r>
      <w:r w:rsidRPr="001612CC">
        <w:rPr>
          <w:i/>
        </w:rPr>
        <w:t>Trypanosoma brucei</w:t>
      </w:r>
      <w:r w:rsidRPr="001612CC">
        <w:t>)</w:t>
      </w:r>
    </w:p>
    <w:p w:rsidR="00702601" w:rsidRPr="0053492E" w:rsidRDefault="00702601" w:rsidP="00C52E09">
      <w:pPr>
        <w:numPr>
          <w:ilvl w:val="2"/>
          <w:numId w:val="102"/>
        </w:numPr>
        <w:tabs>
          <w:tab w:val="left" w:pos="1170"/>
          <w:tab w:val="left" w:pos="1350"/>
          <w:tab w:val="left" w:pos="1440"/>
        </w:tabs>
        <w:spacing w:before="120" w:after="0"/>
        <w:ind w:hanging="1260"/>
        <w:jc w:val="both"/>
        <w:rPr>
          <w:rFonts w:cs="Arial"/>
          <w:lang w:val="pt-BR"/>
        </w:rPr>
      </w:pPr>
      <w:r w:rsidRPr="0053492E">
        <w:rPr>
          <w:rFonts w:cs="Arial"/>
          <w:lang w:val="pt-BR"/>
        </w:rPr>
        <w:t>Amebóides. Utilizam pseudópodes (falsos pés). Entre eles estão as diferentes espécies de ameba, como a Entamoeba histol</w:t>
      </w:r>
      <w:r>
        <w:rPr>
          <w:rFonts w:cs="Arial"/>
          <w:lang w:val="pt-BR"/>
        </w:rPr>
        <w:t>y</w:t>
      </w:r>
      <w:r w:rsidRPr="0053492E">
        <w:rPr>
          <w:rFonts w:cs="Arial"/>
          <w:lang w:val="pt-BR"/>
        </w:rPr>
        <w:t>tica..</w:t>
      </w:r>
    </w:p>
    <w:p w:rsidR="00702601" w:rsidRPr="0053492E" w:rsidRDefault="00702601" w:rsidP="00702601">
      <w:pPr>
        <w:spacing w:before="120"/>
        <w:ind w:left="1080"/>
        <w:jc w:val="both"/>
        <w:rPr>
          <w:rFonts w:cs="Arial"/>
          <w:lang w:val="pt-BR"/>
        </w:rPr>
      </w:pPr>
      <w:r>
        <w:rPr>
          <w:rFonts w:cs="Arial"/>
          <w:noProof/>
          <w:lang w:val="en-ZW" w:eastAsia="en-ZW"/>
        </w:rPr>
        <w:lastRenderedPageBreak/>
        <w:drawing>
          <wp:inline distT="0" distB="0" distL="0" distR="0" wp14:anchorId="17365B03" wp14:editId="1B4E3904">
            <wp:extent cx="4572000" cy="1892300"/>
            <wp:effectExtent l="0" t="0" r="0" b="0"/>
            <wp:docPr id="154" name="Object 2"/>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572000" cy="3414573"/>
                      <a:chOff x="179512" y="260648"/>
                      <a:chExt cx="4572000" cy="3414573"/>
                    </a:xfrm>
                  </a:grpSpPr>
                  <a:grpSp>
                    <a:nvGrpSpPr>
                      <a:cNvPr id="8" name="Group 7"/>
                      <a:cNvGrpSpPr/>
                    </a:nvGrpSpPr>
                    <a:grpSpPr>
                      <a:xfrm>
                        <a:off x="179512" y="260648"/>
                        <a:ext cx="4572000" cy="3414573"/>
                        <a:chOff x="179512" y="260648"/>
                        <a:chExt cx="4572000" cy="3414573"/>
                      </a:xfrm>
                    </a:grpSpPr>
                    <a:pic>
                      <a:nvPicPr>
                        <a:cNvPr id="36868" name="Picture 4" descr="http://www.k-state.edu/parasitology/625tutorials/FIGhistolytica05.jpg"/>
                        <a:cNvPicPr>
                          <a:picLocks noChangeAspect="1" noChangeArrowheads="1"/>
                        </a:cNvPicPr>
                      </a:nvPicPr>
                      <a:blipFill>
                        <a:blip r:embed="rId96"/>
                        <a:srcRect/>
                        <a:stretch>
                          <a:fillRect/>
                        </a:stretch>
                      </a:blipFill>
                      <a:spPr bwMode="auto">
                        <a:xfrm>
                          <a:off x="251520" y="260648"/>
                          <a:ext cx="4257675" cy="3100437"/>
                        </a:xfrm>
                        <a:prstGeom prst="rect">
                          <a:avLst/>
                        </a:prstGeom>
                        <a:noFill/>
                      </a:spPr>
                    </a:pic>
                    <a:sp>
                      <a:nvSpPr>
                        <a:cNvPr id="7" name="Rectangle 6"/>
                        <a:cNvSpPr/>
                      </a:nvSpPr>
                      <a:spPr>
                        <a:xfrm>
                          <a:off x="179512" y="3429000"/>
                          <a:ext cx="4572000" cy="246221"/>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000" dirty="0" smtClean="0"/>
                              <a:t>http://www.k-state.edu/parasitology/625tutorials/FIGhistolytica05.jpg</a:t>
                            </a:r>
                            <a:endParaRPr lang="en-GB" sz="1000" dirty="0"/>
                          </a:p>
                        </a:txBody>
                        <a:useSpRect/>
                      </a:txSp>
                    </a:sp>
                  </a:grpSp>
                </lc:lockedCanvas>
              </a:graphicData>
            </a:graphic>
          </wp:inline>
        </w:drawing>
      </w:r>
    </w:p>
    <w:p w:rsidR="00702601" w:rsidRPr="001612CC" w:rsidRDefault="00EB2A96" w:rsidP="00702601">
      <w:pPr>
        <w:pStyle w:val="TM-3"/>
        <w:ind w:left="1418" w:right="567" w:firstLine="0"/>
      </w:pPr>
      <w:r w:rsidRPr="00EB2A96">
        <w:rPr>
          <w:b/>
        </w:rPr>
        <w:t>Figura 5:</w:t>
      </w:r>
      <w:r w:rsidR="00702601" w:rsidRPr="001612CC">
        <w:t xml:space="preserve"> Protozoário ameboide (</w:t>
      </w:r>
      <w:r w:rsidR="00702601" w:rsidRPr="001612CC">
        <w:rPr>
          <w:i/>
        </w:rPr>
        <w:t>Entamoeba histolytica</w:t>
      </w:r>
      <w:r w:rsidR="00702601" w:rsidRPr="001612CC">
        <w:t>)</w:t>
      </w:r>
    </w:p>
    <w:p w:rsidR="00702601" w:rsidRPr="0053492E" w:rsidRDefault="00702601" w:rsidP="00C52E09">
      <w:pPr>
        <w:numPr>
          <w:ilvl w:val="2"/>
          <w:numId w:val="102"/>
        </w:numPr>
        <w:spacing w:before="120" w:after="0"/>
        <w:ind w:left="1350"/>
        <w:jc w:val="both"/>
        <w:rPr>
          <w:rFonts w:cs="Arial"/>
          <w:lang w:val="pt-BR"/>
        </w:rPr>
      </w:pPr>
      <w:r w:rsidRPr="0053492E">
        <w:rPr>
          <w:rFonts w:cs="Arial"/>
          <w:lang w:val="pt-BR"/>
        </w:rPr>
        <w:t>Sporozoa. Não têm mobilidade por si, e normalmente apresentam um ciclo de vida complexo, com fases reprodutivas sexuada e assexuada alternadas, envolvendo pelo menos dois hospedeiros diferentes. Como exemplos, Toxoplasma gondii, Cryptosporidium, Isospora, e as várias espécies de Plasmodium.</w:t>
      </w:r>
    </w:p>
    <w:p w:rsidR="00702601" w:rsidRPr="0053492E" w:rsidRDefault="00702601" w:rsidP="00C52E09">
      <w:pPr>
        <w:numPr>
          <w:ilvl w:val="2"/>
          <w:numId w:val="102"/>
        </w:numPr>
        <w:spacing w:before="120" w:after="0"/>
        <w:ind w:left="1350"/>
        <w:jc w:val="both"/>
        <w:rPr>
          <w:rFonts w:cs="Arial"/>
          <w:lang w:val="pt-BR"/>
        </w:rPr>
      </w:pPr>
      <w:r w:rsidRPr="0053492E">
        <w:rPr>
          <w:rFonts w:cs="Arial"/>
          <w:lang w:val="pt-BR"/>
        </w:rPr>
        <w:t>Ciliados. Utilizam cílios para a sua deslocação. Só um deles é parasita do homem, o Balantidium coli.</w:t>
      </w:r>
    </w:p>
    <w:p w:rsidR="00702601" w:rsidRPr="0053492E" w:rsidRDefault="00702601" w:rsidP="00702601">
      <w:pPr>
        <w:spacing w:before="120"/>
        <w:ind w:left="1080"/>
        <w:jc w:val="both"/>
        <w:rPr>
          <w:rFonts w:cs="Arial"/>
          <w:lang w:val="pt-BR"/>
        </w:rPr>
      </w:pPr>
      <w:r>
        <w:rPr>
          <w:rFonts w:cs="Arial"/>
          <w:noProof/>
          <w:lang w:val="en-ZW" w:eastAsia="en-ZW"/>
        </w:rPr>
        <w:drawing>
          <wp:inline distT="0" distB="0" distL="0" distR="0" wp14:anchorId="22EE0767" wp14:editId="209EAFB2">
            <wp:extent cx="4572000" cy="2895600"/>
            <wp:effectExtent l="0" t="0" r="0" b="0"/>
            <wp:docPr id="153" name="Object 3"/>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572000" cy="2895128"/>
                      <a:chOff x="3059832" y="3645024"/>
                      <a:chExt cx="4572000" cy="2895128"/>
                    </a:xfrm>
                  </a:grpSpPr>
                  <a:grpSp>
                    <a:nvGrpSpPr>
                      <a:cNvPr id="11" name="Group 10"/>
                      <a:cNvGrpSpPr/>
                    </a:nvGrpSpPr>
                    <a:grpSpPr>
                      <a:xfrm>
                        <a:off x="3059832" y="3645024"/>
                        <a:ext cx="4572000" cy="2895128"/>
                        <a:chOff x="3059832" y="3645024"/>
                        <a:chExt cx="4572000" cy="2895128"/>
                      </a:xfrm>
                    </a:grpSpPr>
                    <a:pic>
                      <a:nvPicPr>
                        <a:cNvPr id="36870" name="Picture 6" descr="http://www.tulane.edu/~wiser/protozoology/notes/images/sem.gif"/>
                        <a:cNvPicPr>
                          <a:picLocks noChangeAspect="1" noChangeArrowheads="1"/>
                        </a:cNvPicPr>
                      </a:nvPicPr>
                      <a:blipFill>
                        <a:blip r:embed="rId97"/>
                        <a:srcRect/>
                        <a:stretch>
                          <a:fillRect/>
                        </a:stretch>
                      </a:blipFill>
                      <a:spPr bwMode="auto">
                        <a:xfrm>
                          <a:off x="3995936" y="3645024"/>
                          <a:ext cx="2286000" cy="2645296"/>
                        </a:xfrm>
                        <a:prstGeom prst="rect">
                          <a:avLst/>
                        </a:prstGeom>
                        <a:noFill/>
                      </a:spPr>
                    </a:pic>
                    <a:sp>
                      <a:nvSpPr>
                        <a:cNvPr id="10" name="Rectangle 9"/>
                        <a:cNvSpPr/>
                      </a:nvSpPr>
                      <a:spPr>
                        <a:xfrm>
                          <a:off x="3059832" y="6309320"/>
                          <a:ext cx="4572000" cy="230832"/>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900" dirty="0" smtClean="0"/>
                              <a:t>http://www.tulane.edu/~wiser/protozoology/notes/images/sem.gif</a:t>
                            </a:r>
                            <a:endParaRPr lang="en-GB" sz="900" dirty="0"/>
                          </a:p>
                        </a:txBody>
                        <a:useSpRect/>
                      </a:txSp>
                    </a:sp>
                  </a:grpSp>
                </lc:lockedCanvas>
              </a:graphicData>
            </a:graphic>
          </wp:inline>
        </w:drawing>
      </w:r>
    </w:p>
    <w:p w:rsidR="00702601" w:rsidRPr="001612CC" w:rsidRDefault="00702601" w:rsidP="00702601">
      <w:pPr>
        <w:pStyle w:val="TM-3"/>
        <w:ind w:left="1418" w:right="567" w:firstLine="0"/>
      </w:pPr>
      <w:r w:rsidRPr="00EB2A96">
        <w:rPr>
          <w:b/>
        </w:rPr>
        <w:t>Figura 6</w:t>
      </w:r>
      <w:r w:rsidR="00EB2A96" w:rsidRPr="00EB2A96">
        <w:rPr>
          <w:b/>
        </w:rPr>
        <w:t>:</w:t>
      </w:r>
      <w:r w:rsidRPr="001612CC">
        <w:t xml:space="preserve"> Protozoário ciliado (</w:t>
      </w:r>
      <w:r w:rsidRPr="001612CC">
        <w:rPr>
          <w:i/>
        </w:rPr>
        <w:t>Balantidium coli</w:t>
      </w:r>
      <w:r w:rsidRPr="001612CC">
        <w:t>)</w:t>
      </w:r>
    </w:p>
    <w:p w:rsidR="00702601" w:rsidRPr="00702601" w:rsidRDefault="00702601" w:rsidP="00702601">
      <w:pPr>
        <w:spacing w:before="120"/>
        <w:jc w:val="both"/>
        <w:rPr>
          <w:rFonts w:cs="Arial"/>
          <w:lang w:val="pt-BR"/>
        </w:rPr>
      </w:pPr>
      <w:r w:rsidRPr="00774441">
        <w:rPr>
          <w:rFonts w:cs="Arial"/>
          <w:b/>
          <w:lang w:val="pt-BR"/>
        </w:rPr>
        <w:t>3.7</w:t>
      </w:r>
      <w:r w:rsidRPr="00702601">
        <w:rPr>
          <w:rFonts w:cs="Arial"/>
          <w:lang w:val="pt-BR"/>
        </w:rPr>
        <w:t xml:space="preserve"> </w:t>
      </w:r>
      <w:r w:rsidRPr="0053492E">
        <w:rPr>
          <w:rFonts w:cs="Arial"/>
          <w:lang w:val="pt-BR"/>
        </w:rPr>
        <w:t xml:space="preserve">Para facilitar o estudo dos protozoários, é frequentemente utilizada uma classificação clínica, atendendo ao órgão ou órgãos afectados por cada protozoário. </w:t>
      </w:r>
      <w:r w:rsidRPr="00702601">
        <w:rPr>
          <w:rFonts w:cs="Arial"/>
          <w:lang w:val="pt-BR"/>
        </w:rPr>
        <w:t>Assim, podem-se diferenciar três grandes grupos:</w:t>
      </w:r>
    </w:p>
    <w:p w:rsidR="00702601" w:rsidRPr="0053492E" w:rsidRDefault="00702601" w:rsidP="006A6C6E">
      <w:pPr>
        <w:spacing w:before="120"/>
        <w:ind w:left="450"/>
        <w:jc w:val="both"/>
        <w:rPr>
          <w:rFonts w:cs="Arial"/>
          <w:lang w:val="pt-BR"/>
        </w:rPr>
      </w:pPr>
      <w:r w:rsidRPr="00774441">
        <w:rPr>
          <w:rFonts w:cs="Arial"/>
          <w:b/>
          <w:lang w:val="pt-BR"/>
        </w:rPr>
        <w:t>3.7.1</w:t>
      </w:r>
      <w:r>
        <w:rPr>
          <w:rFonts w:cs="Arial"/>
          <w:lang w:val="pt-BR"/>
        </w:rPr>
        <w:t xml:space="preserve"> </w:t>
      </w:r>
      <w:r w:rsidRPr="0053492E">
        <w:rPr>
          <w:rFonts w:cs="Arial"/>
          <w:lang w:val="pt-BR"/>
        </w:rPr>
        <w:t>Protozoários intestinais. Todos eles são transmitidos por via feco-oral, e produzem diarreia em diversos graus de intensidade.</w:t>
      </w:r>
    </w:p>
    <w:p w:rsidR="00702601" w:rsidRPr="0053492E" w:rsidRDefault="00702601" w:rsidP="006A6C6E">
      <w:pPr>
        <w:spacing w:before="120"/>
        <w:ind w:left="450"/>
        <w:jc w:val="both"/>
        <w:rPr>
          <w:rFonts w:cs="Arial"/>
          <w:lang w:val="pt-BR"/>
        </w:rPr>
      </w:pPr>
      <w:r w:rsidRPr="00774441">
        <w:rPr>
          <w:rFonts w:cs="Arial"/>
          <w:b/>
          <w:lang w:val="pt-BR"/>
        </w:rPr>
        <w:t>3.7.2</w:t>
      </w:r>
      <w:r>
        <w:rPr>
          <w:rFonts w:cs="Arial"/>
          <w:lang w:val="pt-BR"/>
        </w:rPr>
        <w:t xml:space="preserve"> </w:t>
      </w:r>
      <w:r w:rsidRPr="0053492E">
        <w:rPr>
          <w:rFonts w:cs="Arial"/>
          <w:lang w:val="pt-BR"/>
        </w:rPr>
        <w:t>Protozoários genitourinários. Geralmente transmitidos por via sexual, e produzem inflamações nas vias genitourinárias.</w:t>
      </w:r>
    </w:p>
    <w:p w:rsidR="00702601" w:rsidRDefault="00702601" w:rsidP="006A6C6E">
      <w:pPr>
        <w:spacing w:before="120"/>
        <w:ind w:left="450"/>
        <w:jc w:val="both"/>
        <w:rPr>
          <w:rFonts w:cs="Arial"/>
          <w:lang w:val="pt-BR"/>
        </w:rPr>
      </w:pPr>
      <w:r w:rsidRPr="00774441">
        <w:rPr>
          <w:rFonts w:cs="Arial"/>
          <w:b/>
          <w:lang w:val="pt-BR"/>
        </w:rPr>
        <w:t>3.7.3</w:t>
      </w:r>
      <w:r>
        <w:rPr>
          <w:rFonts w:cs="Arial"/>
          <w:lang w:val="pt-BR"/>
        </w:rPr>
        <w:t xml:space="preserve"> </w:t>
      </w:r>
      <w:r w:rsidRPr="0053492E">
        <w:rPr>
          <w:rFonts w:cs="Arial"/>
          <w:lang w:val="pt-BR"/>
        </w:rPr>
        <w:t>Protozoários sistémicos. Geralmente são detectados no sangue, e produzem sintomas muito variados.</w:t>
      </w:r>
    </w:p>
    <w:p w:rsidR="001A0DDE" w:rsidRPr="0053492E" w:rsidRDefault="001A0DDE" w:rsidP="00702601">
      <w:pPr>
        <w:spacing w:before="120"/>
        <w:ind w:left="1080"/>
        <w:jc w:val="both"/>
        <w:rPr>
          <w:rFonts w:cs="Arial"/>
          <w:lang w:val="pt-BR"/>
        </w:rPr>
      </w:pPr>
    </w:p>
    <w:p w:rsidR="00702601" w:rsidRPr="0053492E" w:rsidRDefault="00702601" w:rsidP="00C52E09">
      <w:pPr>
        <w:numPr>
          <w:ilvl w:val="1"/>
          <w:numId w:val="103"/>
        </w:numPr>
        <w:spacing w:before="120" w:after="0"/>
        <w:jc w:val="both"/>
        <w:rPr>
          <w:rFonts w:cs="Arial"/>
          <w:lang w:val="pt-BR"/>
        </w:rPr>
      </w:pPr>
      <w:r w:rsidRPr="0053492E">
        <w:rPr>
          <w:rFonts w:cs="Arial"/>
          <w:lang w:val="pt-BR"/>
        </w:rPr>
        <w:lastRenderedPageBreak/>
        <w:t>Diagnóstico das infecções por protozoários</w:t>
      </w:r>
    </w:p>
    <w:p w:rsidR="00702601" w:rsidRDefault="00702601" w:rsidP="00C52E09">
      <w:pPr>
        <w:numPr>
          <w:ilvl w:val="2"/>
          <w:numId w:val="103"/>
        </w:numPr>
        <w:tabs>
          <w:tab w:val="left" w:pos="1080"/>
        </w:tabs>
        <w:spacing w:before="120" w:after="0"/>
        <w:ind w:left="450" w:firstLine="0"/>
        <w:jc w:val="both"/>
        <w:rPr>
          <w:rFonts w:cs="Arial"/>
          <w:lang w:val="pt-BR"/>
        </w:rPr>
      </w:pPr>
      <w:r w:rsidRPr="0053492E">
        <w:rPr>
          <w:rFonts w:cs="Arial"/>
          <w:lang w:val="pt-BR"/>
        </w:rPr>
        <w:t>As infecções por protozoários são normalmente diagnosticadas pela visualização de formas parasitárias no exame microscópico de amostras como sangue, urina, fezes ou alguns tecidos corporais.</w:t>
      </w:r>
    </w:p>
    <w:p w:rsidR="001A0DDE" w:rsidRPr="0053492E" w:rsidRDefault="001A0DDE" w:rsidP="00774441">
      <w:pPr>
        <w:spacing w:after="0" w:line="240" w:lineRule="auto"/>
        <w:ind w:left="720"/>
        <w:jc w:val="both"/>
        <w:rPr>
          <w:rFonts w:cs="Arial"/>
          <w:lang w:val="pt-BR"/>
        </w:rPr>
      </w:pPr>
    </w:p>
    <w:p w:rsidR="00702601" w:rsidRPr="00702601" w:rsidRDefault="00702601" w:rsidP="00702601">
      <w:pPr>
        <w:shd w:val="clear" w:color="auto" w:fill="B8CCE4"/>
        <w:tabs>
          <w:tab w:val="left" w:pos="1276"/>
          <w:tab w:val="right" w:pos="8550"/>
        </w:tabs>
        <w:spacing w:before="120" w:after="120"/>
        <w:ind w:right="2"/>
        <w:jc w:val="both"/>
        <w:rPr>
          <w:rFonts w:cs="Arial"/>
          <w:b/>
          <w:lang w:val="pt-BR"/>
        </w:rPr>
      </w:pPr>
      <w:r w:rsidRPr="00702601">
        <w:rPr>
          <w:rFonts w:cs="Arial"/>
          <w:b/>
          <w:lang w:val="pt-BR"/>
        </w:rPr>
        <w:t>BLOCO 4: PROTOZOÁRIOS INTESTINAIS FREQUENTES EM MOÇAMBIQUE</w:t>
      </w:r>
    </w:p>
    <w:p w:rsidR="00702601" w:rsidRPr="0053492E" w:rsidRDefault="00702601" w:rsidP="00C52E09">
      <w:pPr>
        <w:numPr>
          <w:ilvl w:val="1"/>
          <w:numId w:val="104"/>
        </w:numPr>
        <w:spacing w:before="120" w:after="0"/>
        <w:jc w:val="both"/>
        <w:rPr>
          <w:rFonts w:cs="Arial"/>
          <w:lang w:val="pt-BR"/>
        </w:rPr>
      </w:pPr>
      <w:r w:rsidRPr="0053492E">
        <w:rPr>
          <w:rFonts w:cs="Arial"/>
          <w:i/>
          <w:lang w:val="pt-BR"/>
        </w:rPr>
        <w:t>Giardia lamblia</w:t>
      </w:r>
      <w:r w:rsidRPr="0053492E">
        <w:rPr>
          <w:rFonts w:cs="Arial"/>
          <w:lang w:val="pt-BR"/>
        </w:rPr>
        <w:t>. É um flagelado que pode-se encontrar no duodeno e jejuno dos seres humanos.</w:t>
      </w:r>
    </w:p>
    <w:p w:rsidR="00702601" w:rsidRDefault="00702601" w:rsidP="00C52E09">
      <w:pPr>
        <w:numPr>
          <w:ilvl w:val="2"/>
          <w:numId w:val="104"/>
        </w:numPr>
        <w:tabs>
          <w:tab w:val="left" w:pos="540"/>
          <w:tab w:val="left" w:pos="1080"/>
        </w:tabs>
        <w:spacing w:before="120" w:after="0"/>
        <w:ind w:left="360" w:firstLine="0"/>
        <w:jc w:val="both"/>
        <w:rPr>
          <w:rFonts w:cs="Arial"/>
          <w:lang w:val="pt-BR"/>
        </w:rPr>
      </w:pPr>
      <w:r w:rsidRPr="0053492E">
        <w:rPr>
          <w:rFonts w:cs="Arial"/>
          <w:lang w:val="pt-BR"/>
        </w:rPr>
        <w:t>Os seres humanos são infectados pela ingestão de água ou alimentos contaminados por fezes com cistos de Giardia. Também pode acontecer contaminação fecal directa</w:t>
      </w:r>
    </w:p>
    <w:p w:rsidR="00702601" w:rsidRDefault="00702601" w:rsidP="00702601">
      <w:pPr>
        <w:spacing w:before="120"/>
        <w:ind w:left="1080"/>
        <w:jc w:val="center"/>
        <w:rPr>
          <w:rFonts w:cs="Arial"/>
          <w:lang w:val="en-GB"/>
        </w:rPr>
      </w:pPr>
      <w:r>
        <w:rPr>
          <w:rFonts w:cs="Arial"/>
          <w:noProof/>
          <w:lang w:val="en-ZW" w:eastAsia="en-ZW"/>
        </w:rPr>
        <w:drawing>
          <wp:inline distT="0" distB="0" distL="0" distR="0" wp14:anchorId="02C6F8C3" wp14:editId="2642140D">
            <wp:extent cx="4503499" cy="3568700"/>
            <wp:effectExtent l="5001" t="0" r="0" b="0"/>
            <wp:docPr id="152" name="Object 11"/>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5486400" cy="5806226"/>
                      <a:chOff x="1907704" y="476672"/>
                      <a:chExt cx="5486400" cy="5806226"/>
                    </a:xfrm>
                  </a:grpSpPr>
                  <a:grpSp>
                    <a:nvGrpSpPr>
                      <a:cNvPr id="10" name="Group 9"/>
                      <a:cNvGrpSpPr/>
                    </a:nvGrpSpPr>
                    <a:grpSpPr>
                      <a:xfrm>
                        <a:off x="1907704" y="476672"/>
                        <a:ext cx="5486400" cy="5806226"/>
                        <a:chOff x="1907704" y="476672"/>
                        <a:chExt cx="5486400" cy="5806226"/>
                      </a:xfrm>
                    </a:grpSpPr>
                    <a:pic>
                      <a:nvPicPr>
                        <a:cNvPr id="43010" name="Picture 2" descr="http://students.ncwc.edu/bio101/protista/Defaul7.gif"/>
                        <a:cNvPicPr>
                          <a:picLocks noChangeAspect="1" noChangeArrowheads="1"/>
                        </a:cNvPicPr>
                      </a:nvPicPr>
                      <a:blipFill>
                        <a:blip r:embed="rId98"/>
                        <a:srcRect/>
                        <a:stretch>
                          <a:fillRect/>
                        </a:stretch>
                      </a:blipFill>
                      <a:spPr bwMode="auto">
                        <a:xfrm>
                          <a:off x="1907704" y="476672"/>
                          <a:ext cx="5486400" cy="5600700"/>
                        </a:xfrm>
                        <a:prstGeom prst="rect">
                          <a:avLst/>
                        </a:prstGeom>
                        <a:noFill/>
                      </a:spPr>
                    </a:pic>
                    <a:sp>
                      <a:nvSpPr>
                        <a:cNvPr id="3" name="TextBox 2"/>
                        <a:cNvSpPr txBox="1"/>
                      </a:nvSpPr>
                      <a:spPr>
                        <a:xfrm>
                          <a:off x="2411760" y="764704"/>
                          <a:ext cx="4608512" cy="646331"/>
                        </a:xfrm>
                        <a:prstGeom prst="rect">
                          <a:avLst/>
                        </a:prstGeom>
                        <a:solidFill>
                          <a:srgbClr val="FFFF00"/>
                        </a:solidFill>
                      </a:spPr>
                      <a:txSp>
                        <a:txBody>
                          <a:bodyPr wrap="square" rtlCol="0">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b="1" dirty="0" err="1" smtClean="0"/>
                              <a:t>Ciclo</a:t>
                            </a:r>
                            <a:r>
                              <a:rPr lang="en-GB" b="1" dirty="0" smtClean="0"/>
                              <a:t> de Vida de </a:t>
                            </a:r>
                            <a:r>
                              <a:rPr lang="en-GB" b="1" i="1" dirty="0" err="1" smtClean="0"/>
                              <a:t>Giardia</a:t>
                            </a:r>
                            <a:r>
                              <a:rPr lang="en-GB" b="1" i="1" dirty="0" smtClean="0"/>
                              <a:t> </a:t>
                            </a:r>
                            <a:r>
                              <a:rPr lang="en-GB" b="1" i="1" dirty="0" err="1" smtClean="0"/>
                              <a:t>Lamblia</a:t>
                            </a:r>
                            <a:endParaRPr lang="en-GB" b="1" i="1" dirty="0" smtClean="0"/>
                          </a:p>
                          <a:p>
                            <a:endParaRPr lang="en-GB" b="1" i="1" dirty="0"/>
                          </a:p>
                        </a:txBody>
                        <a:useSpRect/>
                      </a:txSp>
                    </a:sp>
                    <a:sp>
                      <a:nvSpPr>
                        <a:cNvPr id="4" name="TextBox 3"/>
                        <a:cNvSpPr txBox="1"/>
                      </a:nvSpPr>
                      <a:spPr>
                        <a:xfrm>
                          <a:off x="4572000" y="1556792"/>
                          <a:ext cx="2592288" cy="523220"/>
                        </a:xfrm>
                        <a:prstGeom prst="rect">
                          <a:avLst/>
                        </a:prstGeom>
                        <a:solidFill>
                          <a:schemeClr val="bg1"/>
                        </a:solidFill>
                      </a:spPr>
                      <a:txSp>
                        <a:txBody>
                          <a:bodyPr wrap="square" rtlCol="0">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400" b="1" dirty="0" err="1" smtClean="0"/>
                              <a:t>Ingestão</a:t>
                            </a:r>
                            <a:r>
                              <a:rPr lang="en-GB" sz="1400" b="1" dirty="0" smtClean="0"/>
                              <a:t> de </a:t>
                            </a:r>
                            <a:r>
                              <a:rPr lang="en-GB" sz="1400" b="1" dirty="0" err="1" smtClean="0"/>
                              <a:t>Cistos</a:t>
                            </a:r>
                            <a:r>
                              <a:rPr lang="en-GB" sz="1400" b="1" dirty="0" smtClean="0"/>
                              <a:t> </a:t>
                            </a:r>
                            <a:r>
                              <a:rPr lang="en-GB" sz="1400" b="1" dirty="0" err="1" smtClean="0"/>
                              <a:t>na</a:t>
                            </a:r>
                            <a:r>
                              <a:rPr lang="en-GB" sz="1400" b="1" dirty="0" smtClean="0"/>
                              <a:t> </a:t>
                            </a:r>
                            <a:r>
                              <a:rPr lang="en-GB" sz="1400" b="1" dirty="0" err="1" smtClean="0"/>
                              <a:t>água</a:t>
                            </a:r>
                            <a:r>
                              <a:rPr lang="en-GB" sz="1400" b="1" dirty="0" smtClean="0"/>
                              <a:t> e comida </a:t>
                            </a:r>
                            <a:r>
                              <a:rPr lang="en-GB" sz="1400" b="1" dirty="0" err="1" smtClean="0"/>
                              <a:t>contaminada</a:t>
                            </a:r>
                            <a:endParaRPr lang="en-GB" sz="1400" b="1" dirty="0"/>
                          </a:p>
                        </a:txBody>
                        <a:useSpRect/>
                      </a:txSp>
                    </a:sp>
                    <a:sp>
                      <a:nvSpPr>
                        <a:cNvPr id="5" name="TextBox 4"/>
                        <a:cNvSpPr txBox="1"/>
                      </a:nvSpPr>
                      <a:spPr>
                        <a:xfrm>
                          <a:off x="3491880" y="2420888"/>
                          <a:ext cx="1656184" cy="738664"/>
                        </a:xfrm>
                        <a:prstGeom prst="rect">
                          <a:avLst/>
                        </a:prstGeom>
                        <a:solidFill>
                          <a:srgbClr val="FFFF00"/>
                        </a:solidFill>
                      </a:spPr>
                      <a:txSp>
                        <a:txBody>
                          <a:bodyPr wrap="square" rtlCol="0">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400" b="1" dirty="0" err="1" smtClean="0"/>
                              <a:t>Cistos</a:t>
                            </a:r>
                            <a:r>
                              <a:rPr lang="en-GB" sz="1400" b="1" dirty="0" smtClean="0"/>
                              <a:t> e </a:t>
                            </a:r>
                            <a:r>
                              <a:rPr lang="en-GB" sz="1400" b="1" dirty="0" err="1" smtClean="0"/>
                              <a:t>Trofozoitos</a:t>
                            </a:r>
                            <a:r>
                              <a:rPr lang="en-GB" sz="1400" b="1" dirty="0" smtClean="0"/>
                              <a:t> no </a:t>
                            </a:r>
                            <a:r>
                              <a:rPr lang="en-GB" sz="1400" b="1" dirty="0" err="1" smtClean="0"/>
                              <a:t>Intestino</a:t>
                            </a:r>
                            <a:endParaRPr lang="en-GB" sz="1400" b="1" dirty="0"/>
                          </a:p>
                        </a:txBody>
                        <a:useSpRect/>
                      </a:txSp>
                    </a:sp>
                    <a:sp>
                      <a:nvSpPr>
                        <a:cNvPr id="6" name="TextBox 5"/>
                        <a:cNvSpPr txBox="1"/>
                      </a:nvSpPr>
                      <a:spPr>
                        <a:xfrm>
                          <a:off x="3131840" y="3861048"/>
                          <a:ext cx="2160240" cy="253916"/>
                        </a:xfrm>
                        <a:prstGeom prst="rect">
                          <a:avLst/>
                        </a:prstGeom>
                        <a:solidFill>
                          <a:schemeClr val="bg1"/>
                        </a:solidFill>
                      </a:spPr>
                      <a:txSp>
                        <a:txBody>
                          <a:bodyPr wrap="square" rtlCol="0">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050" b="1" dirty="0" err="1" smtClean="0"/>
                              <a:t>Cistos</a:t>
                            </a:r>
                            <a:r>
                              <a:rPr lang="en-GB" sz="1050" b="1" dirty="0" smtClean="0"/>
                              <a:t> </a:t>
                            </a:r>
                            <a:r>
                              <a:rPr lang="en-GB" sz="1050" b="1" dirty="0" err="1" smtClean="0"/>
                              <a:t>passam</a:t>
                            </a:r>
                            <a:r>
                              <a:rPr lang="en-GB" sz="1050" b="1" dirty="0" smtClean="0"/>
                              <a:t> </a:t>
                            </a:r>
                            <a:r>
                              <a:rPr lang="en-GB" sz="1050" b="1" dirty="0" err="1" smtClean="0"/>
                              <a:t>para</a:t>
                            </a:r>
                            <a:r>
                              <a:rPr lang="en-GB" sz="1050" b="1" dirty="0" smtClean="0"/>
                              <a:t> as </a:t>
                            </a:r>
                            <a:r>
                              <a:rPr lang="en-GB" sz="1050" b="1" dirty="0" err="1" smtClean="0"/>
                              <a:t>fezes</a:t>
                            </a:r>
                            <a:endParaRPr lang="en-GB" sz="1050" b="1" dirty="0"/>
                          </a:p>
                        </a:txBody>
                        <a:useSpRect/>
                      </a:txSp>
                    </a:sp>
                    <a:sp>
                      <a:nvSpPr>
                        <a:cNvPr id="7" name="TextBox 6"/>
                        <a:cNvSpPr txBox="1"/>
                      </a:nvSpPr>
                      <a:spPr>
                        <a:xfrm>
                          <a:off x="3059832" y="4797152"/>
                          <a:ext cx="1728192" cy="738664"/>
                        </a:xfrm>
                        <a:prstGeom prst="rect">
                          <a:avLst/>
                        </a:prstGeom>
                        <a:solidFill>
                          <a:schemeClr val="bg1"/>
                        </a:solidFill>
                      </a:spPr>
                      <a:txSp>
                        <a:txBody>
                          <a:bodyPr wrap="square" rtlCol="0">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r>
                              <a:rPr lang="en-GB" sz="1400" b="1" dirty="0" err="1" smtClean="0"/>
                              <a:t>Reservatórios</a:t>
                            </a:r>
                            <a:endParaRPr lang="en-GB" sz="1400" b="1" dirty="0" smtClean="0"/>
                          </a:p>
                          <a:p>
                            <a:pPr algn="ctr"/>
                            <a:r>
                              <a:rPr lang="en-GB" sz="1400" dirty="0" smtClean="0"/>
                              <a:t>(</a:t>
                            </a:r>
                            <a:r>
                              <a:rPr lang="en-GB" sz="1400" dirty="0" err="1" smtClean="0"/>
                              <a:t>roedores</a:t>
                            </a:r>
                            <a:r>
                              <a:rPr lang="en-GB" sz="1400" dirty="0" smtClean="0"/>
                              <a:t>, </a:t>
                            </a:r>
                            <a:r>
                              <a:rPr lang="en-GB" sz="1400" dirty="0" err="1" smtClean="0"/>
                              <a:t>bovinos</a:t>
                            </a:r>
                            <a:r>
                              <a:rPr lang="en-GB" sz="1400" dirty="0" smtClean="0"/>
                              <a:t>, </a:t>
                            </a:r>
                            <a:r>
                              <a:rPr lang="en-GB" sz="1400" dirty="0" err="1" smtClean="0"/>
                              <a:t>ovinos</a:t>
                            </a:r>
                            <a:r>
                              <a:rPr lang="en-GB" sz="1400" dirty="0" smtClean="0"/>
                              <a:t>)</a:t>
                            </a:r>
                            <a:endParaRPr lang="en-GB" sz="1400" dirty="0"/>
                          </a:p>
                        </a:txBody>
                        <a:useSpRect/>
                      </a:txSp>
                    </a:sp>
                    <a:sp>
                      <a:nvSpPr>
                        <a:cNvPr id="8" name="Rectangle 7"/>
                        <a:cNvSpPr/>
                      </a:nvSpPr>
                      <a:spPr>
                        <a:xfrm>
                          <a:off x="2267744" y="6021288"/>
                          <a:ext cx="4572000" cy="261610"/>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100" dirty="0" smtClean="0"/>
                              <a:t>http://students.ncwc.edu/bio101/protista/Defaul7.gif</a:t>
                            </a:r>
                            <a:endParaRPr lang="en-GB" sz="1100" dirty="0"/>
                          </a:p>
                        </a:txBody>
                        <a:useSpRect/>
                      </a:txSp>
                    </a:sp>
                  </a:grpSp>
                </lc:lockedCanvas>
              </a:graphicData>
            </a:graphic>
          </wp:inline>
        </w:drawing>
      </w:r>
    </w:p>
    <w:p w:rsidR="00702601" w:rsidRPr="00C67380" w:rsidRDefault="00702601" w:rsidP="00702601">
      <w:pPr>
        <w:spacing w:before="120"/>
        <w:ind w:left="1080"/>
        <w:jc w:val="center"/>
        <w:rPr>
          <w:rFonts w:cs="Arial"/>
          <w:i/>
          <w:lang w:val="pt-BR"/>
        </w:rPr>
      </w:pPr>
      <w:r w:rsidRPr="00EB2A96">
        <w:rPr>
          <w:rFonts w:cs="Arial"/>
          <w:b/>
          <w:lang w:val="pt-BR"/>
        </w:rPr>
        <w:t>Figura 7:</w:t>
      </w:r>
      <w:r w:rsidRPr="00C67380">
        <w:rPr>
          <w:rFonts w:cs="Arial"/>
          <w:lang w:val="pt-BR"/>
        </w:rPr>
        <w:t xml:space="preserve"> Ciclo de vida da </w:t>
      </w:r>
      <w:r>
        <w:rPr>
          <w:rFonts w:cs="Arial"/>
          <w:i/>
          <w:lang w:val="pt-BR"/>
        </w:rPr>
        <w:t>Giardia lamblia</w:t>
      </w:r>
    </w:p>
    <w:p w:rsidR="00702601" w:rsidRPr="0053492E" w:rsidRDefault="00702601" w:rsidP="00C52E09">
      <w:pPr>
        <w:numPr>
          <w:ilvl w:val="2"/>
          <w:numId w:val="104"/>
        </w:numPr>
        <w:tabs>
          <w:tab w:val="left" w:pos="1080"/>
        </w:tabs>
        <w:spacing w:before="120" w:after="0"/>
        <w:ind w:hanging="360"/>
        <w:jc w:val="both"/>
        <w:rPr>
          <w:rFonts w:cs="Arial"/>
          <w:lang w:val="pt-BR"/>
        </w:rPr>
      </w:pPr>
      <w:r w:rsidRPr="0053492E">
        <w:rPr>
          <w:rFonts w:cs="Arial"/>
          <w:lang w:val="pt-BR"/>
        </w:rPr>
        <w:t>Quando os parasitas migram para o cólon, formam cistos elipsóides muito resistentes que podem se visualizar nas fezes.</w:t>
      </w:r>
    </w:p>
    <w:p w:rsidR="00702601" w:rsidRPr="0053492E" w:rsidRDefault="00702601" w:rsidP="00C52E09">
      <w:pPr>
        <w:numPr>
          <w:ilvl w:val="2"/>
          <w:numId w:val="104"/>
        </w:numPr>
        <w:tabs>
          <w:tab w:val="left" w:pos="1080"/>
        </w:tabs>
        <w:spacing w:before="120" w:after="0"/>
        <w:ind w:hanging="360"/>
        <w:jc w:val="both"/>
        <w:rPr>
          <w:rFonts w:cs="Arial"/>
          <w:lang w:val="pt-BR"/>
        </w:rPr>
      </w:pPr>
      <w:r w:rsidRPr="0053492E">
        <w:rPr>
          <w:rFonts w:cs="Arial"/>
          <w:lang w:val="pt-BR"/>
        </w:rPr>
        <w:t>Em geral, a G. lamblia é fracamente patogénica no ser humano, e podem se encontrar grande quantidade de cistos nas fezes de indivíduos completamente assintomáticos.</w:t>
      </w:r>
    </w:p>
    <w:p w:rsidR="00702601" w:rsidRPr="0053492E" w:rsidRDefault="00702601" w:rsidP="00C52E09">
      <w:pPr>
        <w:numPr>
          <w:ilvl w:val="2"/>
          <w:numId w:val="104"/>
        </w:numPr>
        <w:tabs>
          <w:tab w:val="left" w:pos="1080"/>
        </w:tabs>
        <w:spacing w:before="120" w:after="0"/>
        <w:ind w:hanging="360"/>
        <w:jc w:val="both"/>
        <w:rPr>
          <w:rFonts w:cs="Arial"/>
          <w:lang w:val="pt-BR"/>
        </w:rPr>
      </w:pPr>
      <w:r w:rsidRPr="0053492E">
        <w:rPr>
          <w:rFonts w:cs="Arial"/>
          <w:lang w:val="pt-BR"/>
        </w:rPr>
        <w:t>Às vezes, os parasitas podem provocar irritação e inflamação discretas da parede duodenal ou jejunal, com diarreia aguda ou crónica com fezes líquidas ou semi-sólidas, volumosas e de odor fétido.</w:t>
      </w:r>
    </w:p>
    <w:p w:rsidR="00702601" w:rsidRPr="0053492E" w:rsidRDefault="00702601" w:rsidP="00C52E09">
      <w:pPr>
        <w:numPr>
          <w:ilvl w:val="2"/>
          <w:numId w:val="104"/>
        </w:numPr>
        <w:tabs>
          <w:tab w:val="left" w:pos="1080"/>
        </w:tabs>
        <w:spacing w:before="120" w:after="0"/>
        <w:ind w:hanging="360"/>
        <w:jc w:val="both"/>
        <w:rPr>
          <w:rFonts w:cs="Arial"/>
          <w:lang w:val="pt-BR"/>
        </w:rPr>
      </w:pPr>
      <w:r w:rsidRPr="0053492E">
        <w:rPr>
          <w:rFonts w:cs="Arial"/>
          <w:lang w:val="pt-BR"/>
        </w:rPr>
        <w:t>Em indivíduos imunodeprimidos podem aparecem infecções maciças, com diarreias graves.</w:t>
      </w:r>
    </w:p>
    <w:p w:rsidR="00702601" w:rsidRPr="0053492E" w:rsidRDefault="00702601" w:rsidP="00C52E09">
      <w:pPr>
        <w:numPr>
          <w:ilvl w:val="2"/>
          <w:numId w:val="104"/>
        </w:numPr>
        <w:tabs>
          <w:tab w:val="left" w:pos="1080"/>
        </w:tabs>
        <w:spacing w:before="120" w:after="0"/>
        <w:ind w:hanging="360"/>
        <w:jc w:val="both"/>
        <w:rPr>
          <w:rFonts w:cs="Arial"/>
          <w:lang w:val="pt-BR"/>
        </w:rPr>
      </w:pPr>
      <w:r w:rsidRPr="0053492E">
        <w:rPr>
          <w:rFonts w:cs="Arial"/>
          <w:lang w:val="pt-BR"/>
        </w:rPr>
        <w:t>O diagnóstico faz-se por visualização de cistos nas fezes formadas, ou de cistos e trofozoítos em fezes líquidas.</w:t>
      </w:r>
    </w:p>
    <w:p w:rsidR="00702601" w:rsidRPr="0053492E" w:rsidRDefault="00702601" w:rsidP="00702601">
      <w:pPr>
        <w:spacing w:before="120"/>
        <w:ind w:left="1080"/>
        <w:jc w:val="center"/>
        <w:rPr>
          <w:rFonts w:cs="Arial"/>
          <w:lang w:val="en-GB"/>
        </w:rPr>
      </w:pPr>
      <w:r>
        <w:rPr>
          <w:rFonts w:cs="Arial"/>
          <w:noProof/>
          <w:lang w:val="en-ZW" w:eastAsia="en-ZW"/>
        </w:rPr>
        <w:lastRenderedPageBreak/>
        <w:drawing>
          <wp:inline distT="0" distB="0" distL="0" distR="0" wp14:anchorId="50080DF1" wp14:editId="600BB183">
            <wp:extent cx="3705308" cy="1494845"/>
            <wp:effectExtent l="0" t="0" r="0" b="0"/>
            <wp:docPr id="151" name="Object 4"/>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572000" cy="3126541"/>
                      <a:chOff x="179512" y="188640"/>
                      <a:chExt cx="4572000" cy="3126541"/>
                    </a:xfrm>
                  </a:grpSpPr>
                  <a:grpSp>
                    <a:nvGrpSpPr>
                      <a:cNvPr id="4" name="Group 3"/>
                      <a:cNvGrpSpPr/>
                    </a:nvGrpSpPr>
                    <a:grpSpPr>
                      <a:xfrm>
                        <a:off x="179512" y="188640"/>
                        <a:ext cx="4572000" cy="3126541"/>
                        <a:chOff x="179512" y="188640"/>
                        <a:chExt cx="4572000" cy="3126541"/>
                      </a:xfrm>
                    </a:grpSpPr>
                    <a:pic>
                      <a:nvPicPr>
                        <a:cNvPr id="37890" name="Picture 2" descr="http://sciences.aum.edu/bi/bi2033/thomson/images/GiardiaTroph.jpg"/>
                        <a:cNvPicPr>
                          <a:picLocks noChangeAspect="1" noChangeArrowheads="1"/>
                        </a:cNvPicPr>
                      </a:nvPicPr>
                      <a:blipFill>
                        <a:blip r:embed="rId99"/>
                        <a:srcRect/>
                        <a:stretch>
                          <a:fillRect/>
                        </a:stretch>
                      </a:blipFill>
                      <a:spPr bwMode="auto">
                        <a:xfrm>
                          <a:off x="467545" y="188640"/>
                          <a:ext cx="3960440" cy="2808312"/>
                        </a:xfrm>
                        <a:prstGeom prst="rect">
                          <a:avLst/>
                        </a:prstGeom>
                        <a:noFill/>
                      </a:spPr>
                    </a:pic>
                    <a:sp>
                      <a:nvSpPr>
                        <a:cNvPr id="3" name="Rectangle 2"/>
                        <a:cNvSpPr/>
                      </a:nvSpPr>
                      <a:spPr>
                        <a:xfrm>
                          <a:off x="179512" y="3068960"/>
                          <a:ext cx="4572000" cy="246221"/>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000" dirty="0" smtClean="0"/>
                              <a:t>http://sciences.aum.edu/bi/bi2033/thomson/images/GiardiaTroph.jpg</a:t>
                            </a:r>
                            <a:endParaRPr lang="en-GB" sz="1000" dirty="0"/>
                          </a:p>
                        </a:txBody>
                        <a:useSpRect/>
                      </a:txSp>
                    </a:sp>
                  </a:grpSp>
                </lc:lockedCanvas>
              </a:graphicData>
            </a:graphic>
          </wp:inline>
        </w:drawing>
      </w:r>
    </w:p>
    <w:p w:rsidR="00702601" w:rsidRPr="0053492E" w:rsidRDefault="00702601" w:rsidP="00702601">
      <w:pPr>
        <w:spacing w:before="120"/>
        <w:ind w:left="1080"/>
        <w:jc w:val="center"/>
        <w:rPr>
          <w:rFonts w:cs="Arial"/>
          <w:i/>
          <w:lang w:val="pt-BR"/>
        </w:rPr>
      </w:pPr>
      <w:r w:rsidRPr="00774441">
        <w:rPr>
          <w:rFonts w:cs="Arial"/>
          <w:b/>
          <w:lang w:val="pt-BR"/>
        </w:rPr>
        <w:t>Figura 8:</w:t>
      </w:r>
      <w:r w:rsidRPr="0053492E">
        <w:rPr>
          <w:rFonts w:cs="Arial"/>
          <w:lang w:val="pt-BR"/>
        </w:rPr>
        <w:t xml:space="preserve"> trofozoitos de </w:t>
      </w:r>
      <w:r w:rsidRPr="0053492E">
        <w:rPr>
          <w:rFonts w:cs="Arial"/>
          <w:i/>
          <w:lang w:val="pt-BR"/>
        </w:rPr>
        <w:t>Giardia lamblia</w:t>
      </w:r>
    </w:p>
    <w:p w:rsidR="00702601" w:rsidRPr="0053492E" w:rsidRDefault="00702601" w:rsidP="00C52E09">
      <w:pPr>
        <w:numPr>
          <w:ilvl w:val="2"/>
          <w:numId w:val="104"/>
        </w:numPr>
        <w:tabs>
          <w:tab w:val="left" w:pos="990"/>
        </w:tabs>
        <w:spacing w:before="120" w:after="0"/>
        <w:ind w:hanging="360"/>
        <w:jc w:val="both"/>
        <w:rPr>
          <w:rFonts w:cs="Arial"/>
          <w:lang w:val="pt-BR"/>
        </w:rPr>
      </w:pPr>
      <w:r w:rsidRPr="0053492E">
        <w:rPr>
          <w:rFonts w:cs="Arial"/>
          <w:lang w:val="pt-BR"/>
        </w:rPr>
        <w:t>Alguns animais podem transmitir o parasita para o ser humano. Por exemplo, roedores, bovinos, ovinos, equinos e alguns animais de estimação.</w:t>
      </w:r>
    </w:p>
    <w:p w:rsidR="00702601" w:rsidRPr="0053492E" w:rsidRDefault="00702601" w:rsidP="00C52E09">
      <w:pPr>
        <w:numPr>
          <w:ilvl w:val="1"/>
          <w:numId w:val="104"/>
        </w:numPr>
        <w:spacing w:before="120" w:after="0"/>
        <w:jc w:val="both"/>
        <w:rPr>
          <w:rFonts w:cs="Arial"/>
          <w:lang w:val="pt-BR"/>
        </w:rPr>
      </w:pPr>
      <w:r w:rsidRPr="0053492E">
        <w:rPr>
          <w:rFonts w:cs="Arial"/>
          <w:i/>
          <w:lang w:val="pt-BR"/>
        </w:rPr>
        <w:t>Entamoeba histolytica</w:t>
      </w:r>
      <w:r w:rsidRPr="0053492E">
        <w:rPr>
          <w:rFonts w:cs="Arial"/>
          <w:lang w:val="pt-BR"/>
        </w:rPr>
        <w:t>. É um parasita comum do intestino grosso dos seres humanos.</w:t>
      </w:r>
    </w:p>
    <w:p w:rsidR="00702601" w:rsidRPr="0053492E" w:rsidRDefault="00702601" w:rsidP="00C52E09">
      <w:pPr>
        <w:numPr>
          <w:ilvl w:val="2"/>
          <w:numId w:val="104"/>
        </w:numPr>
        <w:tabs>
          <w:tab w:val="left" w:pos="990"/>
        </w:tabs>
        <w:spacing w:before="120" w:after="0"/>
        <w:ind w:hanging="360"/>
        <w:jc w:val="both"/>
        <w:rPr>
          <w:rFonts w:cs="Arial"/>
          <w:lang w:val="pt-BR"/>
        </w:rPr>
      </w:pPr>
      <w:r w:rsidRPr="0053492E">
        <w:rPr>
          <w:rFonts w:cs="Arial"/>
          <w:lang w:val="pt-BR"/>
        </w:rPr>
        <w:t>A sua morfologia é variável, com pseudópodes digitiformes e largos.</w:t>
      </w:r>
    </w:p>
    <w:p w:rsidR="00702601" w:rsidRPr="0053492E" w:rsidRDefault="00702601" w:rsidP="00BE7D04">
      <w:pPr>
        <w:spacing w:before="120"/>
        <w:ind w:left="360"/>
        <w:jc w:val="both"/>
        <w:rPr>
          <w:rFonts w:cs="Arial"/>
          <w:lang w:val="pt-BR"/>
        </w:rPr>
      </w:pPr>
      <w:r w:rsidRPr="00774441">
        <w:rPr>
          <w:rFonts w:cs="Arial"/>
          <w:b/>
          <w:lang w:val="pt-BR"/>
        </w:rPr>
        <w:t>4.2.2</w:t>
      </w:r>
      <w:r>
        <w:rPr>
          <w:rFonts w:cs="Arial"/>
          <w:lang w:val="pt-BR"/>
        </w:rPr>
        <w:t xml:space="preserve"> </w:t>
      </w:r>
      <w:r w:rsidRPr="0053492E">
        <w:rPr>
          <w:rFonts w:cs="Arial"/>
          <w:lang w:val="pt-BR"/>
        </w:rPr>
        <w:t>Geralmente, a infecção aparece quando um indivíduo susceptível ingere água contaminada com cistos. Também pode ocorrer por consumo de vegetais e outros alimentos contaminados.</w:t>
      </w:r>
    </w:p>
    <w:p w:rsidR="00702601" w:rsidRPr="0053492E" w:rsidRDefault="00702601" w:rsidP="00C52E09">
      <w:pPr>
        <w:numPr>
          <w:ilvl w:val="2"/>
          <w:numId w:val="105"/>
        </w:numPr>
        <w:tabs>
          <w:tab w:val="left" w:pos="990"/>
        </w:tabs>
        <w:spacing w:before="120" w:after="0"/>
        <w:ind w:hanging="270"/>
        <w:jc w:val="both"/>
        <w:rPr>
          <w:rFonts w:cs="Arial"/>
        </w:rPr>
      </w:pPr>
      <w:r w:rsidRPr="0053492E">
        <w:rPr>
          <w:rFonts w:cs="Arial"/>
        </w:rPr>
        <w:t>Podem se encontrar 3 estágios:</w:t>
      </w:r>
    </w:p>
    <w:p w:rsidR="00702601" w:rsidRPr="0053492E" w:rsidRDefault="00702601" w:rsidP="00702601">
      <w:pPr>
        <w:pStyle w:val="TM-4n"/>
        <w:tabs>
          <w:tab w:val="clear" w:pos="458"/>
          <w:tab w:val="clear" w:pos="1134"/>
        </w:tabs>
        <w:spacing w:before="120" w:after="0" w:line="276" w:lineRule="auto"/>
        <w:ind w:left="1440"/>
      </w:pPr>
      <w:r w:rsidRPr="0053492E">
        <w:t>Ameba activa (trofozoíto);</w:t>
      </w:r>
    </w:p>
    <w:p w:rsidR="00702601" w:rsidRPr="0053492E" w:rsidRDefault="00702601" w:rsidP="00702601">
      <w:pPr>
        <w:pStyle w:val="TM-4n"/>
        <w:tabs>
          <w:tab w:val="clear" w:pos="458"/>
          <w:tab w:val="clear" w:pos="1134"/>
        </w:tabs>
        <w:spacing w:before="120" w:after="0" w:line="276" w:lineRule="auto"/>
        <w:ind w:left="1440"/>
      </w:pPr>
      <w:r w:rsidRPr="0053492E">
        <w:t>Cisto inactivo;</w:t>
      </w:r>
    </w:p>
    <w:p w:rsidR="00702601" w:rsidRPr="0053492E" w:rsidRDefault="00702601" w:rsidP="00702601">
      <w:pPr>
        <w:pStyle w:val="TM-4n"/>
        <w:tabs>
          <w:tab w:val="clear" w:pos="458"/>
          <w:tab w:val="clear" w:pos="1134"/>
        </w:tabs>
        <w:spacing w:before="120" w:after="0" w:line="276" w:lineRule="auto"/>
        <w:ind w:left="1440"/>
      </w:pPr>
      <w:r w:rsidRPr="0053492E">
        <w:t>Pré-cisto intermediário.</w:t>
      </w:r>
    </w:p>
    <w:p w:rsidR="00702601" w:rsidRPr="0053492E" w:rsidRDefault="00702601" w:rsidP="00C52E09">
      <w:pPr>
        <w:numPr>
          <w:ilvl w:val="2"/>
          <w:numId w:val="105"/>
        </w:numPr>
        <w:tabs>
          <w:tab w:val="left" w:pos="990"/>
        </w:tabs>
        <w:spacing w:before="120" w:after="0"/>
        <w:ind w:hanging="360"/>
        <w:jc w:val="both"/>
        <w:rPr>
          <w:rFonts w:cs="Arial"/>
          <w:lang w:val="pt-BR"/>
        </w:rPr>
      </w:pPr>
      <w:r w:rsidRPr="0053492E">
        <w:rPr>
          <w:rFonts w:cs="Arial"/>
          <w:lang w:val="pt-BR"/>
        </w:rPr>
        <w:t>Cresce melhor em condições de anaerobiose.</w:t>
      </w:r>
    </w:p>
    <w:p w:rsidR="00702601" w:rsidRPr="0053492E" w:rsidRDefault="00702601" w:rsidP="00C52E09">
      <w:pPr>
        <w:numPr>
          <w:ilvl w:val="2"/>
          <w:numId w:val="105"/>
        </w:numPr>
        <w:tabs>
          <w:tab w:val="left" w:pos="990"/>
        </w:tabs>
        <w:spacing w:before="120" w:after="0"/>
        <w:ind w:hanging="360"/>
        <w:jc w:val="both"/>
        <w:rPr>
          <w:rFonts w:cs="Arial"/>
          <w:lang w:val="pt-BR"/>
        </w:rPr>
      </w:pPr>
      <w:r w:rsidRPr="0053492E">
        <w:rPr>
          <w:rFonts w:cs="Arial"/>
          <w:lang w:val="pt-BR"/>
        </w:rPr>
        <w:t>Os trofozoítos se multiplicam no lúmen intestinal. A maior parte das infecções não são invasivas e permanecem no lúmen, e os cistos são eliminados juntamente com as fezes.</w:t>
      </w:r>
    </w:p>
    <w:p w:rsidR="00702601" w:rsidRPr="0053492E" w:rsidRDefault="00702601" w:rsidP="00C52E09">
      <w:pPr>
        <w:numPr>
          <w:ilvl w:val="2"/>
          <w:numId w:val="105"/>
        </w:numPr>
        <w:tabs>
          <w:tab w:val="left" w:pos="990"/>
        </w:tabs>
        <w:spacing w:before="120" w:after="0"/>
        <w:ind w:hanging="360"/>
        <w:jc w:val="both"/>
        <w:rPr>
          <w:rFonts w:cs="Arial"/>
          <w:lang w:val="pt-BR"/>
        </w:rPr>
      </w:pPr>
      <w:r w:rsidRPr="0053492E">
        <w:rPr>
          <w:rFonts w:cs="Arial"/>
          <w:lang w:val="pt-BR"/>
        </w:rPr>
        <w:t>A doença acontece quando os trofozoítos invadem o epitélio intestinal, formando úlceras na parede do intestino, e provocando diarreia com fezes líquidas e sanguinolentas, cólicas, e perda de apetite e peso.</w:t>
      </w:r>
    </w:p>
    <w:p w:rsidR="00702601" w:rsidRPr="0053492E" w:rsidRDefault="00702601" w:rsidP="00C52E09">
      <w:pPr>
        <w:numPr>
          <w:ilvl w:val="2"/>
          <w:numId w:val="105"/>
        </w:numPr>
        <w:tabs>
          <w:tab w:val="left" w:pos="990"/>
        </w:tabs>
        <w:spacing w:before="120" w:after="0"/>
        <w:ind w:hanging="360"/>
        <w:jc w:val="both"/>
        <w:rPr>
          <w:rFonts w:cs="Arial"/>
          <w:lang w:val="pt-BR"/>
        </w:rPr>
      </w:pPr>
      <w:r w:rsidRPr="0053492E">
        <w:rPr>
          <w:rFonts w:cs="Arial"/>
          <w:lang w:val="pt-BR"/>
        </w:rPr>
        <w:t>O diagnóstico faz-se por visualização ao microscópio de trofozoítos ou cistos em fezes.</w:t>
      </w:r>
    </w:p>
    <w:p w:rsidR="00702601" w:rsidRPr="0053492E" w:rsidRDefault="00702601" w:rsidP="00702601">
      <w:pPr>
        <w:spacing w:before="120"/>
        <w:ind w:left="1080"/>
        <w:jc w:val="center"/>
        <w:rPr>
          <w:rFonts w:cs="Arial"/>
          <w:lang w:val="en-GB"/>
        </w:rPr>
      </w:pPr>
      <w:r>
        <w:rPr>
          <w:rFonts w:cs="Arial"/>
          <w:noProof/>
          <w:lang w:val="en-ZW" w:eastAsia="en-ZW"/>
        </w:rPr>
        <w:drawing>
          <wp:inline distT="0" distB="0" distL="0" distR="0" wp14:anchorId="3BA5DC10" wp14:editId="64F813BF">
            <wp:extent cx="5178535" cy="1844703"/>
            <wp:effectExtent l="19050" t="0" r="3065" b="0"/>
            <wp:docPr id="150" name="Object 5"/>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5256584" cy="2735724"/>
                      <a:chOff x="2195736" y="3573016"/>
                      <a:chExt cx="5256584" cy="2735724"/>
                    </a:xfrm>
                  </a:grpSpPr>
                  <a:grpSp>
                    <a:nvGrpSpPr>
                      <a:cNvPr id="7" name="Group 6"/>
                      <a:cNvGrpSpPr/>
                    </a:nvGrpSpPr>
                    <a:grpSpPr>
                      <a:xfrm>
                        <a:off x="2195736" y="3573016"/>
                        <a:ext cx="5256584" cy="2735724"/>
                        <a:chOff x="2195736" y="3573016"/>
                        <a:chExt cx="5256584" cy="2735724"/>
                      </a:xfrm>
                    </a:grpSpPr>
                    <a:pic>
                      <a:nvPicPr>
                        <a:cNvPr id="37892" name="Picture 4" descr="http://web.uconn.edu/mcbstaff/graf/Student%20presentations/Entamoeba/enthc&amp;t-an.jpg"/>
                        <a:cNvPicPr>
                          <a:picLocks noChangeAspect="1" noChangeArrowheads="1"/>
                        </a:cNvPicPr>
                      </a:nvPicPr>
                      <a:blipFill>
                        <a:blip r:embed="rId100"/>
                        <a:srcRect/>
                        <a:stretch>
                          <a:fillRect/>
                        </a:stretch>
                      </a:blipFill>
                      <a:spPr bwMode="auto">
                        <a:xfrm>
                          <a:off x="2195736" y="3573016"/>
                          <a:ext cx="5256584" cy="2524125"/>
                        </a:xfrm>
                        <a:prstGeom prst="rect">
                          <a:avLst/>
                        </a:prstGeom>
                        <a:noFill/>
                      </a:spPr>
                    </a:pic>
                    <a:sp>
                      <a:nvSpPr>
                        <a:cNvPr id="6" name="Rectangle 5"/>
                        <a:cNvSpPr/>
                      </a:nvSpPr>
                      <a:spPr>
                        <a:xfrm>
                          <a:off x="2699792" y="6093296"/>
                          <a:ext cx="4572000" cy="215444"/>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800" dirty="0" smtClean="0"/>
                              <a:t>http://web.uconn.edu/mcbstaff/graf/Student%20presentations/Entamoeba/enthc&amp;t-an.jpg</a:t>
                            </a:r>
                            <a:endParaRPr lang="en-GB" sz="800" dirty="0"/>
                          </a:p>
                        </a:txBody>
                        <a:useSpRect/>
                      </a:txSp>
                    </a:sp>
                  </a:grpSp>
                </lc:lockedCanvas>
              </a:graphicData>
            </a:graphic>
          </wp:inline>
        </w:drawing>
      </w:r>
    </w:p>
    <w:p w:rsidR="00702601" w:rsidRPr="0053492E" w:rsidRDefault="00702601" w:rsidP="00702601">
      <w:pPr>
        <w:spacing w:before="120"/>
        <w:ind w:left="1080"/>
        <w:jc w:val="center"/>
        <w:rPr>
          <w:rFonts w:cs="Arial"/>
          <w:i/>
          <w:lang w:val="pt-BR"/>
        </w:rPr>
      </w:pPr>
      <w:r w:rsidRPr="00774441">
        <w:rPr>
          <w:rFonts w:cs="Arial"/>
          <w:b/>
          <w:lang w:val="pt-BR"/>
        </w:rPr>
        <w:t>Figura 9:</w:t>
      </w:r>
      <w:r w:rsidRPr="0053492E">
        <w:rPr>
          <w:rFonts w:cs="Arial"/>
          <w:lang w:val="pt-BR"/>
        </w:rPr>
        <w:t xml:space="preserve"> Cistos e trofozoitos de </w:t>
      </w:r>
      <w:r w:rsidRPr="0053492E">
        <w:rPr>
          <w:rFonts w:cs="Arial"/>
          <w:i/>
          <w:lang w:val="pt-BR"/>
        </w:rPr>
        <w:t>Entamoeba histolytica</w:t>
      </w:r>
    </w:p>
    <w:p w:rsidR="00702601" w:rsidRPr="0053492E" w:rsidRDefault="00702601" w:rsidP="00C52E09">
      <w:pPr>
        <w:numPr>
          <w:ilvl w:val="1"/>
          <w:numId w:val="105"/>
        </w:numPr>
        <w:spacing w:before="120" w:after="0"/>
        <w:jc w:val="both"/>
        <w:rPr>
          <w:rFonts w:cs="Arial"/>
          <w:lang w:val="pt-BR"/>
        </w:rPr>
      </w:pPr>
      <w:r w:rsidRPr="0053492E">
        <w:rPr>
          <w:rFonts w:cs="Arial"/>
          <w:i/>
          <w:lang w:val="pt-BR"/>
        </w:rPr>
        <w:t>Balantidium coli</w:t>
      </w:r>
      <w:r w:rsidRPr="0053492E">
        <w:rPr>
          <w:rFonts w:cs="Arial"/>
          <w:b/>
          <w:i/>
          <w:lang w:val="pt-BR"/>
        </w:rPr>
        <w:t>.</w:t>
      </w:r>
      <w:r w:rsidRPr="0053492E">
        <w:rPr>
          <w:rFonts w:cs="Arial"/>
          <w:lang w:val="pt-BR"/>
        </w:rPr>
        <w:t xml:space="preserve"> É um protozoário ciliado que causa disenteria, não muito frequente em Moçambique.</w:t>
      </w:r>
    </w:p>
    <w:p w:rsidR="00702601" w:rsidRPr="0053492E" w:rsidRDefault="00702601" w:rsidP="00C52E09">
      <w:pPr>
        <w:numPr>
          <w:ilvl w:val="2"/>
          <w:numId w:val="106"/>
        </w:numPr>
        <w:spacing w:before="120" w:after="0"/>
        <w:jc w:val="both"/>
        <w:rPr>
          <w:rFonts w:cs="Arial"/>
          <w:lang w:val="pt-BR"/>
        </w:rPr>
      </w:pPr>
      <w:r w:rsidRPr="0053492E">
        <w:rPr>
          <w:rFonts w:cs="Arial"/>
          <w:lang w:val="pt-BR"/>
        </w:rPr>
        <w:t>A infecção ocorre quando há ingestão de água ou alimentos contaminados com cistos previamente eliminados em fezes humanas e suínas</w:t>
      </w:r>
    </w:p>
    <w:p w:rsidR="00702601" w:rsidRPr="00702601" w:rsidRDefault="00702601" w:rsidP="00C52E09">
      <w:pPr>
        <w:numPr>
          <w:ilvl w:val="2"/>
          <w:numId w:val="106"/>
        </w:numPr>
        <w:spacing w:before="120" w:after="0"/>
        <w:jc w:val="both"/>
        <w:rPr>
          <w:rFonts w:cs="Arial"/>
          <w:lang w:val="pt-BR"/>
        </w:rPr>
      </w:pPr>
      <w:r w:rsidRPr="00702601">
        <w:rPr>
          <w:rFonts w:cs="Arial"/>
          <w:lang w:val="pt-BR"/>
        </w:rPr>
        <w:lastRenderedPageBreak/>
        <w:t>Os trofozoíto têm forma oval, e o seu tamanho é o maior entre os protozoários intestinais.</w:t>
      </w:r>
    </w:p>
    <w:p w:rsidR="00702601" w:rsidRPr="0053492E" w:rsidRDefault="00702601" w:rsidP="00C52E09">
      <w:pPr>
        <w:numPr>
          <w:ilvl w:val="2"/>
          <w:numId w:val="106"/>
        </w:numPr>
        <w:spacing w:before="120" w:after="0"/>
        <w:jc w:val="both"/>
        <w:rPr>
          <w:rFonts w:cs="Arial"/>
          <w:lang w:val="pt-BR"/>
        </w:rPr>
      </w:pPr>
      <w:r w:rsidRPr="0053492E">
        <w:rPr>
          <w:rFonts w:cs="Arial"/>
          <w:lang w:val="pt-BR"/>
        </w:rPr>
        <w:t>Geralmente, as infecções não são muito graves. Porém, às vezes os trofozoítos invadem a mucosa do intestino grosso, provocando abcessos e ulcerações, com diarreia recorrente crónica com fezes sanguinolentas.</w:t>
      </w:r>
    </w:p>
    <w:p w:rsidR="00702601" w:rsidRPr="0053492E" w:rsidRDefault="00702601" w:rsidP="00C52E09">
      <w:pPr>
        <w:numPr>
          <w:ilvl w:val="2"/>
          <w:numId w:val="106"/>
        </w:numPr>
        <w:spacing w:before="120" w:after="0"/>
        <w:jc w:val="both"/>
        <w:rPr>
          <w:rFonts w:cs="Arial"/>
          <w:lang w:val="pt-BR"/>
        </w:rPr>
      </w:pPr>
      <w:r w:rsidRPr="0053492E">
        <w:rPr>
          <w:rFonts w:cs="Arial"/>
          <w:lang w:val="pt-BR"/>
        </w:rPr>
        <w:t>Os trofozoítos podem ser visualizados em fezes líquidas.</w:t>
      </w:r>
    </w:p>
    <w:p w:rsidR="00702601" w:rsidRPr="0053492E" w:rsidRDefault="00702601" w:rsidP="00702601">
      <w:pPr>
        <w:spacing w:before="120"/>
        <w:ind w:left="1080"/>
        <w:jc w:val="center"/>
        <w:rPr>
          <w:rFonts w:cs="Arial"/>
          <w:lang w:val="en-GB"/>
        </w:rPr>
      </w:pPr>
      <w:r>
        <w:rPr>
          <w:rFonts w:cs="Arial"/>
          <w:noProof/>
          <w:lang w:val="en-ZW" w:eastAsia="en-ZW"/>
        </w:rPr>
        <w:drawing>
          <wp:inline distT="0" distB="0" distL="0" distR="0" wp14:anchorId="1C1A8099" wp14:editId="3FC42AE0">
            <wp:extent cx="3869138" cy="1630018"/>
            <wp:effectExtent l="19050" t="0" r="0" b="0"/>
            <wp:docPr id="149" name="Object 6"/>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5505450" cy="3990637"/>
                      <a:chOff x="1547664" y="1340768"/>
                      <a:chExt cx="5505450" cy="3990637"/>
                    </a:xfrm>
                  </a:grpSpPr>
                  <a:grpSp>
                    <a:nvGrpSpPr>
                      <a:cNvPr id="4" name="Group 3"/>
                      <a:cNvGrpSpPr/>
                    </a:nvGrpSpPr>
                    <a:grpSpPr>
                      <a:xfrm>
                        <a:off x="1547664" y="1340768"/>
                        <a:ext cx="5505450" cy="3990637"/>
                        <a:chOff x="1547664" y="1340768"/>
                        <a:chExt cx="5505450" cy="3990637"/>
                      </a:xfrm>
                    </a:grpSpPr>
                    <a:pic>
                      <a:nvPicPr>
                        <a:cNvPr id="38914" name="Picture 2" descr="http://instruction.cvhs.okstate.edu/jcfox/htdocs/disk1/images/img0018.jpg"/>
                        <a:cNvPicPr>
                          <a:picLocks noChangeAspect="1" noChangeArrowheads="1"/>
                        </a:cNvPicPr>
                      </a:nvPicPr>
                      <a:blipFill>
                        <a:blip r:embed="rId101"/>
                        <a:srcRect/>
                        <a:stretch>
                          <a:fillRect/>
                        </a:stretch>
                      </a:blipFill>
                      <a:spPr bwMode="auto">
                        <a:xfrm>
                          <a:off x="1547664" y="1340768"/>
                          <a:ext cx="5505450" cy="3714750"/>
                        </a:xfrm>
                        <a:prstGeom prst="rect">
                          <a:avLst/>
                        </a:prstGeom>
                        <a:noFill/>
                      </a:spPr>
                    </a:pic>
                    <a:sp>
                      <a:nvSpPr>
                        <a:cNvPr id="3" name="Rectangle 2"/>
                        <a:cNvSpPr/>
                      </a:nvSpPr>
                      <a:spPr>
                        <a:xfrm>
                          <a:off x="1979712" y="5085184"/>
                          <a:ext cx="4572000" cy="246221"/>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000" dirty="0" smtClean="0"/>
                              <a:t>http://instruction.cvhs.okstate.edu/jcfox/htdocs/disk1/images/img0018.jpg</a:t>
                            </a:r>
                            <a:endParaRPr lang="en-GB" sz="1000" dirty="0"/>
                          </a:p>
                        </a:txBody>
                        <a:useSpRect/>
                      </a:txSp>
                    </a:sp>
                  </a:grpSp>
                </lc:lockedCanvas>
              </a:graphicData>
            </a:graphic>
          </wp:inline>
        </w:drawing>
      </w:r>
    </w:p>
    <w:p w:rsidR="00702601" w:rsidRPr="0053492E" w:rsidRDefault="00702601" w:rsidP="00702601">
      <w:pPr>
        <w:spacing w:before="120"/>
        <w:ind w:left="1080"/>
        <w:jc w:val="center"/>
        <w:rPr>
          <w:rFonts w:cs="Arial"/>
          <w:i/>
          <w:lang w:val="pt-BR"/>
        </w:rPr>
      </w:pPr>
      <w:r w:rsidRPr="00EB2A96">
        <w:rPr>
          <w:rFonts w:cs="Arial"/>
          <w:b/>
          <w:lang w:val="pt-BR"/>
        </w:rPr>
        <w:t>Figura 10:</w:t>
      </w:r>
      <w:r w:rsidRPr="0053492E">
        <w:rPr>
          <w:rFonts w:cs="Arial"/>
          <w:lang w:val="pt-BR"/>
        </w:rPr>
        <w:t xml:space="preserve"> Trofozoitos de </w:t>
      </w:r>
      <w:r w:rsidRPr="0053492E">
        <w:rPr>
          <w:rFonts w:cs="Arial"/>
          <w:i/>
          <w:lang w:val="pt-BR"/>
        </w:rPr>
        <w:t>Balantidium coli</w:t>
      </w:r>
    </w:p>
    <w:p w:rsidR="00702601" w:rsidRDefault="00702601" w:rsidP="00C52E09">
      <w:pPr>
        <w:numPr>
          <w:ilvl w:val="2"/>
          <w:numId w:val="106"/>
        </w:numPr>
        <w:spacing w:before="120" w:after="0"/>
        <w:jc w:val="both"/>
        <w:rPr>
          <w:rFonts w:cs="Arial"/>
          <w:lang w:val="pt-BR"/>
        </w:rPr>
      </w:pPr>
      <w:r w:rsidRPr="0053492E">
        <w:rPr>
          <w:rFonts w:cs="Arial"/>
          <w:i/>
          <w:lang w:val="pt-BR"/>
        </w:rPr>
        <w:t>Isospora e Cryptosporidium</w:t>
      </w:r>
      <w:r w:rsidRPr="0053492E">
        <w:rPr>
          <w:rFonts w:cs="Arial"/>
          <w:lang w:val="pt-BR"/>
        </w:rPr>
        <w:t xml:space="preserve">. Esporozoários que são parasitas intestinais, e podem provocar infecções intestinais em indivíduos com imunodeficiência. </w:t>
      </w:r>
    </w:p>
    <w:p w:rsidR="00702601" w:rsidRPr="00D41CB2" w:rsidRDefault="00702601" w:rsidP="00774441">
      <w:pPr>
        <w:spacing w:before="120" w:after="0" w:line="240" w:lineRule="auto"/>
        <w:ind w:left="1080"/>
        <w:jc w:val="both"/>
        <w:rPr>
          <w:rFonts w:cs="Arial"/>
          <w:i/>
          <w:lang w:val="pt-BR"/>
        </w:rPr>
      </w:pPr>
    </w:p>
    <w:p w:rsidR="00702601" w:rsidRPr="001A0DDE" w:rsidRDefault="00702601" w:rsidP="00702601">
      <w:pPr>
        <w:shd w:val="clear" w:color="auto" w:fill="B8CCE4"/>
        <w:tabs>
          <w:tab w:val="left" w:pos="1276"/>
          <w:tab w:val="right" w:pos="8550"/>
        </w:tabs>
        <w:spacing w:before="120" w:after="120"/>
        <w:ind w:right="2"/>
        <w:jc w:val="both"/>
        <w:rPr>
          <w:rFonts w:cs="Arial"/>
          <w:b/>
          <w:lang w:val="pt-BR"/>
        </w:rPr>
      </w:pPr>
      <w:r w:rsidRPr="001A0DDE">
        <w:rPr>
          <w:rFonts w:cs="Arial"/>
          <w:b/>
          <w:lang w:val="pt-BR"/>
        </w:rPr>
        <w:t>BLOCO 5: PROTOZOÁRIOS GENITOURINÁRIOS FREQUENTES EM MOÇAMBIQUE</w:t>
      </w:r>
    </w:p>
    <w:p w:rsidR="00702601" w:rsidRPr="0053492E" w:rsidRDefault="00702601" w:rsidP="00C52E09">
      <w:pPr>
        <w:numPr>
          <w:ilvl w:val="1"/>
          <w:numId w:val="107"/>
        </w:numPr>
        <w:spacing w:before="120" w:after="0"/>
        <w:jc w:val="both"/>
        <w:rPr>
          <w:rFonts w:cs="Arial"/>
          <w:lang w:val="pt-BR"/>
        </w:rPr>
      </w:pPr>
      <w:r w:rsidRPr="00801249">
        <w:rPr>
          <w:rFonts w:cs="Arial"/>
          <w:i/>
          <w:lang w:val="pt-BR"/>
        </w:rPr>
        <w:t xml:space="preserve">Trichomonas </w:t>
      </w:r>
      <w:r w:rsidR="001A0DDE">
        <w:rPr>
          <w:rFonts w:cs="Arial"/>
          <w:i/>
          <w:lang w:val="pt-BR"/>
        </w:rPr>
        <w:t>v</w:t>
      </w:r>
      <w:r w:rsidRPr="00801249">
        <w:rPr>
          <w:rFonts w:cs="Arial"/>
          <w:i/>
          <w:lang w:val="pt-BR"/>
        </w:rPr>
        <w:t>aginalis</w:t>
      </w:r>
      <w:r w:rsidRPr="00D41CB2">
        <w:rPr>
          <w:rFonts w:cs="Arial"/>
          <w:lang w:val="pt-BR"/>
        </w:rPr>
        <w:t>, é um protozoários flagelado. A Trichomonas vaginalis é respons</w:t>
      </w:r>
      <w:r w:rsidRPr="0053492E">
        <w:rPr>
          <w:rFonts w:cs="Arial"/>
          <w:lang w:val="pt-BR"/>
        </w:rPr>
        <w:t>ável pela forma mais comum da tricomoníase em humanos.</w:t>
      </w:r>
    </w:p>
    <w:p w:rsidR="00BE7D04" w:rsidRDefault="00702601" w:rsidP="00C52E09">
      <w:pPr>
        <w:numPr>
          <w:ilvl w:val="2"/>
          <w:numId w:val="107"/>
        </w:numPr>
        <w:tabs>
          <w:tab w:val="left" w:pos="1080"/>
          <w:tab w:val="left" w:pos="1170"/>
          <w:tab w:val="left" w:pos="1350"/>
        </w:tabs>
        <w:spacing w:before="120" w:after="0"/>
        <w:ind w:hanging="360"/>
        <w:jc w:val="both"/>
        <w:rPr>
          <w:rFonts w:cs="Arial"/>
          <w:lang w:val="pt-BR"/>
        </w:rPr>
      </w:pPr>
      <w:r w:rsidRPr="0053492E">
        <w:rPr>
          <w:rFonts w:cs="Arial"/>
          <w:lang w:val="pt-BR"/>
        </w:rPr>
        <w:t>A transmissão ocorre predominantemente por via sexual.</w:t>
      </w:r>
    </w:p>
    <w:p w:rsidR="00BE7D04" w:rsidRDefault="00702601" w:rsidP="00C52E09">
      <w:pPr>
        <w:numPr>
          <w:ilvl w:val="2"/>
          <w:numId w:val="107"/>
        </w:numPr>
        <w:tabs>
          <w:tab w:val="left" w:pos="1080"/>
          <w:tab w:val="left" w:pos="1170"/>
          <w:tab w:val="left" w:pos="1350"/>
        </w:tabs>
        <w:spacing w:before="120" w:after="0"/>
        <w:ind w:hanging="360"/>
        <w:jc w:val="both"/>
        <w:rPr>
          <w:rFonts w:cs="Arial"/>
          <w:lang w:val="pt-BR"/>
        </w:rPr>
      </w:pPr>
      <w:r w:rsidRPr="00BE7D04">
        <w:rPr>
          <w:rFonts w:cs="Arial"/>
          <w:lang w:val="pt-BR"/>
        </w:rPr>
        <w:t>Têm forma de pêra, com cinco flagelos.</w:t>
      </w:r>
    </w:p>
    <w:p w:rsidR="00BE7D04" w:rsidRDefault="00702601" w:rsidP="00C52E09">
      <w:pPr>
        <w:numPr>
          <w:ilvl w:val="2"/>
          <w:numId w:val="107"/>
        </w:numPr>
        <w:tabs>
          <w:tab w:val="left" w:pos="1080"/>
          <w:tab w:val="left" w:pos="1170"/>
          <w:tab w:val="left" w:pos="1350"/>
        </w:tabs>
        <w:spacing w:before="120" w:after="0"/>
        <w:ind w:hanging="360"/>
        <w:jc w:val="both"/>
        <w:rPr>
          <w:rFonts w:cs="Arial"/>
          <w:lang w:val="pt-BR"/>
        </w:rPr>
      </w:pPr>
      <w:r w:rsidRPr="00BE7D04">
        <w:rPr>
          <w:rFonts w:cs="Arial"/>
          <w:i/>
          <w:lang w:val="pt-BR"/>
        </w:rPr>
        <w:t>T. vaginalis</w:t>
      </w:r>
      <w:r w:rsidRPr="00BE7D04">
        <w:rPr>
          <w:rFonts w:cs="Arial"/>
          <w:lang w:val="pt-BR"/>
        </w:rPr>
        <w:t xml:space="preserve"> cresce melhor em ambientes anaeróbicos, com pH 5,5-6.</w:t>
      </w:r>
    </w:p>
    <w:p w:rsidR="00BE7D04" w:rsidRDefault="00702601" w:rsidP="00C52E09">
      <w:pPr>
        <w:numPr>
          <w:ilvl w:val="2"/>
          <w:numId w:val="107"/>
        </w:numPr>
        <w:tabs>
          <w:tab w:val="left" w:pos="1080"/>
          <w:tab w:val="left" w:pos="1170"/>
          <w:tab w:val="left" w:pos="1350"/>
        </w:tabs>
        <w:spacing w:before="120" w:after="0"/>
        <w:ind w:hanging="360"/>
        <w:jc w:val="both"/>
        <w:rPr>
          <w:rFonts w:cs="Arial"/>
          <w:lang w:val="pt-BR"/>
        </w:rPr>
      </w:pPr>
      <w:r w:rsidRPr="00BE7D04">
        <w:rPr>
          <w:rFonts w:cs="Arial"/>
          <w:lang w:val="pt-BR"/>
        </w:rPr>
        <w:t>A maior parte das infecções é assintomática ou leve.</w:t>
      </w:r>
    </w:p>
    <w:p w:rsidR="00BE7D04" w:rsidRDefault="00702601" w:rsidP="00C52E09">
      <w:pPr>
        <w:numPr>
          <w:ilvl w:val="2"/>
          <w:numId w:val="107"/>
        </w:numPr>
        <w:tabs>
          <w:tab w:val="left" w:pos="1080"/>
          <w:tab w:val="left" w:pos="1170"/>
          <w:tab w:val="left" w:pos="1350"/>
        </w:tabs>
        <w:spacing w:before="120" w:after="0"/>
        <w:ind w:hanging="360"/>
        <w:jc w:val="both"/>
        <w:rPr>
          <w:rFonts w:cs="Arial"/>
          <w:lang w:val="pt-BR"/>
        </w:rPr>
      </w:pPr>
      <w:r w:rsidRPr="00BE7D04">
        <w:rPr>
          <w:rFonts w:cs="Arial"/>
          <w:lang w:val="pt-BR"/>
        </w:rPr>
        <w:t>Nas mulheres, a infecção causa uma inflamação e hipersensibilidade da mucosa da vulva, vagina e colo uterino, com secreção espumosa amarelada e prurido vulvar.</w:t>
      </w:r>
    </w:p>
    <w:p w:rsidR="00BE7D04" w:rsidRDefault="00702601" w:rsidP="00C52E09">
      <w:pPr>
        <w:numPr>
          <w:ilvl w:val="2"/>
          <w:numId w:val="107"/>
        </w:numPr>
        <w:tabs>
          <w:tab w:val="left" w:pos="1080"/>
          <w:tab w:val="left" w:pos="1170"/>
          <w:tab w:val="left" w:pos="1350"/>
        </w:tabs>
        <w:spacing w:before="120" w:after="0"/>
        <w:ind w:hanging="360"/>
        <w:jc w:val="both"/>
        <w:rPr>
          <w:rFonts w:cs="Arial"/>
          <w:lang w:val="pt-BR"/>
        </w:rPr>
      </w:pPr>
      <w:r w:rsidRPr="00BE7D04">
        <w:rPr>
          <w:rFonts w:cs="Arial"/>
          <w:lang w:val="pt-BR"/>
        </w:rPr>
        <w:t>Nos homens, pode infectar uretra, próstata ou vesículas seminais.</w:t>
      </w:r>
    </w:p>
    <w:p w:rsidR="00702601" w:rsidRPr="00BE7D04" w:rsidRDefault="00702601" w:rsidP="00C52E09">
      <w:pPr>
        <w:numPr>
          <w:ilvl w:val="2"/>
          <w:numId w:val="107"/>
        </w:numPr>
        <w:tabs>
          <w:tab w:val="left" w:pos="1080"/>
          <w:tab w:val="left" w:pos="1170"/>
          <w:tab w:val="left" w:pos="1350"/>
        </w:tabs>
        <w:spacing w:before="120" w:after="0"/>
        <w:ind w:hanging="360"/>
        <w:jc w:val="both"/>
        <w:rPr>
          <w:rFonts w:cs="Arial"/>
          <w:lang w:val="pt-BR"/>
        </w:rPr>
      </w:pPr>
      <w:r w:rsidRPr="00BE7D04">
        <w:rPr>
          <w:rFonts w:cs="Arial"/>
          <w:lang w:val="pt-BR"/>
        </w:rPr>
        <w:t>Formas móveis de T. vaginalis podem ser visualizadas ao microscópio em secreções vaginais ou uretrais.</w:t>
      </w:r>
    </w:p>
    <w:p w:rsidR="00702601" w:rsidRPr="0053492E" w:rsidRDefault="00702601" w:rsidP="00702601">
      <w:pPr>
        <w:spacing w:before="120"/>
        <w:ind w:left="1080"/>
        <w:jc w:val="center"/>
        <w:rPr>
          <w:rFonts w:cs="Arial"/>
        </w:rPr>
      </w:pPr>
      <w:r>
        <w:rPr>
          <w:rFonts w:cs="Arial"/>
          <w:noProof/>
          <w:lang w:val="en-ZW" w:eastAsia="en-ZW"/>
        </w:rPr>
        <w:drawing>
          <wp:inline distT="0" distB="0" distL="0" distR="0" wp14:anchorId="63AD9D2D" wp14:editId="1673C455">
            <wp:extent cx="3694209" cy="2027583"/>
            <wp:effectExtent l="19050" t="0" r="1491" b="0"/>
            <wp:docPr id="148" name="Picture 87" descr="trichomonasVaginal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trichomonasVaginalis"/>
                    <pic:cNvPicPr>
                      <a:picLocks noChangeAspect="1" noChangeArrowheads="1"/>
                    </pic:cNvPicPr>
                  </pic:nvPicPr>
                  <pic:blipFill>
                    <a:blip r:embed="rId102" cstate="print"/>
                    <a:srcRect/>
                    <a:stretch>
                      <a:fillRect/>
                    </a:stretch>
                  </pic:blipFill>
                  <pic:spPr bwMode="auto">
                    <a:xfrm>
                      <a:off x="0" y="0"/>
                      <a:ext cx="3695700" cy="2028401"/>
                    </a:xfrm>
                    <a:prstGeom prst="rect">
                      <a:avLst/>
                    </a:prstGeom>
                    <a:noFill/>
                    <a:ln w="9525">
                      <a:noFill/>
                      <a:miter lim="800000"/>
                      <a:headEnd/>
                      <a:tailEnd/>
                    </a:ln>
                  </pic:spPr>
                </pic:pic>
              </a:graphicData>
            </a:graphic>
          </wp:inline>
        </w:drawing>
      </w:r>
    </w:p>
    <w:p w:rsidR="00702601" w:rsidRPr="0053492E" w:rsidRDefault="00702601" w:rsidP="00702601">
      <w:pPr>
        <w:spacing w:before="120"/>
        <w:ind w:left="1080"/>
        <w:jc w:val="center"/>
        <w:rPr>
          <w:rFonts w:cs="Arial"/>
          <w:i/>
          <w:lang w:val="pt-BR"/>
        </w:rPr>
      </w:pPr>
      <w:r w:rsidRPr="00774441">
        <w:rPr>
          <w:rFonts w:cs="Arial"/>
          <w:b/>
          <w:lang w:val="pt-BR"/>
        </w:rPr>
        <w:t>Figura 11:</w:t>
      </w:r>
      <w:r w:rsidRPr="00702601">
        <w:rPr>
          <w:rFonts w:cs="Arial"/>
          <w:lang w:val="pt-BR"/>
        </w:rPr>
        <w:t xml:space="preserve"> </w:t>
      </w:r>
      <w:r w:rsidRPr="00702601">
        <w:rPr>
          <w:rFonts w:cs="Arial"/>
          <w:i/>
          <w:lang w:val="pt-BR"/>
        </w:rPr>
        <w:t>Trichomonas vaginalis</w:t>
      </w:r>
    </w:p>
    <w:p w:rsidR="00702601" w:rsidRPr="00702601" w:rsidRDefault="00702601" w:rsidP="00702601">
      <w:pPr>
        <w:shd w:val="clear" w:color="auto" w:fill="B8CCE4"/>
        <w:tabs>
          <w:tab w:val="left" w:pos="1276"/>
          <w:tab w:val="right" w:pos="8550"/>
        </w:tabs>
        <w:spacing w:before="120" w:after="120"/>
        <w:ind w:right="2"/>
        <w:jc w:val="both"/>
        <w:rPr>
          <w:rFonts w:cs="Arial"/>
          <w:b/>
          <w:lang w:val="pt-BR"/>
        </w:rPr>
      </w:pPr>
      <w:r w:rsidRPr="00702601">
        <w:rPr>
          <w:rFonts w:cs="Arial"/>
          <w:b/>
          <w:lang w:val="pt-BR"/>
        </w:rPr>
        <w:lastRenderedPageBreak/>
        <w:t>BLOCO 6: PROTOZOÁRIOS SISTÉMICOS FREQUENTES EM MOÇAMBIQUE</w:t>
      </w:r>
    </w:p>
    <w:p w:rsidR="00702601" w:rsidRPr="0053492E" w:rsidRDefault="00702601" w:rsidP="00C52E09">
      <w:pPr>
        <w:numPr>
          <w:ilvl w:val="1"/>
          <w:numId w:val="108"/>
        </w:numPr>
        <w:spacing w:before="120" w:after="0"/>
        <w:jc w:val="both"/>
        <w:rPr>
          <w:rFonts w:cs="Arial"/>
        </w:rPr>
      </w:pPr>
      <w:r w:rsidRPr="0053492E">
        <w:rPr>
          <w:rFonts w:cs="Arial"/>
          <w:i/>
          <w:lang w:val="pt-BR"/>
        </w:rPr>
        <w:t>Plasmodium</w:t>
      </w:r>
      <w:r w:rsidRPr="0053492E">
        <w:rPr>
          <w:rFonts w:cs="Arial"/>
          <w:lang w:val="pt-BR"/>
        </w:rPr>
        <w:t xml:space="preserve">. São esporozoários, parasitas intracelulares de eritrócitos, e de células de outros tecidos, por exemplo os hepatócitos (células do fígado). </w:t>
      </w:r>
      <w:r w:rsidRPr="0053492E">
        <w:rPr>
          <w:rFonts w:cs="Arial"/>
        </w:rPr>
        <w:t xml:space="preserve">Responsáveis </w:t>
      </w:r>
      <w:proofErr w:type="gramStart"/>
      <w:r w:rsidRPr="0053492E">
        <w:rPr>
          <w:rFonts w:cs="Arial"/>
        </w:rPr>
        <w:t>pela  malária</w:t>
      </w:r>
      <w:proofErr w:type="gramEnd"/>
      <w:r w:rsidRPr="0053492E">
        <w:rPr>
          <w:rFonts w:cs="Arial"/>
        </w:rPr>
        <w:t>.</w:t>
      </w:r>
    </w:p>
    <w:p w:rsidR="00702601" w:rsidRPr="0053492E" w:rsidRDefault="00702601" w:rsidP="00C52E09">
      <w:pPr>
        <w:numPr>
          <w:ilvl w:val="2"/>
          <w:numId w:val="108"/>
        </w:numPr>
        <w:tabs>
          <w:tab w:val="left" w:pos="1080"/>
        </w:tabs>
        <w:spacing w:before="120" w:after="0"/>
        <w:ind w:hanging="360"/>
        <w:jc w:val="both"/>
        <w:rPr>
          <w:rFonts w:cs="Arial"/>
          <w:lang w:val="pt-BR"/>
        </w:rPr>
      </w:pPr>
      <w:r w:rsidRPr="0053492E">
        <w:rPr>
          <w:rFonts w:cs="Arial"/>
          <w:lang w:val="pt-BR"/>
        </w:rPr>
        <w:t>Existem quatro espécies de plasmodium que infectam os seres humanos:</w:t>
      </w:r>
    </w:p>
    <w:p w:rsidR="00702601" w:rsidRPr="0053492E" w:rsidRDefault="00702601" w:rsidP="00C52E09">
      <w:pPr>
        <w:pStyle w:val="TM-4n"/>
        <w:numPr>
          <w:ilvl w:val="0"/>
          <w:numId w:val="98"/>
        </w:numPr>
        <w:tabs>
          <w:tab w:val="clear" w:pos="1134"/>
        </w:tabs>
        <w:spacing w:before="120" w:after="0" w:line="276" w:lineRule="auto"/>
        <w:ind w:left="1440"/>
      </w:pPr>
      <w:r w:rsidRPr="0053492E">
        <w:t>Plasmodium falciparum (espécie mais frequente em Moçambique ~ 90%)</w:t>
      </w:r>
    </w:p>
    <w:p w:rsidR="00702601" w:rsidRPr="0053492E" w:rsidRDefault="00702601" w:rsidP="00C52E09">
      <w:pPr>
        <w:pStyle w:val="TM-4n"/>
        <w:numPr>
          <w:ilvl w:val="0"/>
          <w:numId w:val="98"/>
        </w:numPr>
        <w:tabs>
          <w:tab w:val="clear" w:pos="1134"/>
        </w:tabs>
        <w:spacing w:before="120" w:after="0" w:line="276" w:lineRule="auto"/>
        <w:ind w:left="1440"/>
      </w:pPr>
      <w:r w:rsidRPr="0053492E">
        <w:t>Plasmodium vivax</w:t>
      </w:r>
    </w:p>
    <w:p w:rsidR="00702601" w:rsidRPr="0053492E" w:rsidRDefault="00702601" w:rsidP="00C52E09">
      <w:pPr>
        <w:pStyle w:val="TM-4n"/>
        <w:numPr>
          <w:ilvl w:val="0"/>
          <w:numId w:val="98"/>
        </w:numPr>
        <w:tabs>
          <w:tab w:val="clear" w:pos="1134"/>
        </w:tabs>
        <w:spacing w:before="120" w:after="0" w:line="276" w:lineRule="auto"/>
        <w:ind w:left="1440"/>
      </w:pPr>
      <w:r w:rsidRPr="0053492E">
        <w:t>Plasmodium ovale</w:t>
      </w:r>
    </w:p>
    <w:p w:rsidR="00702601" w:rsidRDefault="00702601" w:rsidP="00C52E09">
      <w:pPr>
        <w:pStyle w:val="TM-4n"/>
        <w:numPr>
          <w:ilvl w:val="0"/>
          <w:numId w:val="98"/>
        </w:numPr>
        <w:tabs>
          <w:tab w:val="clear" w:pos="1134"/>
        </w:tabs>
        <w:spacing w:before="120" w:after="0" w:line="276" w:lineRule="auto"/>
        <w:ind w:left="1440"/>
      </w:pPr>
      <w:r w:rsidRPr="0053492E">
        <w:t>Plasmodium malariae</w:t>
      </w:r>
    </w:p>
    <w:p w:rsidR="00702601" w:rsidRPr="00702601" w:rsidRDefault="00702601" w:rsidP="00C52E09">
      <w:pPr>
        <w:numPr>
          <w:ilvl w:val="2"/>
          <w:numId w:val="108"/>
        </w:numPr>
        <w:tabs>
          <w:tab w:val="left" w:pos="1080"/>
        </w:tabs>
        <w:spacing w:before="120" w:after="0"/>
        <w:ind w:hanging="360"/>
        <w:jc w:val="both"/>
        <w:rPr>
          <w:rFonts w:cs="Arial"/>
          <w:lang w:val="pt-BR"/>
        </w:rPr>
      </w:pPr>
      <w:r w:rsidRPr="00702601">
        <w:rPr>
          <w:rFonts w:cs="Arial"/>
          <w:lang w:val="pt-BR"/>
        </w:rPr>
        <w:t>Ciclo de vida do plasmódio:</w:t>
      </w:r>
    </w:p>
    <w:p w:rsidR="00702601" w:rsidRPr="0053492E" w:rsidRDefault="00702601" w:rsidP="00D648E9">
      <w:pPr>
        <w:pStyle w:val="TM-4n"/>
        <w:numPr>
          <w:ilvl w:val="1"/>
          <w:numId w:val="4"/>
        </w:numPr>
        <w:tabs>
          <w:tab w:val="left" w:pos="1440"/>
        </w:tabs>
        <w:spacing w:before="120" w:after="0" w:line="276" w:lineRule="auto"/>
        <w:ind w:hanging="98"/>
      </w:pPr>
      <w:r w:rsidRPr="0053492E">
        <w:t>No ser humano, a infecção ocorre quando há  picada e inoculação de esporozoítos pela fêmea do mosquito Anopheles (vector).</w:t>
      </w:r>
    </w:p>
    <w:p w:rsidR="00702601" w:rsidRPr="0053492E" w:rsidRDefault="00702601" w:rsidP="00D648E9">
      <w:pPr>
        <w:pStyle w:val="TM-4n"/>
        <w:numPr>
          <w:ilvl w:val="1"/>
          <w:numId w:val="4"/>
        </w:numPr>
        <w:spacing w:before="120" w:after="0" w:line="276" w:lineRule="auto"/>
        <w:ind w:hanging="98"/>
      </w:pPr>
      <w:r w:rsidRPr="0053492E">
        <w:t>O ciclo de vida do plasmódio tem uma fase sexuada, que ocorre no mosquito (hospedeiro definitivo), e outra assexuada, que ocorre no ser humano (hospedeiro intermediário).</w:t>
      </w:r>
    </w:p>
    <w:p w:rsidR="00702601" w:rsidRPr="0053492E" w:rsidRDefault="00702601" w:rsidP="00702601">
      <w:pPr>
        <w:pStyle w:val="TM-4n"/>
        <w:numPr>
          <w:ilvl w:val="0"/>
          <w:numId w:val="0"/>
        </w:numPr>
        <w:spacing w:before="120" w:after="0" w:line="276" w:lineRule="auto"/>
        <w:ind w:left="458" w:hanging="360"/>
      </w:pPr>
      <w:r>
        <w:rPr>
          <w:noProof/>
          <w:lang w:val="en-ZW" w:eastAsia="en-ZW"/>
        </w:rPr>
        <w:drawing>
          <wp:inline distT="0" distB="0" distL="0" distR="0" wp14:anchorId="723FA374" wp14:editId="0E6E8A49">
            <wp:extent cx="6365848" cy="5247861"/>
            <wp:effectExtent l="19050" t="0" r="0" b="0"/>
            <wp:docPr id="147" name="Object 7"/>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776864" cy="5718829"/>
                      <a:chOff x="323528" y="476672"/>
                      <a:chExt cx="7776864" cy="5718829"/>
                    </a:xfrm>
                  </a:grpSpPr>
                  <a:grpSp>
                    <a:nvGrpSpPr>
                      <a:cNvPr id="4" name="Group 3"/>
                      <a:cNvGrpSpPr/>
                    </a:nvGrpSpPr>
                    <a:grpSpPr>
                      <a:xfrm>
                        <a:off x="323528" y="476672"/>
                        <a:ext cx="7776864" cy="5718829"/>
                        <a:chOff x="323528" y="476672"/>
                        <a:chExt cx="7776864" cy="5718829"/>
                      </a:xfrm>
                    </a:grpSpPr>
                    <a:pic>
                      <a:nvPicPr>
                        <a:cNvPr id="39938" name="Picture 2" descr="http://mosimbio.upc.edu/research-topics/biomedical-sciences/resolveuid/04df448def6c21575eb7e97340236938"/>
                        <a:cNvPicPr>
                          <a:picLocks noChangeAspect="1" noChangeArrowheads="1"/>
                        </a:cNvPicPr>
                      </a:nvPicPr>
                      <a:blipFill>
                        <a:blip r:embed="rId103"/>
                        <a:srcRect/>
                        <a:stretch>
                          <a:fillRect/>
                        </a:stretch>
                      </a:blipFill>
                      <a:spPr bwMode="auto">
                        <a:xfrm>
                          <a:off x="323528" y="476672"/>
                          <a:ext cx="7776864" cy="5400600"/>
                        </a:xfrm>
                        <a:prstGeom prst="rect">
                          <a:avLst/>
                        </a:prstGeom>
                        <a:noFill/>
                      </a:spPr>
                    </a:pic>
                    <a:sp>
                      <a:nvSpPr>
                        <a:cNvPr id="3" name="Rectangle 2"/>
                        <a:cNvSpPr/>
                      </a:nvSpPr>
                      <a:spPr>
                        <a:xfrm>
                          <a:off x="2051720" y="5949280"/>
                          <a:ext cx="4572000" cy="246221"/>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000" dirty="0" smtClean="0"/>
                              <a:t>http://mosimbio.upc.edu/research-topics/imatge/lifecycle.jpg</a:t>
                            </a:r>
                            <a:endParaRPr lang="en-GB" sz="1000" dirty="0"/>
                          </a:p>
                        </a:txBody>
                        <a:useSpRect/>
                      </a:txSp>
                    </a:sp>
                  </a:grpSp>
                </lc:lockedCanvas>
              </a:graphicData>
            </a:graphic>
          </wp:inline>
        </w:drawing>
      </w:r>
    </w:p>
    <w:p w:rsidR="00702601" w:rsidRPr="00801249" w:rsidRDefault="00702601" w:rsidP="00702601">
      <w:pPr>
        <w:pStyle w:val="TM-3"/>
        <w:ind w:left="1418" w:right="567" w:firstLine="0"/>
        <w:jc w:val="center"/>
      </w:pPr>
      <w:r w:rsidRPr="00774441">
        <w:rPr>
          <w:b/>
        </w:rPr>
        <w:t>Fi</w:t>
      </w:r>
      <w:r w:rsidR="00774441" w:rsidRPr="00774441">
        <w:rPr>
          <w:b/>
        </w:rPr>
        <w:t>gura 12:</w:t>
      </w:r>
      <w:r w:rsidRPr="00801249">
        <w:t xml:space="preserve"> Esquema do ciclo de vida do plasmódio</w:t>
      </w:r>
    </w:p>
    <w:p w:rsidR="00702601" w:rsidRPr="0053492E" w:rsidRDefault="00702601" w:rsidP="00702601">
      <w:pPr>
        <w:pStyle w:val="TM-4n"/>
        <w:spacing w:before="120" w:after="0" w:line="276" w:lineRule="auto"/>
        <w:ind w:left="1080"/>
      </w:pPr>
      <w:r w:rsidRPr="0053492E">
        <w:rPr>
          <w:b/>
          <w:i/>
        </w:rPr>
        <w:t>Os esporozoítos</w:t>
      </w:r>
      <w:r w:rsidRPr="0053492E">
        <w:t xml:space="preserve"> estão presentes na saliva do mosquito, e são inoculados no ser humano pela picada do mosquito. Os esporozoítos migram para as células hepáticas, onde se </w:t>
      </w:r>
      <w:r w:rsidRPr="0053492E">
        <w:lastRenderedPageBreak/>
        <w:t xml:space="preserve">multiplicam, originando formas multinucleadas chamadas </w:t>
      </w:r>
      <w:r w:rsidRPr="0053492E">
        <w:rPr>
          <w:b/>
          <w:i/>
        </w:rPr>
        <w:t>esquizontes</w:t>
      </w:r>
      <w:r w:rsidRPr="0053492E">
        <w:t xml:space="preserve">. Os esquizontes originam milhares de </w:t>
      </w:r>
      <w:r w:rsidRPr="0053492E">
        <w:rPr>
          <w:b/>
          <w:i/>
        </w:rPr>
        <w:t>merozoítos</w:t>
      </w:r>
      <w:r w:rsidRPr="0053492E">
        <w:t>, que invadem os eritrócitos sanguíneos. Os merozoítos multiplicam-se assexuadamente até provocarem a lise (ruptura) do eritrócito.</w:t>
      </w:r>
    </w:p>
    <w:p w:rsidR="00702601" w:rsidRPr="0053492E" w:rsidRDefault="00702601" w:rsidP="00702601">
      <w:pPr>
        <w:pStyle w:val="TM-4n"/>
        <w:spacing w:before="120" w:after="0" w:line="276" w:lineRule="auto"/>
        <w:ind w:left="1080"/>
      </w:pPr>
      <w:r w:rsidRPr="0053492E">
        <w:t xml:space="preserve">Alguns merozoítos transformam-se em </w:t>
      </w:r>
      <w:r w:rsidRPr="0053492E">
        <w:rPr>
          <w:b/>
          <w:i/>
        </w:rPr>
        <w:t>formas sexuais</w:t>
      </w:r>
      <w:r w:rsidRPr="0053492E">
        <w:t xml:space="preserve"> </w:t>
      </w:r>
      <w:r w:rsidRPr="0053492E">
        <w:rPr>
          <w:i/>
        </w:rPr>
        <w:t>(gametócitos)</w:t>
      </w:r>
      <w:r w:rsidRPr="0053492E">
        <w:t xml:space="preserve"> após várias meioses no organismo humano. Estas formas (macrogametas – gâmeta masculino, e microgametas – gâmeta feminino) são ingeridas pelo mosquito anopheles fêmea ao sugar o sangue de uma pessoa infectada. No estómago do mosquito as duas formas sexuais (masculino e feminino) se fundem, gerando um </w:t>
      </w:r>
      <w:r w:rsidRPr="0053492E">
        <w:rPr>
          <w:b/>
          <w:i/>
        </w:rPr>
        <w:t>zigoto</w:t>
      </w:r>
      <w:r w:rsidRPr="0053492E">
        <w:t xml:space="preserve">. Este diferencia-se para </w:t>
      </w:r>
      <w:r w:rsidRPr="0053492E">
        <w:rPr>
          <w:b/>
          <w:i/>
        </w:rPr>
        <w:t>oocineto</w:t>
      </w:r>
      <w:r w:rsidRPr="0053492E">
        <w:t xml:space="preserve"> e atravessa a parede do estômago. O oocineto passa para </w:t>
      </w:r>
      <w:r w:rsidRPr="0053492E">
        <w:rPr>
          <w:b/>
          <w:i/>
        </w:rPr>
        <w:t>oocisto</w:t>
      </w:r>
      <w:r w:rsidRPr="0053492E">
        <w:t xml:space="preserve">, que se desenvolve e multiplica em milhares de </w:t>
      </w:r>
      <w:r w:rsidRPr="0053492E">
        <w:rPr>
          <w:b/>
          <w:i/>
        </w:rPr>
        <w:t>esporozoítos</w:t>
      </w:r>
      <w:r w:rsidRPr="0053492E">
        <w:t xml:space="preserve"> até romper, libertando os esporozoítos. Os esporozoítos libertados migram para as glândulas salivares do mosquito, de onde podem ser inoculados no ser humano quando este volta a picar o homem.</w:t>
      </w:r>
    </w:p>
    <w:p w:rsidR="00702601" w:rsidRPr="00702601" w:rsidRDefault="00702601" w:rsidP="00C52E09">
      <w:pPr>
        <w:numPr>
          <w:ilvl w:val="2"/>
          <w:numId w:val="108"/>
        </w:numPr>
        <w:tabs>
          <w:tab w:val="left" w:pos="1080"/>
        </w:tabs>
        <w:spacing w:before="120" w:after="0"/>
        <w:ind w:hanging="360"/>
        <w:jc w:val="both"/>
        <w:rPr>
          <w:rFonts w:cs="Arial"/>
          <w:lang w:val="pt-BR"/>
        </w:rPr>
      </w:pPr>
      <w:r w:rsidRPr="00702601">
        <w:rPr>
          <w:rFonts w:cs="Arial"/>
          <w:lang w:val="pt-BR"/>
        </w:rPr>
        <w:t>Clínica da malária. A infecção humana, decorre com febre geralmente alta, que coincide com os momentos de libertação de parasitas no sangue durante a lise dos eritrócitos. Além da febre, pode haver, dores articulares (artralgias), dores musculares (mialgias), náuseas e vómitos. Se não for tratada, a malária pode evoluir e provocar diferentes complicações, como anemia (devido a destruição maciça dos eritrócitos), malária cerebral, distúrbios gastrointestinais, insuficiência renal e até a morte.</w:t>
      </w:r>
    </w:p>
    <w:p w:rsidR="00702601" w:rsidRPr="0053492E" w:rsidRDefault="00702601" w:rsidP="00C52E09">
      <w:pPr>
        <w:numPr>
          <w:ilvl w:val="2"/>
          <w:numId w:val="108"/>
        </w:numPr>
        <w:tabs>
          <w:tab w:val="left" w:pos="1080"/>
        </w:tabs>
        <w:spacing w:before="120" w:after="0"/>
        <w:ind w:hanging="360"/>
        <w:jc w:val="both"/>
        <w:rPr>
          <w:rFonts w:cs="Arial"/>
          <w:lang w:val="pt-BR"/>
        </w:rPr>
      </w:pPr>
      <w:r w:rsidRPr="0053492E">
        <w:rPr>
          <w:rFonts w:cs="Arial"/>
          <w:lang w:val="pt-BR"/>
        </w:rPr>
        <w:t>Diagnóstico da malária. O diagnóstico da malária faz-se pela observação de parasitas em esfregaços de sangue corados pelo método de Giemsa. A parasitémia (concentração de parasitas no sangue) pode ser estimada pelo número de parasitas observado em cada campo do microscópio.</w:t>
      </w:r>
    </w:p>
    <w:p w:rsidR="00702601" w:rsidRPr="0053492E" w:rsidRDefault="00702601" w:rsidP="00702601">
      <w:pPr>
        <w:spacing w:before="120"/>
        <w:ind w:left="1080"/>
        <w:jc w:val="center"/>
        <w:rPr>
          <w:rFonts w:cs="Arial"/>
          <w:lang w:val="pt-BR"/>
        </w:rPr>
      </w:pPr>
      <w:r>
        <w:rPr>
          <w:rFonts w:cs="Arial"/>
          <w:noProof/>
          <w:lang w:val="en-ZW" w:eastAsia="en-ZW"/>
        </w:rPr>
        <w:drawing>
          <wp:inline distT="0" distB="0" distL="0" distR="0" wp14:anchorId="41BBD0A3" wp14:editId="5D3FC6F1">
            <wp:extent cx="5120640" cy="2059388"/>
            <wp:effectExtent l="0" t="0" r="0" b="0"/>
            <wp:docPr id="135" name="Object 8"/>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676456" cy="3342565"/>
                      <a:chOff x="251520" y="1772816"/>
                      <a:chExt cx="8676456" cy="3342565"/>
                    </a:xfrm>
                  </a:grpSpPr>
                  <a:grpSp>
                    <a:nvGrpSpPr>
                      <a:cNvPr id="6" name="Group 5"/>
                      <a:cNvGrpSpPr/>
                    </a:nvGrpSpPr>
                    <a:grpSpPr>
                      <a:xfrm>
                        <a:off x="251520" y="1772816"/>
                        <a:ext cx="8676456" cy="3342565"/>
                        <a:chOff x="251520" y="1772816"/>
                        <a:chExt cx="8676456" cy="3342565"/>
                      </a:xfrm>
                    </a:grpSpPr>
                    <a:pic>
                      <a:nvPicPr>
                        <a:cNvPr id="40962" name="Picture 2" descr="http://www.udel.edu/medtech/dlehman/medt372/images/P-fal-rg-dl.jpg"/>
                        <a:cNvPicPr>
                          <a:picLocks noChangeAspect="1" noChangeArrowheads="1"/>
                        </a:cNvPicPr>
                      </a:nvPicPr>
                      <a:blipFill>
                        <a:blip r:embed="rId104"/>
                        <a:srcRect/>
                        <a:stretch>
                          <a:fillRect/>
                        </a:stretch>
                      </a:blipFill>
                      <a:spPr bwMode="auto">
                        <a:xfrm>
                          <a:off x="539552" y="1772816"/>
                          <a:ext cx="3816424" cy="3024336"/>
                        </a:xfrm>
                        <a:prstGeom prst="rect">
                          <a:avLst/>
                        </a:prstGeom>
                        <a:noFill/>
                      </a:spPr>
                    </a:pic>
                    <a:sp>
                      <a:nvSpPr>
                        <a:cNvPr id="3" name="Rectangle 2"/>
                        <a:cNvSpPr/>
                      </a:nvSpPr>
                      <a:spPr>
                        <a:xfrm>
                          <a:off x="251520" y="4869160"/>
                          <a:ext cx="4572000" cy="246221"/>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000" dirty="0" smtClean="0"/>
                              <a:t>http://www.udel.edu/medtech/dlehman/medt372/images/P-fal-rg-dl.jpg</a:t>
                            </a:r>
                            <a:endParaRPr lang="en-GB" sz="1000" dirty="0"/>
                          </a:p>
                        </a:txBody>
                        <a:useSpRect/>
                      </a:txSp>
                    </a:sp>
                    <a:pic>
                      <a:nvPicPr>
                        <a:cNvPr id="40964" name="Picture 4" descr="http://bioweb.uwlax.edu/bio203/s2007/augustin_laur/images/Normal.jpg"/>
                        <a:cNvPicPr>
                          <a:picLocks noChangeAspect="1" noChangeArrowheads="1"/>
                        </a:cNvPicPr>
                      </a:nvPicPr>
                      <a:blipFill>
                        <a:blip r:embed="rId105"/>
                        <a:srcRect/>
                        <a:stretch>
                          <a:fillRect/>
                        </a:stretch>
                      </a:blipFill>
                      <a:spPr bwMode="auto">
                        <a:xfrm>
                          <a:off x="4499992" y="1772816"/>
                          <a:ext cx="3333750" cy="3024336"/>
                        </a:xfrm>
                        <a:prstGeom prst="rect">
                          <a:avLst/>
                        </a:prstGeom>
                        <a:noFill/>
                      </a:spPr>
                    </a:pic>
                    <a:sp>
                      <a:nvSpPr>
                        <a:cNvPr id="5" name="Rectangle 4"/>
                        <a:cNvSpPr/>
                      </a:nvSpPr>
                      <a:spPr>
                        <a:xfrm>
                          <a:off x="4355976" y="4869160"/>
                          <a:ext cx="4572000" cy="246221"/>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000" dirty="0" smtClean="0"/>
                              <a:t>http://bioweb.uwlax.edu/bio203/s2007/augustin_laur/images/Normal.jpg</a:t>
                            </a:r>
                            <a:endParaRPr lang="en-GB" sz="1000" dirty="0"/>
                          </a:p>
                        </a:txBody>
                        <a:useSpRect/>
                      </a:txSp>
                    </a:sp>
                  </a:grpSp>
                </lc:lockedCanvas>
              </a:graphicData>
            </a:graphic>
          </wp:inline>
        </w:drawing>
      </w:r>
    </w:p>
    <w:p w:rsidR="00702601" w:rsidRPr="0053492E" w:rsidRDefault="00702601" w:rsidP="00702601">
      <w:pPr>
        <w:spacing w:before="120"/>
        <w:ind w:left="1080"/>
        <w:jc w:val="center"/>
        <w:rPr>
          <w:rFonts w:cs="Arial"/>
          <w:i/>
          <w:lang w:val="pt-BR"/>
        </w:rPr>
      </w:pPr>
      <w:r w:rsidRPr="00774441">
        <w:rPr>
          <w:rFonts w:cs="Arial"/>
          <w:b/>
          <w:lang w:val="pt-BR"/>
        </w:rPr>
        <w:t>Figura 13:</w:t>
      </w:r>
      <w:r w:rsidRPr="0053492E">
        <w:rPr>
          <w:rFonts w:cs="Arial"/>
          <w:lang w:val="pt-BR"/>
        </w:rPr>
        <w:t xml:space="preserve"> Merozoitos do </w:t>
      </w:r>
      <w:r w:rsidRPr="0053492E">
        <w:rPr>
          <w:rFonts w:cs="Arial"/>
          <w:i/>
          <w:lang w:val="pt-BR"/>
        </w:rPr>
        <w:t xml:space="preserve">plasmodium falciparum </w:t>
      </w:r>
      <w:r w:rsidRPr="0053492E">
        <w:rPr>
          <w:rFonts w:cs="Arial"/>
          <w:lang w:val="pt-BR"/>
        </w:rPr>
        <w:t xml:space="preserve">à esquerda (forma de anel); gametócitos de </w:t>
      </w:r>
      <w:r w:rsidRPr="0053492E">
        <w:rPr>
          <w:rFonts w:cs="Arial"/>
          <w:i/>
          <w:lang w:val="pt-BR"/>
        </w:rPr>
        <w:t>p. falciparum à direita (forma de banana)</w:t>
      </w:r>
    </w:p>
    <w:p w:rsidR="00702601" w:rsidRPr="0053492E" w:rsidRDefault="00702601" w:rsidP="00C52E09">
      <w:pPr>
        <w:numPr>
          <w:ilvl w:val="1"/>
          <w:numId w:val="108"/>
        </w:numPr>
        <w:spacing w:before="120" w:after="0"/>
        <w:jc w:val="both"/>
        <w:rPr>
          <w:rFonts w:cs="Arial"/>
          <w:lang w:val="pt-BR"/>
        </w:rPr>
      </w:pPr>
      <w:r w:rsidRPr="0053492E">
        <w:rPr>
          <w:rFonts w:cs="Arial"/>
          <w:i/>
          <w:lang w:val="pt-BR"/>
        </w:rPr>
        <w:t>Toxoplasma gondii.</w:t>
      </w:r>
      <w:r w:rsidRPr="0053492E">
        <w:rPr>
          <w:rFonts w:cs="Arial"/>
          <w:lang w:val="pt-BR"/>
        </w:rPr>
        <w:t xml:space="preserve"> É um protozoário em forma de barco, cujo hospedeiro definitivo é o gato e outros felinos. </w:t>
      </w:r>
    </w:p>
    <w:p w:rsidR="00702601" w:rsidRPr="00702601" w:rsidRDefault="00702601" w:rsidP="00C52E09">
      <w:pPr>
        <w:numPr>
          <w:ilvl w:val="2"/>
          <w:numId w:val="108"/>
        </w:numPr>
        <w:tabs>
          <w:tab w:val="left" w:pos="1080"/>
        </w:tabs>
        <w:spacing w:before="120" w:after="0"/>
        <w:ind w:hanging="270"/>
        <w:jc w:val="both"/>
        <w:rPr>
          <w:rFonts w:cs="Arial"/>
          <w:lang w:val="pt-BR"/>
        </w:rPr>
      </w:pPr>
      <w:r w:rsidRPr="0053492E">
        <w:rPr>
          <w:rFonts w:cs="Arial"/>
          <w:lang w:val="pt-BR"/>
        </w:rPr>
        <w:t>A transmissão faz-se através de fezes de gato; a carne crua ou mal cozida é também uma fonte importante de exposição aos cistos de toxoplasma.</w:t>
      </w:r>
    </w:p>
    <w:p w:rsidR="00702601" w:rsidRPr="00702601" w:rsidRDefault="00702601" w:rsidP="00C52E09">
      <w:pPr>
        <w:numPr>
          <w:ilvl w:val="2"/>
          <w:numId w:val="108"/>
        </w:numPr>
        <w:tabs>
          <w:tab w:val="left" w:pos="1080"/>
        </w:tabs>
        <w:spacing w:before="120" w:after="0"/>
        <w:ind w:hanging="270"/>
        <w:jc w:val="both"/>
        <w:rPr>
          <w:rFonts w:cs="Arial"/>
          <w:lang w:val="pt-BR"/>
        </w:rPr>
      </w:pPr>
      <w:r w:rsidRPr="00702601">
        <w:rPr>
          <w:rFonts w:cs="Arial"/>
          <w:lang w:val="pt-BR"/>
        </w:rPr>
        <w:t>Pode produzir infecção em seres humanos (hospedeiro intermediário), nos quais se multiplica de forma assexuada.</w:t>
      </w:r>
    </w:p>
    <w:p w:rsidR="00702601" w:rsidRPr="0053492E" w:rsidRDefault="00702601" w:rsidP="00C52E09">
      <w:pPr>
        <w:numPr>
          <w:ilvl w:val="2"/>
          <w:numId w:val="108"/>
        </w:numPr>
        <w:tabs>
          <w:tab w:val="left" w:pos="1080"/>
        </w:tabs>
        <w:spacing w:before="120" w:after="0"/>
        <w:ind w:hanging="270"/>
        <w:jc w:val="both"/>
        <w:rPr>
          <w:rFonts w:cs="Arial"/>
          <w:lang w:val="pt-BR"/>
        </w:rPr>
      </w:pPr>
      <w:r w:rsidRPr="0053492E">
        <w:rPr>
          <w:rFonts w:cs="Arial"/>
          <w:lang w:val="pt-BR"/>
        </w:rPr>
        <w:t>O toxoplasma tem tropismo (afinidade) pelas células nervosas, especialmente de cérebro e olho. Nestas células, o T. gondii multiplica-se lentamente, formando cistos.</w:t>
      </w:r>
    </w:p>
    <w:p w:rsidR="00702601" w:rsidRPr="0053492E" w:rsidRDefault="00702601" w:rsidP="00C52E09">
      <w:pPr>
        <w:numPr>
          <w:ilvl w:val="2"/>
          <w:numId w:val="108"/>
        </w:numPr>
        <w:tabs>
          <w:tab w:val="left" w:pos="1080"/>
        </w:tabs>
        <w:spacing w:before="120" w:after="0"/>
        <w:ind w:hanging="270"/>
        <w:jc w:val="both"/>
        <w:rPr>
          <w:rFonts w:cs="Arial"/>
          <w:lang w:val="pt-BR"/>
        </w:rPr>
      </w:pPr>
      <w:r w:rsidRPr="0053492E">
        <w:rPr>
          <w:rFonts w:cs="Arial"/>
          <w:lang w:val="pt-BR"/>
        </w:rPr>
        <w:lastRenderedPageBreak/>
        <w:t>A maior parte das infecções são assintomáticas. Porém, em indivíduos com imunodeficiência podem-se produzir infecções fulminantes e fatais. As apresentações mais frequentes localizam-se na retina, cérebro e pulmões.</w:t>
      </w:r>
    </w:p>
    <w:p w:rsidR="00702601" w:rsidRPr="0053492E" w:rsidRDefault="00702601" w:rsidP="00C52E09">
      <w:pPr>
        <w:numPr>
          <w:ilvl w:val="2"/>
          <w:numId w:val="108"/>
        </w:numPr>
        <w:tabs>
          <w:tab w:val="left" w:pos="1080"/>
        </w:tabs>
        <w:spacing w:before="120" w:after="0"/>
        <w:ind w:hanging="270"/>
        <w:jc w:val="both"/>
        <w:rPr>
          <w:rFonts w:cs="Arial"/>
          <w:lang w:val="pt-BR"/>
        </w:rPr>
      </w:pPr>
      <w:r w:rsidRPr="0053492E">
        <w:rPr>
          <w:rFonts w:cs="Arial"/>
          <w:lang w:val="pt-BR"/>
        </w:rPr>
        <w:t>Porém, a toxoplasmose na mulher grávida costuma ser muito grave, e constitui uma causa importante de cegueira e outros defeitos congénitos. A infecção congénita resulta em nados mortos, afectação da retina, e diversas alterações cerebrais.</w:t>
      </w:r>
    </w:p>
    <w:p w:rsidR="00702601" w:rsidRPr="0053492E" w:rsidRDefault="00702601" w:rsidP="00C52E09">
      <w:pPr>
        <w:numPr>
          <w:ilvl w:val="2"/>
          <w:numId w:val="108"/>
        </w:numPr>
        <w:tabs>
          <w:tab w:val="left" w:pos="1080"/>
        </w:tabs>
        <w:spacing w:before="120" w:after="0"/>
        <w:ind w:hanging="270"/>
        <w:jc w:val="both"/>
        <w:rPr>
          <w:rFonts w:cs="Arial"/>
          <w:lang w:val="pt-BR"/>
        </w:rPr>
      </w:pPr>
      <w:r w:rsidRPr="0053492E">
        <w:rPr>
          <w:rFonts w:cs="Arial"/>
          <w:lang w:val="pt-BR"/>
        </w:rPr>
        <w:t>Os microrganismos podem ser visualizados em amostras de sangue, escarro, médula óssea ou líquido cefalorraquidiao corados pelo método de Giemsa.</w:t>
      </w:r>
    </w:p>
    <w:p w:rsidR="00702601" w:rsidRPr="0053492E" w:rsidRDefault="00702601" w:rsidP="00702601">
      <w:pPr>
        <w:spacing w:before="120"/>
        <w:ind w:left="1080"/>
        <w:jc w:val="center"/>
        <w:rPr>
          <w:rFonts w:cs="Arial"/>
          <w:lang w:val="pt-BR"/>
        </w:rPr>
      </w:pPr>
      <w:r>
        <w:rPr>
          <w:rFonts w:cs="Arial"/>
          <w:noProof/>
          <w:lang w:val="en-ZW" w:eastAsia="en-ZW"/>
        </w:rPr>
        <w:drawing>
          <wp:inline distT="0" distB="0" distL="0" distR="0" wp14:anchorId="72C0018F" wp14:editId="4B08CE60">
            <wp:extent cx="4004310" cy="2385391"/>
            <wp:effectExtent l="19050" t="0" r="0" b="0"/>
            <wp:docPr id="134" name="Object 9"/>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896544" cy="3270557"/>
                      <a:chOff x="1907704" y="1196752"/>
                      <a:chExt cx="4896544" cy="3270557"/>
                    </a:xfrm>
                  </a:grpSpPr>
                  <a:grpSp>
                    <a:nvGrpSpPr>
                      <a:cNvPr id="4" name="Group 3"/>
                      <a:cNvGrpSpPr/>
                    </a:nvGrpSpPr>
                    <a:grpSpPr>
                      <a:xfrm>
                        <a:off x="1907704" y="1196752"/>
                        <a:ext cx="4896544" cy="3270557"/>
                        <a:chOff x="1907704" y="1196752"/>
                        <a:chExt cx="4896544" cy="3270557"/>
                      </a:xfrm>
                    </a:grpSpPr>
                    <a:pic>
                      <a:nvPicPr>
                        <a:cNvPr id="41986" name="Picture 2" descr="http://www.vet.uga.edu/vpp/clerk/addante/fig01.jpg"/>
                        <a:cNvPicPr>
                          <a:picLocks noChangeAspect="1" noChangeArrowheads="1"/>
                        </a:cNvPicPr>
                      </a:nvPicPr>
                      <a:blipFill>
                        <a:blip r:embed="rId106"/>
                        <a:srcRect/>
                        <a:stretch>
                          <a:fillRect/>
                        </a:stretch>
                      </a:blipFill>
                      <a:spPr bwMode="auto">
                        <a:xfrm>
                          <a:off x="1907704" y="1196752"/>
                          <a:ext cx="4896544" cy="3096344"/>
                        </a:xfrm>
                        <a:prstGeom prst="rect">
                          <a:avLst/>
                        </a:prstGeom>
                        <a:noFill/>
                      </a:spPr>
                    </a:pic>
                    <a:sp>
                      <a:nvSpPr>
                        <a:cNvPr id="3" name="Rectangle 2"/>
                        <a:cNvSpPr/>
                      </a:nvSpPr>
                      <a:spPr>
                        <a:xfrm>
                          <a:off x="2051720" y="4221088"/>
                          <a:ext cx="4572000" cy="246221"/>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000" dirty="0" smtClean="0"/>
                              <a:t>http://www.vet.uga.edu/vpp/clerk/addante/fig01.jpg</a:t>
                            </a:r>
                            <a:endParaRPr lang="en-GB" sz="1000" dirty="0"/>
                          </a:p>
                        </a:txBody>
                        <a:useSpRect/>
                      </a:txSp>
                    </a:sp>
                  </a:grpSp>
                </lc:lockedCanvas>
              </a:graphicData>
            </a:graphic>
          </wp:inline>
        </w:drawing>
      </w:r>
    </w:p>
    <w:p w:rsidR="00702601" w:rsidRPr="0053492E" w:rsidRDefault="00702601" w:rsidP="00702601">
      <w:pPr>
        <w:spacing w:before="120"/>
        <w:ind w:left="1080"/>
        <w:jc w:val="center"/>
        <w:rPr>
          <w:rFonts w:cs="Arial"/>
          <w:i/>
          <w:lang w:val="pt-BR"/>
        </w:rPr>
      </w:pPr>
      <w:r w:rsidRPr="00774441">
        <w:rPr>
          <w:rFonts w:cs="Arial"/>
          <w:b/>
          <w:lang w:val="pt-BR"/>
        </w:rPr>
        <w:t>Figura 14:</w:t>
      </w:r>
      <w:r w:rsidRPr="0053492E">
        <w:rPr>
          <w:rFonts w:cs="Arial"/>
          <w:lang w:val="pt-BR"/>
        </w:rPr>
        <w:t xml:space="preserve"> Cistos de </w:t>
      </w:r>
      <w:r w:rsidRPr="0053492E">
        <w:rPr>
          <w:rFonts w:cs="Arial"/>
          <w:i/>
          <w:lang w:val="pt-BR"/>
        </w:rPr>
        <w:t>Toxoplasma gondii</w:t>
      </w:r>
    </w:p>
    <w:p w:rsidR="00702601" w:rsidRPr="0053492E" w:rsidRDefault="00702601" w:rsidP="00C52E09">
      <w:pPr>
        <w:numPr>
          <w:ilvl w:val="1"/>
          <w:numId w:val="108"/>
        </w:numPr>
        <w:spacing w:before="120" w:after="0"/>
        <w:jc w:val="both"/>
        <w:rPr>
          <w:rFonts w:cs="Arial"/>
          <w:lang w:val="pt-BR"/>
        </w:rPr>
      </w:pPr>
      <w:r w:rsidRPr="0053492E">
        <w:rPr>
          <w:rFonts w:cs="Arial"/>
          <w:lang w:val="pt-BR"/>
        </w:rPr>
        <w:t xml:space="preserve">Trypanossomas. Flagelados que se encontram no sangue de mamíferos. Em Moçambique, a forma encontrada é o </w:t>
      </w:r>
      <w:r w:rsidRPr="0039105A">
        <w:rPr>
          <w:rFonts w:cs="Arial"/>
          <w:i/>
          <w:lang w:val="pt-BR"/>
        </w:rPr>
        <w:t>Trypanosoma brucei rhodesiense</w:t>
      </w:r>
      <w:r w:rsidRPr="0053492E">
        <w:rPr>
          <w:rFonts w:cs="Arial"/>
          <w:lang w:val="pt-BR"/>
        </w:rPr>
        <w:t>.</w:t>
      </w:r>
    </w:p>
    <w:p w:rsidR="00702601" w:rsidRPr="0053492E" w:rsidRDefault="00702601" w:rsidP="00C52E09">
      <w:pPr>
        <w:numPr>
          <w:ilvl w:val="2"/>
          <w:numId w:val="108"/>
        </w:numPr>
        <w:tabs>
          <w:tab w:val="left" w:pos="1170"/>
          <w:tab w:val="left" w:pos="1260"/>
        </w:tabs>
        <w:spacing w:before="120" w:after="0"/>
        <w:ind w:hanging="270"/>
        <w:jc w:val="both"/>
        <w:rPr>
          <w:rFonts w:cs="Arial"/>
          <w:lang w:val="pt-BR"/>
        </w:rPr>
      </w:pPr>
      <w:r w:rsidRPr="0053492E">
        <w:rPr>
          <w:rFonts w:cs="Arial"/>
          <w:lang w:val="pt-BR"/>
        </w:rPr>
        <w:t>A infecção ocorre pela  picada da mosca tsé-tsé (vector).</w:t>
      </w:r>
    </w:p>
    <w:p w:rsidR="00702601" w:rsidRPr="0053492E" w:rsidRDefault="00702601" w:rsidP="00C52E09">
      <w:pPr>
        <w:numPr>
          <w:ilvl w:val="2"/>
          <w:numId w:val="108"/>
        </w:numPr>
        <w:tabs>
          <w:tab w:val="left" w:pos="1170"/>
        </w:tabs>
        <w:spacing w:before="120" w:after="0"/>
        <w:ind w:hanging="270"/>
        <w:jc w:val="both"/>
        <w:rPr>
          <w:rFonts w:cs="Arial"/>
          <w:lang w:val="pt-BR"/>
        </w:rPr>
      </w:pPr>
      <w:r w:rsidRPr="0053492E">
        <w:rPr>
          <w:rFonts w:cs="Arial"/>
          <w:lang w:val="pt-BR"/>
        </w:rPr>
        <w:t>Os parasitas invadem  o sangue e posteriormente o sistema nervoso central, onde produzem a síndrome típica da doença do sono: cansaço, incapacidade para se alimentar, sonolência diurna, inconsciência e morte.</w:t>
      </w:r>
    </w:p>
    <w:p w:rsidR="00702601" w:rsidRPr="0053492E" w:rsidRDefault="00702601" w:rsidP="00C52E09">
      <w:pPr>
        <w:numPr>
          <w:ilvl w:val="2"/>
          <w:numId w:val="108"/>
        </w:numPr>
        <w:tabs>
          <w:tab w:val="left" w:pos="1170"/>
        </w:tabs>
        <w:spacing w:before="120" w:after="0"/>
        <w:ind w:hanging="270"/>
        <w:jc w:val="both"/>
        <w:rPr>
          <w:rFonts w:cs="Arial"/>
          <w:lang w:val="pt-BR"/>
        </w:rPr>
      </w:pPr>
      <w:r w:rsidRPr="0053492E">
        <w:rPr>
          <w:rFonts w:cs="Arial"/>
          <w:lang w:val="pt-BR"/>
        </w:rPr>
        <w:t>Os tripanossomas podem ser visualizados ao microscópio em esfregaços de sangue corados pelo método de Giemsa.</w:t>
      </w:r>
    </w:p>
    <w:p w:rsidR="00702601" w:rsidRPr="0053492E" w:rsidRDefault="00702601" w:rsidP="00702601">
      <w:pPr>
        <w:spacing w:before="120"/>
        <w:ind w:left="1080"/>
        <w:jc w:val="center"/>
        <w:rPr>
          <w:rFonts w:cs="Arial"/>
          <w:color w:val="FF0000"/>
        </w:rPr>
      </w:pPr>
      <w:r>
        <w:rPr>
          <w:rFonts w:cs="Arial"/>
          <w:noProof/>
          <w:color w:val="FF0000"/>
          <w:lang w:val="en-ZW" w:eastAsia="en-ZW"/>
        </w:rPr>
        <w:drawing>
          <wp:inline distT="0" distB="0" distL="0" distR="0" wp14:anchorId="2BE20348" wp14:editId="18A4A2CC">
            <wp:extent cx="3702160" cy="2600076"/>
            <wp:effectExtent l="19050" t="0" r="0" b="0"/>
            <wp:docPr id="131" name="Object 1"/>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667500" cy="5410200"/>
                      <a:chOff x="1143000" y="1143000"/>
                      <a:chExt cx="6667500" cy="5410200"/>
                    </a:xfrm>
                  </a:grpSpPr>
                  <a:sp>
                    <a:nvSpPr>
                      <a:cNvPr id="3" name="Subtitle 2"/>
                      <a:cNvSpPr>
                        <a:spLocks noGrp="1"/>
                      </a:cNvSpPr>
                    </a:nvSpPr>
                    <a:spPr>
                      <a:xfrm>
                        <a:off x="1371600" y="6019800"/>
                        <a:ext cx="6400800" cy="533400"/>
                      </a:xfrm>
                      <a:prstGeom prst="rect">
                        <a:avLst/>
                      </a:prstGeom>
                    </a:spPr>
                    <a:txSp>
                      <a:txBody>
                        <a:bodyPr vert="horz" lIns="91440" tIns="45720" rIns="91440" bIns="45720" rtlCol="0">
                          <a:normAutofit/>
                        </a:bodyPr>
                        <a:lstStyle>
                          <a:lvl1pPr marL="0" indent="0" algn="ctr" defTabSz="914400" rtl="0" eaLnBrk="1" latinLnBrk="0" hangingPunct="1">
                            <a:spcBef>
                              <a:spcPct val="20000"/>
                            </a:spcBef>
                            <a:buFont typeface="Arial" pitchFamily="34" charset="0"/>
                            <a:buNone/>
                            <a:defRPr sz="3200" kern="1200">
                              <a:solidFill>
                                <a:schemeClr val="tx1">
                                  <a:tint val="75000"/>
                                </a:schemeClr>
                              </a:solidFill>
                              <a:latin typeface="+mn-lt"/>
                              <a:ea typeface="+mn-ea"/>
                              <a:cs typeface="+mn-cs"/>
                            </a:defRPr>
                          </a:lvl1pPr>
                          <a:lvl2pPr marL="457200" indent="0" algn="ctr" defTabSz="914400" rtl="0" eaLnBrk="1" latinLnBrk="0" hangingPunct="1">
                            <a:spcBef>
                              <a:spcPct val="20000"/>
                            </a:spcBef>
                            <a:buFont typeface="Arial" pitchFamily="34" charset="0"/>
                            <a:buNone/>
                            <a:defRPr sz="2800" kern="1200">
                              <a:solidFill>
                                <a:schemeClr val="tx1">
                                  <a:tint val="75000"/>
                                </a:schemeClr>
                              </a:solidFill>
                              <a:latin typeface="+mn-lt"/>
                              <a:ea typeface="+mn-ea"/>
                              <a:cs typeface="+mn-cs"/>
                            </a:defRPr>
                          </a:lvl2pPr>
                          <a:lvl3pPr marL="914400" indent="0" algn="ctr" defTabSz="914400" rtl="0" eaLnBrk="1" latinLnBrk="0" hangingPunct="1">
                            <a:spcBef>
                              <a:spcPct val="20000"/>
                            </a:spcBef>
                            <a:buFont typeface="Arial" pitchFamily="34" charset="0"/>
                            <a:buNone/>
                            <a:defRPr sz="2400" kern="1200">
                              <a:solidFill>
                                <a:schemeClr val="tx1">
                                  <a:tint val="75000"/>
                                </a:schemeClr>
                              </a:solidFill>
                              <a:latin typeface="+mn-lt"/>
                              <a:ea typeface="+mn-ea"/>
                              <a:cs typeface="+mn-cs"/>
                            </a:defRPr>
                          </a:lvl3pPr>
                          <a:lvl4pPr marL="1371600" indent="0" algn="ctr" defTabSz="914400" rtl="0" eaLnBrk="1" latinLnBrk="0" hangingPunct="1">
                            <a:spcBef>
                              <a:spcPct val="20000"/>
                            </a:spcBef>
                            <a:buFont typeface="Arial" pitchFamily="34" charset="0"/>
                            <a:buNone/>
                            <a:defRPr sz="2000" kern="1200">
                              <a:solidFill>
                                <a:schemeClr val="tx1">
                                  <a:tint val="75000"/>
                                </a:schemeClr>
                              </a:solidFill>
                              <a:latin typeface="+mn-lt"/>
                              <a:ea typeface="+mn-ea"/>
                              <a:cs typeface="+mn-cs"/>
                            </a:defRPr>
                          </a:lvl4pPr>
                          <a:lvl5pPr marL="1828800" indent="0" algn="ctr" defTabSz="914400" rtl="0" eaLnBrk="1" latinLnBrk="0" hangingPunct="1">
                            <a:spcBef>
                              <a:spcPct val="20000"/>
                            </a:spcBef>
                            <a:buFont typeface="Arial" pitchFamily="34" charset="0"/>
                            <a:buNone/>
                            <a:defRPr sz="2000" kern="1200">
                              <a:solidFill>
                                <a:schemeClr val="tx1">
                                  <a:tint val="75000"/>
                                </a:schemeClr>
                              </a:solidFill>
                              <a:latin typeface="+mn-lt"/>
                              <a:ea typeface="+mn-ea"/>
                              <a:cs typeface="+mn-cs"/>
                            </a:defRPr>
                          </a:lvl5pPr>
                          <a:lvl6pPr marL="2286000" indent="0" algn="ctr" defTabSz="914400" rtl="0" eaLnBrk="1" latinLnBrk="0" hangingPunct="1">
                            <a:spcBef>
                              <a:spcPct val="20000"/>
                            </a:spcBef>
                            <a:buFont typeface="Arial" pitchFamily="34" charset="0"/>
                            <a:buNone/>
                            <a:defRPr sz="2000" kern="1200">
                              <a:solidFill>
                                <a:schemeClr val="tx1">
                                  <a:tint val="75000"/>
                                </a:schemeClr>
                              </a:solidFill>
                              <a:latin typeface="+mn-lt"/>
                              <a:ea typeface="+mn-ea"/>
                              <a:cs typeface="+mn-cs"/>
                            </a:defRPr>
                          </a:lvl6pPr>
                          <a:lvl7pPr marL="2743200" indent="0" algn="ctr" defTabSz="914400" rtl="0" eaLnBrk="1" latinLnBrk="0" hangingPunct="1">
                            <a:spcBef>
                              <a:spcPct val="20000"/>
                            </a:spcBef>
                            <a:buFont typeface="Arial" pitchFamily="34" charset="0"/>
                            <a:buNone/>
                            <a:defRPr sz="2000" kern="1200">
                              <a:solidFill>
                                <a:schemeClr val="tx1">
                                  <a:tint val="75000"/>
                                </a:schemeClr>
                              </a:solidFill>
                              <a:latin typeface="+mn-lt"/>
                              <a:ea typeface="+mn-ea"/>
                              <a:cs typeface="+mn-cs"/>
                            </a:defRPr>
                          </a:lvl7pPr>
                          <a:lvl8pPr marL="3200400" indent="0" algn="ctr" defTabSz="914400" rtl="0" eaLnBrk="1" latinLnBrk="0" hangingPunct="1">
                            <a:spcBef>
                              <a:spcPct val="20000"/>
                            </a:spcBef>
                            <a:buFont typeface="Arial" pitchFamily="34" charset="0"/>
                            <a:buNone/>
                            <a:defRPr sz="2000" kern="1200">
                              <a:solidFill>
                                <a:schemeClr val="tx1">
                                  <a:tint val="75000"/>
                                </a:schemeClr>
                              </a:solidFill>
                              <a:latin typeface="+mn-lt"/>
                              <a:ea typeface="+mn-ea"/>
                              <a:cs typeface="+mn-cs"/>
                            </a:defRPr>
                          </a:lvl8pPr>
                          <a:lvl9pPr marL="3657600" indent="0" algn="ctr" defTabSz="914400" rtl="0" eaLnBrk="1" latinLnBrk="0" hangingPunct="1">
                            <a:spcBef>
                              <a:spcPct val="20000"/>
                            </a:spcBef>
                            <a:buFont typeface="Arial" pitchFamily="34" charset="0"/>
                            <a:buNone/>
                            <a:defRPr sz="2000" kern="1200">
                              <a:solidFill>
                                <a:schemeClr val="tx1">
                                  <a:tint val="75000"/>
                                </a:schemeClr>
                              </a:solidFill>
                              <a:latin typeface="+mn-lt"/>
                              <a:ea typeface="+mn-ea"/>
                              <a:cs typeface="+mn-cs"/>
                            </a:defRPr>
                          </a:lvl9pPr>
                        </a:lstStyle>
                        <a:p>
                          <a:r>
                            <a:rPr lang="en-US" sz="1200" dirty="0" err="1" smtClean="0">
                              <a:solidFill>
                                <a:schemeClr val="tx1"/>
                              </a:solidFill>
                            </a:rPr>
                            <a:t>Fonte</a:t>
                          </a:r>
                          <a:r>
                            <a:rPr lang="en-US" sz="1200" dirty="0" smtClean="0">
                              <a:solidFill>
                                <a:schemeClr val="tx1"/>
                              </a:solidFill>
                            </a:rPr>
                            <a:t>: Wikipedia</a:t>
                          </a:r>
                        </a:p>
                        <a:p>
                          <a:r>
                            <a:rPr lang="en-US" sz="1200" dirty="0" smtClean="0">
                              <a:solidFill>
                                <a:schemeClr val="tx1"/>
                              </a:solidFill>
                              <a:hlinkClick r:id="rId107"/>
                            </a:rPr>
                            <a:t>http://en.wikipedia.org/wiki/File:Trypanosoma_sp._PHIL_613_lores.jpg</a:t>
                          </a:r>
                          <a:r>
                            <a:rPr lang="en-US" sz="1200" dirty="0" smtClean="0">
                              <a:solidFill>
                                <a:schemeClr val="tx1"/>
                              </a:solidFill>
                            </a:rPr>
                            <a:t> </a:t>
                          </a:r>
                          <a:endParaRPr lang="en-US" sz="1200" dirty="0">
                            <a:solidFill>
                              <a:schemeClr val="tx1"/>
                            </a:solidFill>
                          </a:endParaRPr>
                        </a:p>
                      </a:txBody>
                      <a:useSpRect/>
                    </a:txSp>
                  </a:sp>
                  <a:pic>
                    <a:nvPicPr>
                      <a:cNvPr id="1026" name="Picture 2" descr="File:Trypanosoma sp. PHIL 613 lores.jpg"/>
                      <a:cNvPicPr>
                        <a:picLocks noChangeAspect="1" noChangeArrowheads="1"/>
                      </a:cNvPicPr>
                    </a:nvPicPr>
                    <a:blipFill>
                      <a:blip r:embed="rId108"/>
                      <a:srcRect/>
                      <a:stretch>
                        <a:fillRect/>
                      </a:stretch>
                    </a:blipFill>
                    <a:spPr bwMode="auto">
                      <a:xfrm>
                        <a:off x="1143000" y="1143000"/>
                        <a:ext cx="6667500" cy="4724401"/>
                      </a:xfrm>
                      <a:prstGeom prst="rect">
                        <a:avLst/>
                      </a:prstGeom>
                      <a:noFill/>
                    </a:spPr>
                  </a:pic>
                </lc:lockedCanvas>
              </a:graphicData>
            </a:graphic>
          </wp:inline>
        </w:drawing>
      </w:r>
    </w:p>
    <w:p w:rsidR="00702601" w:rsidRDefault="00702601" w:rsidP="00702601">
      <w:pPr>
        <w:spacing w:before="120"/>
        <w:ind w:left="1080"/>
        <w:jc w:val="center"/>
        <w:rPr>
          <w:rFonts w:cs="Arial"/>
          <w:i/>
          <w:lang w:val="pt-BR"/>
        </w:rPr>
      </w:pPr>
      <w:r w:rsidRPr="00774441">
        <w:rPr>
          <w:rFonts w:cs="Arial"/>
          <w:b/>
          <w:lang w:val="pt-BR"/>
        </w:rPr>
        <w:t>Figura 15:</w:t>
      </w:r>
      <w:r w:rsidRPr="00702601">
        <w:rPr>
          <w:rFonts w:cs="Arial"/>
          <w:i/>
          <w:lang w:val="pt-BR"/>
        </w:rPr>
        <w:t xml:space="preserve"> </w:t>
      </w:r>
      <w:r w:rsidRPr="00774441">
        <w:rPr>
          <w:rFonts w:cs="Arial"/>
          <w:lang w:val="pt-BR"/>
        </w:rPr>
        <w:t>Trypanosomas no sangue</w:t>
      </w:r>
    </w:p>
    <w:p w:rsidR="001A0DDE" w:rsidRPr="00702601" w:rsidRDefault="001A0DDE" w:rsidP="001A0DDE">
      <w:pPr>
        <w:shd w:val="clear" w:color="auto" w:fill="B8CCE4"/>
        <w:tabs>
          <w:tab w:val="left" w:pos="1276"/>
          <w:tab w:val="right" w:pos="8550"/>
        </w:tabs>
        <w:spacing w:before="120" w:after="120"/>
        <w:ind w:right="2"/>
        <w:jc w:val="both"/>
        <w:rPr>
          <w:rFonts w:cs="Arial"/>
          <w:b/>
          <w:lang w:val="pt-BR"/>
        </w:rPr>
      </w:pPr>
      <w:r w:rsidRPr="00702601">
        <w:rPr>
          <w:rFonts w:cs="Arial"/>
          <w:b/>
          <w:lang w:val="pt-BR"/>
        </w:rPr>
        <w:lastRenderedPageBreak/>
        <w:t>BLOCO 7: PONTOS-CHAVE</w:t>
      </w:r>
    </w:p>
    <w:p w:rsidR="001A0DDE" w:rsidRPr="0053492E" w:rsidRDefault="001A0DDE" w:rsidP="00C52E09">
      <w:pPr>
        <w:pStyle w:val="TM-4n"/>
        <w:numPr>
          <w:ilvl w:val="1"/>
          <w:numId w:val="109"/>
        </w:numPr>
        <w:tabs>
          <w:tab w:val="clear" w:pos="1134"/>
        </w:tabs>
        <w:spacing w:before="120" w:after="0" w:line="276" w:lineRule="auto"/>
      </w:pPr>
      <w:r w:rsidRPr="0053492E">
        <w:t>O parasitismo é uma relação de associação entre seres vivos que beneficia uma das partes (o parasita), e geralmente  prejudica a outra (hospedeiro) – unilateralidade de benefícios.</w:t>
      </w:r>
    </w:p>
    <w:p w:rsidR="001A0DDE" w:rsidRPr="0053492E" w:rsidRDefault="001A0DDE" w:rsidP="00C52E09">
      <w:pPr>
        <w:pStyle w:val="TM-4n"/>
        <w:numPr>
          <w:ilvl w:val="1"/>
          <w:numId w:val="109"/>
        </w:numPr>
        <w:tabs>
          <w:tab w:val="clear" w:pos="1134"/>
        </w:tabs>
        <w:spacing w:before="120" w:after="0" w:line="276" w:lineRule="auto"/>
      </w:pPr>
      <w:r w:rsidRPr="0053492E">
        <w:t>Os parasitas podem ser ectoparasitas (vivem na superfície do corpo) ou endoparasitas (vivem no interior do corpo)</w:t>
      </w:r>
    </w:p>
    <w:p w:rsidR="001A0DDE" w:rsidRPr="0053492E" w:rsidRDefault="001A0DDE" w:rsidP="00C52E09">
      <w:pPr>
        <w:pStyle w:val="TM-4n"/>
        <w:numPr>
          <w:ilvl w:val="1"/>
          <w:numId w:val="109"/>
        </w:numPr>
        <w:tabs>
          <w:tab w:val="clear" w:pos="1134"/>
        </w:tabs>
        <w:spacing w:before="120" w:after="0" w:line="276" w:lineRule="auto"/>
      </w:pPr>
      <w:r w:rsidRPr="0053492E">
        <w:t>Os parasitas podem ser agrupados em: protozoários, helmintos e artrópodes</w:t>
      </w:r>
    </w:p>
    <w:p w:rsidR="001A0DDE" w:rsidRPr="0053492E" w:rsidRDefault="001A0DDE" w:rsidP="00C52E09">
      <w:pPr>
        <w:pStyle w:val="TM-4n"/>
        <w:numPr>
          <w:ilvl w:val="1"/>
          <w:numId w:val="109"/>
        </w:numPr>
        <w:tabs>
          <w:tab w:val="clear" w:pos="1134"/>
        </w:tabs>
        <w:spacing w:before="120" w:after="0" w:line="276" w:lineRule="auto"/>
      </w:pPr>
      <w:r w:rsidRPr="0053492E">
        <w:t>A transmissão dos parasitas se faz geralmente pela via feco-oral (ingestão) ou por penetração directa.</w:t>
      </w:r>
    </w:p>
    <w:p w:rsidR="001A0DDE" w:rsidRPr="0053492E" w:rsidRDefault="001A0DDE" w:rsidP="00C52E09">
      <w:pPr>
        <w:pStyle w:val="TM-4n"/>
        <w:numPr>
          <w:ilvl w:val="1"/>
          <w:numId w:val="109"/>
        </w:numPr>
        <w:tabs>
          <w:tab w:val="clear" w:pos="1134"/>
        </w:tabs>
        <w:spacing w:before="120" w:after="0" w:line="276" w:lineRule="auto"/>
      </w:pPr>
      <w:r w:rsidRPr="0053492E">
        <w:t xml:space="preserve">Os protozoários podem ser intestinais, genitourinários e sistémicos. </w:t>
      </w:r>
    </w:p>
    <w:p w:rsidR="001A0DDE" w:rsidRPr="0053492E" w:rsidRDefault="001A0DDE" w:rsidP="00C52E09">
      <w:pPr>
        <w:pStyle w:val="TM-4n"/>
        <w:numPr>
          <w:ilvl w:val="1"/>
          <w:numId w:val="109"/>
        </w:numPr>
        <w:tabs>
          <w:tab w:val="clear" w:pos="1134"/>
        </w:tabs>
        <w:spacing w:before="120" w:after="0" w:line="276" w:lineRule="auto"/>
      </w:pPr>
      <w:r w:rsidRPr="0053492E">
        <w:t xml:space="preserve">O </w:t>
      </w:r>
      <w:r w:rsidRPr="0053492E">
        <w:rPr>
          <w:i/>
        </w:rPr>
        <w:t xml:space="preserve">Plasmodium spp, </w:t>
      </w:r>
      <w:r w:rsidRPr="0053492E">
        <w:t>são protozoários sistémicos transmitidos pelo mosquito fêmea anopheles (o vector e hospedeiro definitivo) e tem como hospedeiro intermediário o homem  (onde realiza a reprodução assexuada) e causa doença clínica.</w:t>
      </w:r>
    </w:p>
    <w:p w:rsidR="001A0DDE" w:rsidRDefault="001A0DDE" w:rsidP="001A0DDE">
      <w:pPr>
        <w:rPr>
          <w:rFonts w:cs="Arial"/>
          <w:b/>
          <w:bCs/>
          <w:lang w:val="pt-BR"/>
        </w:rPr>
      </w:pPr>
      <w:r>
        <w:rPr>
          <w:rFonts w:cs="Arial"/>
          <w:b/>
          <w:bCs/>
          <w:lang w:val="pt-BR"/>
        </w:rPr>
        <w:br w:type="page"/>
      </w:r>
    </w:p>
    <w:tbl>
      <w:tblPr>
        <w:tblW w:w="10150" w:type="dxa"/>
        <w:tblLayout w:type="fixed"/>
        <w:tblCellMar>
          <w:left w:w="70" w:type="dxa"/>
          <w:right w:w="70" w:type="dxa"/>
        </w:tblCellMar>
        <w:tblLook w:val="0020" w:firstRow="1" w:lastRow="0" w:firstColumn="0" w:lastColumn="0" w:noHBand="0" w:noVBand="0"/>
      </w:tblPr>
      <w:tblGrid>
        <w:gridCol w:w="1418"/>
        <w:gridCol w:w="5312"/>
        <w:gridCol w:w="1800"/>
        <w:gridCol w:w="1620"/>
      </w:tblGrid>
      <w:tr w:rsidR="00702601" w:rsidRPr="00764C98" w:rsidTr="00702601">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702601" w:rsidRPr="00764C98" w:rsidRDefault="00702601" w:rsidP="00702601">
            <w:pPr>
              <w:spacing w:line="240" w:lineRule="auto"/>
              <w:rPr>
                <w:rFonts w:eastAsia="Calibri" w:cs="Arial"/>
                <w:b/>
              </w:rPr>
            </w:pPr>
            <w:r w:rsidRPr="00764C98">
              <w:rPr>
                <w:rFonts w:eastAsia="Calibri" w:cs="Arial"/>
                <w:b/>
              </w:rPr>
              <w:lastRenderedPageBreak/>
              <w:t>Disciplina</w:t>
            </w:r>
          </w:p>
        </w:tc>
        <w:tc>
          <w:tcPr>
            <w:tcW w:w="5312" w:type="dxa"/>
            <w:tcBorders>
              <w:top w:val="single" w:sz="6" w:space="0" w:color="000000"/>
              <w:left w:val="single" w:sz="6" w:space="0" w:color="000000"/>
              <w:bottom w:val="single" w:sz="6" w:space="0" w:color="000000"/>
              <w:right w:val="single" w:sz="6" w:space="0" w:color="000000"/>
            </w:tcBorders>
            <w:vAlign w:val="center"/>
          </w:tcPr>
          <w:p w:rsidR="00702601" w:rsidRPr="00764C98" w:rsidRDefault="00702601" w:rsidP="00702601">
            <w:pPr>
              <w:spacing w:line="240" w:lineRule="auto"/>
              <w:rPr>
                <w:rFonts w:eastAsia="Calibri" w:cs="Arial"/>
              </w:rPr>
            </w:pPr>
            <w:r w:rsidRPr="00764C98">
              <w:rPr>
                <w:rFonts w:eastAsia="Calibri" w:cs="Arial"/>
              </w:rPr>
              <w:t>Introdução às Ciências Médicas</w:t>
            </w:r>
          </w:p>
        </w:tc>
        <w:tc>
          <w:tcPr>
            <w:tcW w:w="1800" w:type="dxa"/>
            <w:tcBorders>
              <w:top w:val="single" w:sz="6" w:space="0" w:color="000000"/>
              <w:left w:val="single" w:sz="6" w:space="0" w:color="000000"/>
              <w:bottom w:val="single" w:sz="6" w:space="0" w:color="000000"/>
              <w:right w:val="single" w:sz="6" w:space="0" w:color="000000"/>
            </w:tcBorders>
            <w:vAlign w:val="center"/>
          </w:tcPr>
          <w:p w:rsidR="00702601" w:rsidRPr="00764C98" w:rsidRDefault="00702601" w:rsidP="00702601">
            <w:pPr>
              <w:spacing w:line="240" w:lineRule="auto"/>
              <w:rPr>
                <w:rFonts w:eastAsia="Calibri" w:cs="Arial"/>
                <w:b/>
              </w:rPr>
            </w:pPr>
            <w:r w:rsidRPr="00764C98">
              <w:rPr>
                <w:rFonts w:eastAsia="Calibri" w:cs="Arial"/>
                <w:b/>
              </w:rPr>
              <w:t xml:space="preserve">N° da Aula </w:t>
            </w:r>
          </w:p>
        </w:tc>
        <w:tc>
          <w:tcPr>
            <w:tcW w:w="1620" w:type="dxa"/>
            <w:tcBorders>
              <w:top w:val="single" w:sz="6" w:space="0" w:color="000000"/>
              <w:left w:val="single" w:sz="6" w:space="0" w:color="000000"/>
              <w:bottom w:val="single" w:sz="6" w:space="0" w:color="000000"/>
              <w:right w:val="single" w:sz="6" w:space="0" w:color="000000"/>
            </w:tcBorders>
            <w:vAlign w:val="center"/>
          </w:tcPr>
          <w:p w:rsidR="00702601" w:rsidRPr="00D648E9" w:rsidRDefault="00702601" w:rsidP="00702601">
            <w:pPr>
              <w:spacing w:line="240" w:lineRule="auto"/>
              <w:jc w:val="center"/>
              <w:rPr>
                <w:rFonts w:eastAsia="Calibri" w:cs="Arial"/>
              </w:rPr>
            </w:pPr>
            <w:r w:rsidRPr="00D648E9">
              <w:rPr>
                <w:rFonts w:eastAsia="Calibri" w:cs="Arial"/>
              </w:rPr>
              <w:t>13</w:t>
            </w:r>
          </w:p>
        </w:tc>
      </w:tr>
      <w:tr w:rsidR="00702601" w:rsidRPr="00764C98" w:rsidTr="00702601">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702601" w:rsidRPr="00764C98" w:rsidRDefault="00702601" w:rsidP="00702601">
            <w:pPr>
              <w:spacing w:line="240" w:lineRule="auto"/>
              <w:rPr>
                <w:rFonts w:eastAsia="Calibri" w:cs="Arial"/>
                <w:b/>
              </w:rPr>
            </w:pPr>
            <w:r w:rsidRPr="00764C98">
              <w:rPr>
                <w:rFonts w:eastAsia="Calibri" w:cs="Arial"/>
                <w:b/>
              </w:rPr>
              <w:t>Tópico</w:t>
            </w:r>
          </w:p>
        </w:tc>
        <w:tc>
          <w:tcPr>
            <w:tcW w:w="5312" w:type="dxa"/>
            <w:tcBorders>
              <w:top w:val="single" w:sz="6" w:space="0" w:color="000000"/>
              <w:left w:val="single" w:sz="6" w:space="0" w:color="000000"/>
              <w:bottom w:val="single" w:sz="6" w:space="0" w:color="000000"/>
              <w:right w:val="single" w:sz="6" w:space="0" w:color="000000"/>
            </w:tcBorders>
            <w:vAlign w:val="center"/>
          </w:tcPr>
          <w:p w:rsidR="00702601" w:rsidRPr="00764C98" w:rsidRDefault="00702601" w:rsidP="00702601">
            <w:pPr>
              <w:spacing w:line="240" w:lineRule="auto"/>
              <w:rPr>
                <w:rFonts w:eastAsia="Calibri" w:cs="Arial"/>
              </w:rPr>
            </w:pPr>
            <w:r w:rsidRPr="00764C98">
              <w:rPr>
                <w:rFonts w:eastAsia="Calibri" w:cs="Arial"/>
              </w:rPr>
              <w:t>Parasitologia</w:t>
            </w:r>
          </w:p>
        </w:tc>
        <w:tc>
          <w:tcPr>
            <w:tcW w:w="1800" w:type="dxa"/>
            <w:tcBorders>
              <w:top w:val="single" w:sz="6" w:space="0" w:color="000000"/>
              <w:left w:val="single" w:sz="6" w:space="0" w:color="000000"/>
              <w:bottom w:val="single" w:sz="6" w:space="0" w:color="000000"/>
              <w:right w:val="single" w:sz="6" w:space="0" w:color="000000"/>
            </w:tcBorders>
            <w:vAlign w:val="center"/>
          </w:tcPr>
          <w:p w:rsidR="00702601" w:rsidRPr="00764C98" w:rsidRDefault="00702601" w:rsidP="00702601">
            <w:pPr>
              <w:spacing w:line="240" w:lineRule="auto"/>
              <w:rPr>
                <w:rFonts w:eastAsia="Calibri" w:cs="Arial"/>
                <w:b/>
              </w:rPr>
            </w:pPr>
            <w:r w:rsidRPr="00764C98">
              <w:rPr>
                <w:rFonts w:eastAsia="Calibri" w:cs="Arial"/>
                <w:b/>
              </w:rPr>
              <w:t xml:space="preserve">Tipo </w:t>
            </w:r>
          </w:p>
        </w:tc>
        <w:tc>
          <w:tcPr>
            <w:tcW w:w="1620" w:type="dxa"/>
            <w:tcBorders>
              <w:top w:val="single" w:sz="6" w:space="0" w:color="000000"/>
              <w:left w:val="single" w:sz="6" w:space="0" w:color="000000"/>
              <w:bottom w:val="single" w:sz="6" w:space="0" w:color="000000"/>
              <w:right w:val="single" w:sz="6" w:space="0" w:color="000000"/>
            </w:tcBorders>
            <w:vAlign w:val="center"/>
          </w:tcPr>
          <w:p w:rsidR="00702601" w:rsidRPr="00D648E9" w:rsidRDefault="00702601" w:rsidP="00702601">
            <w:pPr>
              <w:spacing w:line="240" w:lineRule="auto"/>
              <w:jc w:val="center"/>
              <w:rPr>
                <w:rFonts w:eastAsia="Calibri" w:cs="Arial"/>
              </w:rPr>
            </w:pPr>
            <w:r w:rsidRPr="00D648E9">
              <w:rPr>
                <w:rFonts w:eastAsia="Calibri" w:cs="Arial"/>
              </w:rPr>
              <w:t>Teórica</w:t>
            </w:r>
          </w:p>
        </w:tc>
      </w:tr>
      <w:tr w:rsidR="00702601" w:rsidRPr="00764C98" w:rsidTr="00702601">
        <w:trPr>
          <w:cantSplit/>
          <w:trHeight w:val="414"/>
        </w:trPr>
        <w:tc>
          <w:tcPr>
            <w:tcW w:w="1418" w:type="dxa"/>
            <w:tcBorders>
              <w:top w:val="single" w:sz="6" w:space="0" w:color="000000"/>
              <w:left w:val="single" w:sz="6" w:space="0" w:color="000000"/>
              <w:bottom w:val="single" w:sz="6" w:space="0" w:color="000000"/>
              <w:right w:val="single" w:sz="6" w:space="0" w:color="000000"/>
            </w:tcBorders>
            <w:vAlign w:val="center"/>
          </w:tcPr>
          <w:p w:rsidR="00702601" w:rsidRPr="00764C98" w:rsidRDefault="00702601" w:rsidP="00702601">
            <w:pPr>
              <w:spacing w:line="240" w:lineRule="auto"/>
              <w:rPr>
                <w:rFonts w:eastAsia="Calibri" w:cs="Arial"/>
                <w:b/>
              </w:rPr>
            </w:pPr>
            <w:r w:rsidRPr="00764C98">
              <w:rPr>
                <w:rFonts w:eastAsia="Calibri" w:cs="Arial"/>
                <w:b/>
              </w:rPr>
              <w:t>Conteúdos</w:t>
            </w:r>
          </w:p>
        </w:tc>
        <w:tc>
          <w:tcPr>
            <w:tcW w:w="5312" w:type="dxa"/>
            <w:tcBorders>
              <w:top w:val="single" w:sz="6" w:space="0" w:color="000000"/>
              <w:left w:val="single" w:sz="6" w:space="0" w:color="000000"/>
              <w:bottom w:val="single" w:sz="6" w:space="0" w:color="000000"/>
              <w:right w:val="single" w:sz="6" w:space="0" w:color="000000"/>
            </w:tcBorders>
            <w:vAlign w:val="center"/>
          </w:tcPr>
          <w:p w:rsidR="00702601" w:rsidRPr="001A0DDE" w:rsidRDefault="00702601" w:rsidP="00702601">
            <w:pPr>
              <w:pStyle w:val="Heading1"/>
              <w:rPr>
                <w:rFonts w:eastAsia="Calibri"/>
                <w:b w:val="0"/>
                <w:sz w:val="22"/>
                <w:szCs w:val="22"/>
                <w:lang w:val="pt-BR"/>
              </w:rPr>
            </w:pPr>
            <w:bookmarkStart w:id="18" w:name="_Toc329099761"/>
            <w:r w:rsidRPr="001A0DDE">
              <w:rPr>
                <w:rFonts w:eastAsia="Calibri"/>
                <w:b w:val="0"/>
                <w:sz w:val="22"/>
                <w:szCs w:val="22"/>
                <w:lang w:val="pt-BR"/>
              </w:rPr>
              <w:t>Helmintos</w:t>
            </w:r>
            <w:bookmarkEnd w:id="18"/>
          </w:p>
        </w:tc>
        <w:tc>
          <w:tcPr>
            <w:tcW w:w="1800" w:type="dxa"/>
            <w:tcBorders>
              <w:top w:val="single" w:sz="6" w:space="0" w:color="000000"/>
              <w:left w:val="single" w:sz="6" w:space="0" w:color="000000"/>
              <w:bottom w:val="single" w:sz="6" w:space="0" w:color="000000"/>
              <w:right w:val="single" w:sz="6" w:space="0" w:color="000000"/>
            </w:tcBorders>
            <w:vAlign w:val="center"/>
          </w:tcPr>
          <w:p w:rsidR="00702601" w:rsidRPr="00764C98" w:rsidRDefault="00702601" w:rsidP="00702601">
            <w:pPr>
              <w:spacing w:line="240" w:lineRule="auto"/>
              <w:rPr>
                <w:rFonts w:eastAsia="Calibri" w:cs="Arial"/>
                <w:b/>
              </w:rPr>
            </w:pPr>
            <w:r w:rsidRPr="00764C98">
              <w:rPr>
                <w:rFonts w:eastAsia="Calibri" w:cs="Arial"/>
                <w:b/>
              </w:rPr>
              <w:t>Duração</w:t>
            </w:r>
          </w:p>
        </w:tc>
        <w:tc>
          <w:tcPr>
            <w:tcW w:w="1620" w:type="dxa"/>
            <w:tcBorders>
              <w:top w:val="single" w:sz="6" w:space="0" w:color="000000"/>
              <w:left w:val="single" w:sz="6" w:space="0" w:color="000000"/>
              <w:bottom w:val="single" w:sz="6" w:space="0" w:color="000000"/>
              <w:right w:val="single" w:sz="6" w:space="0" w:color="000000"/>
            </w:tcBorders>
            <w:vAlign w:val="center"/>
          </w:tcPr>
          <w:p w:rsidR="00702601" w:rsidRPr="00D648E9" w:rsidRDefault="00702601" w:rsidP="00702601">
            <w:pPr>
              <w:spacing w:line="240" w:lineRule="auto"/>
              <w:jc w:val="center"/>
              <w:rPr>
                <w:rFonts w:eastAsia="Calibri" w:cs="Arial"/>
              </w:rPr>
            </w:pPr>
            <w:r w:rsidRPr="00D648E9">
              <w:rPr>
                <w:rFonts w:eastAsia="Calibri" w:cs="Arial"/>
              </w:rPr>
              <w:t>2 h</w:t>
            </w:r>
          </w:p>
        </w:tc>
      </w:tr>
    </w:tbl>
    <w:p w:rsidR="001A0DDE" w:rsidRDefault="001A0DDE" w:rsidP="00774441">
      <w:pPr>
        <w:spacing w:line="240" w:lineRule="auto"/>
        <w:rPr>
          <w:rStyle w:val="PageNumber"/>
          <w:b/>
        </w:rPr>
      </w:pPr>
    </w:p>
    <w:p w:rsidR="00702601" w:rsidRPr="0052785B" w:rsidRDefault="00702601" w:rsidP="0052785B">
      <w:pPr>
        <w:rPr>
          <w:rStyle w:val="PageNumber"/>
          <w:b/>
        </w:rPr>
      </w:pPr>
      <w:r w:rsidRPr="0052785B">
        <w:rPr>
          <w:rStyle w:val="PageNumber"/>
          <w:b/>
        </w:rPr>
        <w:t>Objectivos de Aprendizagem:</w:t>
      </w:r>
    </w:p>
    <w:p w:rsidR="00702601" w:rsidRPr="00702601" w:rsidRDefault="00702601" w:rsidP="00702601">
      <w:pPr>
        <w:rPr>
          <w:rFonts w:cs="Arial"/>
          <w:lang w:val="pt-BR"/>
        </w:rPr>
      </w:pPr>
      <w:r w:rsidRPr="00702601">
        <w:rPr>
          <w:rFonts w:cs="Arial"/>
          <w:lang w:val="pt-BR"/>
        </w:rPr>
        <w:t>Até ao fim da aula os alunos devem ser capazes de:</w:t>
      </w:r>
    </w:p>
    <w:p w:rsidR="00702601" w:rsidRPr="00702601" w:rsidRDefault="00702601" w:rsidP="00C52E09">
      <w:pPr>
        <w:numPr>
          <w:ilvl w:val="1"/>
          <w:numId w:val="111"/>
        </w:numPr>
        <w:spacing w:after="0"/>
        <w:rPr>
          <w:rFonts w:cs="Arial"/>
          <w:lang w:val="pt-BR"/>
        </w:rPr>
      </w:pPr>
      <w:r w:rsidRPr="00702601">
        <w:rPr>
          <w:rFonts w:cs="Arial"/>
          <w:lang w:val="pt-BR"/>
        </w:rPr>
        <w:t>Explicar as características básicas dos helmintos;</w:t>
      </w:r>
    </w:p>
    <w:p w:rsidR="00702601" w:rsidRPr="00702601" w:rsidRDefault="00702601" w:rsidP="00C52E09">
      <w:pPr>
        <w:pStyle w:val="ListParagraph"/>
        <w:numPr>
          <w:ilvl w:val="1"/>
          <w:numId w:val="111"/>
        </w:numPr>
        <w:spacing w:after="0"/>
        <w:contextualSpacing w:val="0"/>
        <w:rPr>
          <w:rFonts w:cs="Arial"/>
          <w:lang w:val="pt-BR"/>
        </w:rPr>
      </w:pPr>
      <w:r w:rsidRPr="00702601">
        <w:rPr>
          <w:rFonts w:cs="Arial"/>
          <w:lang w:val="pt-BR"/>
        </w:rPr>
        <w:t>Classificar correctamente os diferentes tipos de helmintos;</w:t>
      </w:r>
    </w:p>
    <w:p w:rsidR="00702601" w:rsidRPr="00702601" w:rsidRDefault="00702601" w:rsidP="00C52E09">
      <w:pPr>
        <w:pStyle w:val="ListParagraph"/>
        <w:numPr>
          <w:ilvl w:val="1"/>
          <w:numId w:val="111"/>
        </w:numPr>
        <w:spacing w:after="0"/>
        <w:contextualSpacing w:val="0"/>
        <w:rPr>
          <w:rFonts w:cs="Arial"/>
          <w:lang w:val="pt-BR"/>
        </w:rPr>
      </w:pPr>
      <w:r w:rsidRPr="00702601">
        <w:rPr>
          <w:rFonts w:cs="Arial"/>
          <w:lang w:val="pt-BR"/>
        </w:rPr>
        <w:t>Listar as espécies mais comuns em Moçambique e identificar as patologias associadas a elas;</w:t>
      </w:r>
    </w:p>
    <w:p w:rsidR="00702601" w:rsidRPr="00702601" w:rsidRDefault="00702601" w:rsidP="00702601">
      <w:pPr>
        <w:tabs>
          <w:tab w:val="left" w:pos="244"/>
        </w:tabs>
        <w:rPr>
          <w:rFonts w:cs="Arial"/>
          <w:lang w:val="pt-BR"/>
        </w:rPr>
      </w:pPr>
    </w:p>
    <w:p w:rsidR="00702601" w:rsidRPr="0052785B" w:rsidRDefault="00702601" w:rsidP="0052785B">
      <w:pPr>
        <w:rPr>
          <w:b/>
        </w:rPr>
      </w:pPr>
      <w:r w:rsidRPr="0052785B">
        <w:rPr>
          <w:b/>
        </w:rPr>
        <w:t>Estrutura da Aula</w:t>
      </w:r>
    </w:p>
    <w:tbl>
      <w:tblPr>
        <w:tblW w:w="10188" w:type="dxa"/>
        <w:tblBorders>
          <w:top w:val="single" w:sz="18" w:space="0" w:color="auto"/>
          <w:bottom w:val="single" w:sz="18" w:space="0" w:color="auto"/>
        </w:tblBorders>
        <w:tblLayout w:type="fixed"/>
        <w:tblLook w:val="0400" w:firstRow="0" w:lastRow="0" w:firstColumn="0" w:lastColumn="0" w:noHBand="0" w:noVBand="1"/>
      </w:tblPr>
      <w:tblGrid>
        <w:gridCol w:w="738"/>
        <w:gridCol w:w="3690"/>
        <w:gridCol w:w="4140"/>
        <w:gridCol w:w="1620"/>
      </w:tblGrid>
      <w:tr w:rsidR="00702601" w:rsidRPr="00764C98" w:rsidTr="00702601">
        <w:trPr>
          <w:trHeight w:val="432"/>
        </w:trPr>
        <w:tc>
          <w:tcPr>
            <w:tcW w:w="738" w:type="dxa"/>
            <w:tcBorders>
              <w:top w:val="single" w:sz="18" w:space="0" w:color="auto"/>
              <w:bottom w:val="single" w:sz="18" w:space="0" w:color="auto"/>
              <w:right w:val="single" w:sz="4" w:space="0" w:color="auto"/>
            </w:tcBorders>
            <w:shd w:val="clear" w:color="auto" w:fill="B8CCE4"/>
          </w:tcPr>
          <w:p w:rsidR="00702601" w:rsidRPr="00764C98" w:rsidRDefault="00702601" w:rsidP="00702601">
            <w:pPr>
              <w:spacing w:before="60" w:line="240" w:lineRule="auto"/>
              <w:ind w:left="-110" w:right="-108"/>
              <w:jc w:val="center"/>
              <w:rPr>
                <w:rFonts w:cs="Arial"/>
                <w:b/>
              </w:rPr>
            </w:pPr>
            <w:r w:rsidRPr="00764C98">
              <w:rPr>
                <w:rFonts w:cs="Arial"/>
                <w:b/>
              </w:rPr>
              <w:t>Bloco</w:t>
            </w:r>
          </w:p>
        </w:tc>
        <w:tc>
          <w:tcPr>
            <w:tcW w:w="3690" w:type="dxa"/>
            <w:tcBorders>
              <w:top w:val="single" w:sz="18" w:space="0" w:color="auto"/>
              <w:left w:val="single" w:sz="4" w:space="0" w:color="auto"/>
              <w:bottom w:val="single" w:sz="18" w:space="0" w:color="auto"/>
              <w:right w:val="single" w:sz="4" w:space="0" w:color="auto"/>
            </w:tcBorders>
            <w:shd w:val="clear" w:color="auto" w:fill="B8CCE4"/>
          </w:tcPr>
          <w:p w:rsidR="00702601" w:rsidRPr="00764C98" w:rsidRDefault="00702601" w:rsidP="00702601">
            <w:pPr>
              <w:spacing w:before="60" w:line="240" w:lineRule="auto"/>
              <w:jc w:val="center"/>
              <w:rPr>
                <w:rFonts w:cs="Arial"/>
                <w:b/>
              </w:rPr>
            </w:pPr>
            <w:r w:rsidRPr="00764C98">
              <w:rPr>
                <w:rFonts w:cs="Arial"/>
                <w:b/>
              </w:rPr>
              <w:t>Título do Bloco</w:t>
            </w:r>
          </w:p>
        </w:tc>
        <w:tc>
          <w:tcPr>
            <w:tcW w:w="4140" w:type="dxa"/>
            <w:tcBorders>
              <w:top w:val="single" w:sz="18" w:space="0" w:color="auto"/>
              <w:left w:val="single" w:sz="4" w:space="0" w:color="auto"/>
              <w:bottom w:val="single" w:sz="18" w:space="0" w:color="auto"/>
              <w:right w:val="single" w:sz="4" w:space="0" w:color="auto"/>
            </w:tcBorders>
            <w:shd w:val="clear" w:color="auto" w:fill="B8CCE4"/>
          </w:tcPr>
          <w:p w:rsidR="00702601" w:rsidRPr="00764C98" w:rsidRDefault="00702601" w:rsidP="00702601">
            <w:pPr>
              <w:tabs>
                <w:tab w:val="left" w:pos="244"/>
              </w:tabs>
              <w:spacing w:before="60" w:line="240" w:lineRule="auto"/>
              <w:jc w:val="center"/>
              <w:rPr>
                <w:rFonts w:cs="Arial"/>
                <w:b/>
                <w:lang w:val="pt-BR"/>
              </w:rPr>
            </w:pPr>
            <w:r w:rsidRPr="00764C98">
              <w:rPr>
                <w:rFonts w:cs="Arial"/>
                <w:b/>
              </w:rPr>
              <w:t>M</w:t>
            </w:r>
            <w:r w:rsidRPr="00764C98">
              <w:rPr>
                <w:rFonts w:cs="Arial"/>
                <w:b/>
                <w:lang w:val="pt-BR"/>
              </w:rPr>
              <w:t>étodo de Ensino</w:t>
            </w:r>
          </w:p>
        </w:tc>
        <w:tc>
          <w:tcPr>
            <w:tcW w:w="1620" w:type="dxa"/>
            <w:tcBorders>
              <w:top w:val="single" w:sz="18" w:space="0" w:color="auto"/>
              <w:left w:val="single" w:sz="4" w:space="0" w:color="auto"/>
              <w:bottom w:val="single" w:sz="18" w:space="0" w:color="auto"/>
            </w:tcBorders>
            <w:shd w:val="clear" w:color="auto" w:fill="B8CCE4"/>
          </w:tcPr>
          <w:p w:rsidR="00702601" w:rsidRPr="00764C98" w:rsidRDefault="00702601" w:rsidP="00702601">
            <w:pPr>
              <w:tabs>
                <w:tab w:val="left" w:pos="244"/>
              </w:tabs>
              <w:spacing w:before="60" w:line="240" w:lineRule="auto"/>
              <w:jc w:val="center"/>
              <w:rPr>
                <w:rFonts w:cs="Arial"/>
                <w:b/>
                <w:lang w:val="pt-BR"/>
              </w:rPr>
            </w:pPr>
            <w:r w:rsidRPr="00764C98">
              <w:rPr>
                <w:rFonts w:cs="Arial"/>
                <w:b/>
              </w:rPr>
              <w:t>Duração</w:t>
            </w:r>
          </w:p>
        </w:tc>
      </w:tr>
      <w:tr w:rsidR="00702601" w:rsidRPr="00764C98" w:rsidTr="00702601">
        <w:tc>
          <w:tcPr>
            <w:tcW w:w="738" w:type="dxa"/>
            <w:tcBorders>
              <w:top w:val="single" w:sz="18" w:space="0" w:color="auto"/>
              <w:bottom w:val="single" w:sz="4" w:space="0" w:color="auto"/>
              <w:right w:val="single" w:sz="4" w:space="0" w:color="auto"/>
            </w:tcBorders>
          </w:tcPr>
          <w:p w:rsidR="00702601" w:rsidRPr="00764C98" w:rsidRDefault="00702601" w:rsidP="00702601">
            <w:pPr>
              <w:spacing w:before="60" w:after="60" w:line="360" w:lineRule="auto"/>
              <w:ind w:left="-110" w:right="-108"/>
              <w:jc w:val="center"/>
              <w:rPr>
                <w:rFonts w:cs="Arial"/>
              </w:rPr>
            </w:pPr>
            <w:r w:rsidRPr="00764C98">
              <w:rPr>
                <w:rFonts w:cs="Arial"/>
              </w:rPr>
              <w:t>1</w:t>
            </w:r>
          </w:p>
        </w:tc>
        <w:tc>
          <w:tcPr>
            <w:tcW w:w="3690" w:type="dxa"/>
            <w:tcBorders>
              <w:top w:val="single" w:sz="18" w:space="0" w:color="auto"/>
              <w:left w:val="single" w:sz="4" w:space="0" w:color="auto"/>
              <w:bottom w:val="single" w:sz="4" w:space="0" w:color="auto"/>
              <w:right w:val="single" w:sz="4" w:space="0" w:color="auto"/>
            </w:tcBorders>
          </w:tcPr>
          <w:p w:rsidR="00702601" w:rsidRPr="00764C98" w:rsidRDefault="00702601" w:rsidP="00702601">
            <w:pPr>
              <w:tabs>
                <w:tab w:val="left" w:pos="244"/>
              </w:tabs>
              <w:spacing w:before="60" w:after="60" w:line="360" w:lineRule="auto"/>
              <w:rPr>
                <w:rFonts w:cs="Arial"/>
              </w:rPr>
            </w:pPr>
            <w:r w:rsidRPr="00764C98">
              <w:rPr>
                <w:rFonts w:cs="Arial"/>
              </w:rPr>
              <w:t>Introdução à Aula</w:t>
            </w:r>
          </w:p>
          <w:p w:rsidR="00702601" w:rsidRPr="00764C98" w:rsidRDefault="00702601" w:rsidP="00702601">
            <w:pPr>
              <w:tabs>
                <w:tab w:val="left" w:pos="244"/>
              </w:tabs>
              <w:spacing w:before="60" w:after="60" w:line="360" w:lineRule="auto"/>
              <w:rPr>
                <w:rFonts w:cs="Arial"/>
              </w:rPr>
            </w:pPr>
          </w:p>
        </w:tc>
        <w:tc>
          <w:tcPr>
            <w:tcW w:w="4140" w:type="dxa"/>
            <w:tcBorders>
              <w:top w:val="single" w:sz="18" w:space="0" w:color="auto"/>
              <w:left w:val="single" w:sz="4" w:space="0" w:color="auto"/>
              <w:bottom w:val="single" w:sz="4" w:space="0" w:color="auto"/>
              <w:right w:val="single" w:sz="4" w:space="0" w:color="auto"/>
            </w:tcBorders>
          </w:tcPr>
          <w:p w:rsidR="00702601" w:rsidRPr="00764C98" w:rsidRDefault="00702601" w:rsidP="00702601">
            <w:pPr>
              <w:tabs>
                <w:tab w:val="left" w:pos="244"/>
              </w:tabs>
              <w:spacing w:before="60" w:after="60" w:line="360" w:lineRule="auto"/>
              <w:rPr>
                <w:rFonts w:cs="Arial"/>
              </w:rPr>
            </w:pPr>
          </w:p>
        </w:tc>
        <w:tc>
          <w:tcPr>
            <w:tcW w:w="1620" w:type="dxa"/>
            <w:tcBorders>
              <w:top w:val="single" w:sz="18" w:space="0" w:color="auto"/>
              <w:left w:val="single" w:sz="4" w:space="0" w:color="auto"/>
              <w:bottom w:val="single" w:sz="4" w:space="0" w:color="auto"/>
            </w:tcBorders>
          </w:tcPr>
          <w:p w:rsidR="00702601" w:rsidRPr="00764C98" w:rsidRDefault="00702601" w:rsidP="00702601">
            <w:pPr>
              <w:tabs>
                <w:tab w:val="left" w:pos="244"/>
              </w:tabs>
              <w:spacing w:before="60" w:after="60" w:line="360" w:lineRule="auto"/>
              <w:jc w:val="right"/>
              <w:rPr>
                <w:rFonts w:cs="Arial"/>
              </w:rPr>
            </w:pPr>
          </w:p>
        </w:tc>
      </w:tr>
      <w:tr w:rsidR="00702601" w:rsidRPr="00764C98" w:rsidTr="00702601">
        <w:tc>
          <w:tcPr>
            <w:tcW w:w="738" w:type="dxa"/>
            <w:tcBorders>
              <w:top w:val="single" w:sz="4" w:space="0" w:color="auto"/>
              <w:bottom w:val="single" w:sz="4" w:space="0" w:color="auto"/>
              <w:right w:val="single" w:sz="4" w:space="0" w:color="auto"/>
            </w:tcBorders>
            <w:shd w:val="clear" w:color="auto" w:fill="D9D9D9"/>
          </w:tcPr>
          <w:p w:rsidR="00702601" w:rsidRPr="00764C98" w:rsidRDefault="00702601" w:rsidP="00702601">
            <w:pPr>
              <w:spacing w:before="60" w:after="60" w:line="360" w:lineRule="auto"/>
              <w:ind w:left="-110" w:right="-108"/>
              <w:jc w:val="center"/>
              <w:rPr>
                <w:rFonts w:cs="Arial"/>
              </w:rPr>
            </w:pPr>
            <w:r w:rsidRPr="00764C98">
              <w:rPr>
                <w:rFonts w:cs="Arial"/>
              </w:rPr>
              <w:t>2</w:t>
            </w:r>
          </w:p>
        </w:tc>
        <w:tc>
          <w:tcPr>
            <w:tcW w:w="3690" w:type="dxa"/>
            <w:tcBorders>
              <w:top w:val="single" w:sz="4" w:space="0" w:color="auto"/>
              <w:left w:val="single" w:sz="4" w:space="0" w:color="auto"/>
              <w:bottom w:val="single" w:sz="4" w:space="0" w:color="auto"/>
              <w:right w:val="single" w:sz="4" w:space="0" w:color="auto"/>
            </w:tcBorders>
            <w:shd w:val="clear" w:color="auto" w:fill="D9D9D9"/>
          </w:tcPr>
          <w:p w:rsidR="00702601" w:rsidRPr="00764C98" w:rsidRDefault="00702601" w:rsidP="00702601">
            <w:pPr>
              <w:tabs>
                <w:tab w:val="left" w:pos="244"/>
              </w:tabs>
              <w:spacing w:before="60" w:after="60" w:line="360" w:lineRule="auto"/>
              <w:rPr>
                <w:rFonts w:cs="Arial"/>
              </w:rPr>
            </w:pPr>
            <w:r w:rsidRPr="00764C98">
              <w:rPr>
                <w:rFonts w:cs="Arial"/>
              </w:rPr>
              <w:t>Características Básicas dos Helmintos</w:t>
            </w:r>
          </w:p>
          <w:p w:rsidR="00702601" w:rsidRPr="00764C98" w:rsidRDefault="00702601" w:rsidP="00702601">
            <w:pPr>
              <w:tabs>
                <w:tab w:val="left" w:pos="244"/>
              </w:tabs>
              <w:spacing w:before="60" w:after="60" w:line="360" w:lineRule="auto"/>
              <w:rPr>
                <w:rFonts w:cs="Arial"/>
              </w:rPr>
            </w:pPr>
          </w:p>
        </w:tc>
        <w:tc>
          <w:tcPr>
            <w:tcW w:w="4140" w:type="dxa"/>
            <w:tcBorders>
              <w:top w:val="single" w:sz="4" w:space="0" w:color="auto"/>
              <w:left w:val="single" w:sz="4" w:space="0" w:color="auto"/>
              <w:bottom w:val="single" w:sz="4" w:space="0" w:color="auto"/>
              <w:right w:val="single" w:sz="4" w:space="0" w:color="auto"/>
            </w:tcBorders>
            <w:shd w:val="clear" w:color="auto" w:fill="D9D9D9"/>
          </w:tcPr>
          <w:p w:rsidR="00702601" w:rsidRPr="00764C98" w:rsidRDefault="00702601" w:rsidP="00702601">
            <w:pPr>
              <w:tabs>
                <w:tab w:val="left" w:pos="244"/>
              </w:tabs>
              <w:spacing w:before="60" w:after="60" w:line="360" w:lineRule="auto"/>
              <w:rPr>
                <w:rFonts w:cs="Arial"/>
                <w:lang w:val="pt-BR"/>
              </w:rPr>
            </w:pPr>
          </w:p>
        </w:tc>
        <w:tc>
          <w:tcPr>
            <w:tcW w:w="1620" w:type="dxa"/>
            <w:tcBorders>
              <w:top w:val="single" w:sz="4" w:space="0" w:color="auto"/>
              <w:left w:val="single" w:sz="4" w:space="0" w:color="auto"/>
              <w:bottom w:val="single" w:sz="4" w:space="0" w:color="auto"/>
            </w:tcBorders>
            <w:shd w:val="clear" w:color="auto" w:fill="D9D9D9"/>
          </w:tcPr>
          <w:p w:rsidR="00702601" w:rsidRPr="00764C98" w:rsidRDefault="00702601" w:rsidP="00702601">
            <w:pPr>
              <w:tabs>
                <w:tab w:val="left" w:pos="244"/>
              </w:tabs>
              <w:spacing w:before="60" w:after="60" w:line="360" w:lineRule="auto"/>
              <w:jc w:val="right"/>
              <w:rPr>
                <w:rFonts w:cs="Arial"/>
                <w:lang w:val="pt-BR"/>
              </w:rPr>
            </w:pPr>
          </w:p>
        </w:tc>
      </w:tr>
      <w:tr w:rsidR="00702601" w:rsidRPr="00764C98" w:rsidTr="00702601">
        <w:tc>
          <w:tcPr>
            <w:tcW w:w="738" w:type="dxa"/>
            <w:tcBorders>
              <w:top w:val="single" w:sz="4" w:space="0" w:color="auto"/>
              <w:bottom w:val="single" w:sz="4" w:space="0" w:color="auto"/>
              <w:right w:val="single" w:sz="4" w:space="0" w:color="auto"/>
            </w:tcBorders>
          </w:tcPr>
          <w:p w:rsidR="00702601" w:rsidRPr="00764C98" w:rsidRDefault="00702601" w:rsidP="00702601">
            <w:pPr>
              <w:spacing w:before="60" w:after="60" w:line="360" w:lineRule="auto"/>
              <w:ind w:left="-110" w:right="-108"/>
              <w:jc w:val="center"/>
              <w:rPr>
                <w:rFonts w:cs="Arial"/>
              </w:rPr>
            </w:pPr>
            <w:r w:rsidRPr="00764C98">
              <w:rPr>
                <w:rFonts w:cs="Arial"/>
              </w:rPr>
              <w:t>3</w:t>
            </w:r>
          </w:p>
        </w:tc>
        <w:tc>
          <w:tcPr>
            <w:tcW w:w="3690" w:type="dxa"/>
            <w:tcBorders>
              <w:top w:val="single" w:sz="4" w:space="0" w:color="auto"/>
              <w:left w:val="single" w:sz="4" w:space="0" w:color="auto"/>
              <w:bottom w:val="single" w:sz="4" w:space="0" w:color="auto"/>
              <w:right w:val="single" w:sz="4" w:space="0" w:color="auto"/>
            </w:tcBorders>
          </w:tcPr>
          <w:p w:rsidR="00702601" w:rsidRPr="00764C98" w:rsidRDefault="00702601" w:rsidP="00702601">
            <w:pPr>
              <w:tabs>
                <w:tab w:val="left" w:pos="244"/>
              </w:tabs>
              <w:spacing w:before="60" w:after="60" w:line="360" w:lineRule="auto"/>
              <w:rPr>
                <w:rFonts w:cs="Arial"/>
                <w:iCs/>
              </w:rPr>
            </w:pPr>
            <w:r w:rsidRPr="00764C98">
              <w:rPr>
                <w:rFonts w:cs="Arial"/>
                <w:iCs/>
              </w:rPr>
              <w:t xml:space="preserve">Helmintos Gastrointestinais em </w:t>
            </w:r>
          </w:p>
          <w:p w:rsidR="00702601" w:rsidRPr="00764C98" w:rsidRDefault="00702601" w:rsidP="00702601">
            <w:pPr>
              <w:tabs>
                <w:tab w:val="left" w:pos="244"/>
              </w:tabs>
              <w:spacing w:before="60" w:after="60" w:line="360" w:lineRule="auto"/>
              <w:rPr>
                <w:rFonts w:cs="Arial"/>
                <w:iCs/>
              </w:rPr>
            </w:pPr>
            <w:r w:rsidRPr="00764C98">
              <w:rPr>
                <w:rFonts w:cs="Arial"/>
                <w:iCs/>
              </w:rPr>
              <w:t>Moçambique</w:t>
            </w:r>
          </w:p>
        </w:tc>
        <w:tc>
          <w:tcPr>
            <w:tcW w:w="4140" w:type="dxa"/>
            <w:tcBorders>
              <w:top w:val="single" w:sz="4" w:space="0" w:color="auto"/>
              <w:left w:val="single" w:sz="4" w:space="0" w:color="auto"/>
              <w:bottom w:val="single" w:sz="4" w:space="0" w:color="auto"/>
              <w:right w:val="single" w:sz="4" w:space="0" w:color="auto"/>
            </w:tcBorders>
          </w:tcPr>
          <w:p w:rsidR="00702601" w:rsidRPr="00764C98" w:rsidRDefault="00702601" w:rsidP="00702601">
            <w:pPr>
              <w:spacing w:before="60" w:after="60" w:line="360" w:lineRule="auto"/>
              <w:ind w:left="-18" w:firstLine="18"/>
              <w:rPr>
                <w:rFonts w:cs="Arial"/>
                <w:lang w:val="pt-BR"/>
              </w:rPr>
            </w:pPr>
          </w:p>
        </w:tc>
        <w:tc>
          <w:tcPr>
            <w:tcW w:w="1620" w:type="dxa"/>
            <w:tcBorders>
              <w:top w:val="single" w:sz="4" w:space="0" w:color="auto"/>
              <w:left w:val="single" w:sz="4" w:space="0" w:color="auto"/>
              <w:bottom w:val="single" w:sz="4" w:space="0" w:color="auto"/>
            </w:tcBorders>
          </w:tcPr>
          <w:p w:rsidR="00702601" w:rsidRPr="00764C98" w:rsidRDefault="00702601" w:rsidP="00702601">
            <w:pPr>
              <w:spacing w:before="60" w:after="60" w:line="360" w:lineRule="auto"/>
              <w:ind w:left="-18" w:firstLine="18"/>
              <w:jc w:val="right"/>
              <w:rPr>
                <w:rFonts w:cs="Arial"/>
                <w:lang w:val="pt-BR"/>
              </w:rPr>
            </w:pPr>
          </w:p>
        </w:tc>
      </w:tr>
      <w:tr w:rsidR="00702601" w:rsidRPr="00764C98" w:rsidTr="00702601">
        <w:tc>
          <w:tcPr>
            <w:tcW w:w="738" w:type="dxa"/>
            <w:tcBorders>
              <w:top w:val="single" w:sz="4" w:space="0" w:color="auto"/>
              <w:bottom w:val="single" w:sz="4" w:space="0" w:color="auto"/>
              <w:right w:val="single" w:sz="4" w:space="0" w:color="auto"/>
            </w:tcBorders>
            <w:shd w:val="clear" w:color="auto" w:fill="D9D9D9"/>
          </w:tcPr>
          <w:p w:rsidR="00702601" w:rsidRPr="00764C98" w:rsidRDefault="00702601" w:rsidP="00702601">
            <w:pPr>
              <w:spacing w:before="60" w:after="60" w:line="360" w:lineRule="auto"/>
              <w:ind w:left="-110" w:right="-108"/>
              <w:jc w:val="center"/>
              <w:rPr>
                <w:rFonts w:cs="Arial"/>
              </w:rPr>
            </w:pPr>
            <w:r w:rsidRPr="00764C98">
              <w:rPr>
                <w:rFonts w:cs="Arial"/>
              </w:rPr>
              <w:t>4</w:t>
            </w:r>
          </w:p>
        </w:tc>
        <w:tc>
          <w:tcPr>
            <w:tcW w:w="3690" w:type="dxa"/>
            <w:tcBorders>
              <w:top w:val="single" w:sz="4" w:space="0" w:color="auto"/>
              <w:left w:val="single" w:sz="4" w:space="0" w:color="auto"/>
              <w:bottom w:val="single" w:sz="4" w:space="0" w:color="auto"/>
              <w:right w:val="single" w:sz="4" w:space="0" w:color="auto"/>
            </w:tcBorders>
            <w:shd w:val="clear" w:color="auto" w:fill="D9D9D9"/>
          </w:tcPr>
          <w:p w:rsidR="00702601" w:rsidRPr="00764C98" w:rsidRDefault="00702601" w:rsidP="00702601">
            <w:pPr>
              <w:tabs>
                <w:tab w:val="left" w:pos="244"/>
              </w:tabs>
              <w:spacing w:before="60" w:after="60" w:line="360" w:lineRule="auto"/>
              <w:rPr>
                <w:rFonts w:cs="Arial"/>
                <w:iCs/>
              </w:rPr>
            </w:pPr>
            <w:r w:rsidRPr="00764C98">
              <w:rPr>
                <w:rFonts w:cs="Arial"/>
                <w:iCs/>
              </w:rPr>
              <w:t>Helmintos Invasivos em Moçambique</w:t>
            </w:r>
          </w:p>
          <w:p w:rsidR="00702601" w:rsidRPr="00764C98" w:rsidRDefault="00702601" w:rsidP="00702601">
            <w:pPr>
              <w:tabs>
                <w:tab w:val="left" w:pos="244"/>
              </w:tabs>
              <w:spacing w:before="60" w:after="60" w:line="360" w:lineRule="auto"/>
              <w:rPr>
                <w:rFonts w:cs="Arial"/>
                <w:iCs/>
              </w:rPr>
            </w:pPr>
          </w:p>
        </w:tc>
        <w:tc>
          <w:tcPr>
            <w:tcW w:w="4140" w:type="dxa"/>
            <w:tcBorders>
              <w:top w:val="single" w:sz="4" w:space="0" w:color="auto"/>
              <w:left w:val="single" w:sz="4" w:space="0" w:color="auto"/>
              <w:bottom w:val="single" w:sz="4" w:space="0" w:color="auto"/>
              <w:right w:val="single" w:sz="4" w:space="0" w:color="auto"/>
            </w:tcBorders>
            <w:shd w:val="clear" w:color="auto" w:fill="D9D9D9"/>
          </w:tcPr>
          <w:p w:rsidR="00702601" w:rsidRPr="00764C98" w:rsidRDefault="00702601" w:rsidP="00702601">
            <w:pPr>
              <w:spacing w:before="60" w:after="60" w:line="360" w:lineRule="auto"/>
              <w:ind w:left="-18" w:firstLine="18"/>
              <w:rPr>
                <w:rFonts w:cs="Arial"/>
              </w:rPr>
            </w:pPr>
          </w:p>
        </w:tc>
        <w:tc>
          <w:tcPr>
            <w:tcW w:w="1620" w:type="dxa"/>
            <w:tcBorders>
              <w:top w:val="single" w:sz="4" w:space="0" w:color="auto"/>
              <w:left w:val="single" w:sz="4" w:space="0" w:color="auto"/>
              <w:bottom w:val="single" w:sz="4" w:space="0" w:color="auto"/>
            </w:tcBorders>
            <w:shd w:val="clear" w:color="auto" w:fill="D9D9D9"/>
          </w:tcPr>
          <w:p w:rsidR="00702601" w:rsidRPr="00764C98" w:rsidRDefault="00702601" w:rsidP="00702601">
            <w:pPr>
              <w:spacing w:before="60" w:after="60" w:line="360" w:lineRule="auto"/>
              <w:ind w:left="-18" w:firstLine="18"/>
              <w:jc w:val="right"/>
              <w:rPr>
                <w:rFonts w:cs="Arial"/>
              </w:rPr>
            </w:pPr>
          </w:p>
        </w:tc>
      </w:tr>
      <w:tr w:rsidR="00702601" w:rsidRPr="00764C98" w:rsidTr="00702601">
        <w:tc>
          <w:tcPr>
            <w:tcW w:w="738" w:type="dxa"/>
            <w:tcBorders>
              <w:top w:val="single" w:sz="4" w:space="0" w:color="auto"/>
              <w:bottom w:val="single" w:sz="18" w:space="0" w:color="auto"/>
              <w:right w:val="single" w:sz="4" w:space="0" w:color="auto"/>
            </w:tcBorders>
            <w:shd w:val="clear" w:color="auto" w:fill="FFFFFF"/>
          </w:tcPr>
          <w:p w:rsidR="00702601" w:rsidRPr="00764C98" w:rsidRDefault="00702601" w:rsidP="00702601">
            <w:pPr>
              <w:spacing w:before="60" w:after="60" w:line="360" w:lineRule="auto"/>
              <w:ind w:left="-110" w:right="-108"/>
              <w:jc w:val="center"/>
              <w:rPr>
                <w:rFonts w:cs="Arial"/>
              </w:rPr>
            </w:pPr>
            <w:r w:rsidRPr="00764C98">
              <w:rPr>
                <w:rFonts w:cs="Arial"/>
              </w:rPr>
              <w:t>5</w:t>
            </w:r>
          </w:p>
        </w:tc>
        <w:tc>
          <w:tcPr>
            <w:tcW w:w="3690" w:type="dxa"/>
            <w:tcBorders>
              <w:top w:val="single" w:sz="4" w:space="0" w:color="auto"/>
              <w:left w:val="single" w:sz="4" w:space="0" w:color="auto"/>
              <w:bottom w:val="single" w:sz="18" w:space="0" w:color="auto"/>
              <w:right w:val="single" w:sz="4" w:space="0" w:color="auto"/>
            </w:tcBorders>
            <w:shd w:val="clear" w:color="auto" w:fill="FFFFFF"/>
          </w:tcPr>
          <w:p w:rsidR="00702601" w:rsidRPr="00764C98" w:rsidRDefault="00702601" w:rsidP="00702601">
            <w:pPr>
              <w:tabs>
                <w:tab w:val="left" w:pos="244"/>
              </w:tabs>
              <w:spacing w:before="60" w:after="60" w:line="360" w:lineRule="auto"/>
              <w:rPr>
                <w:rFonts w:cs="Arial"/>
              </w:rPr>
            </w:pPr>
            <w:r w:rsidRPr="00764C98">
              <w:rPr>
                <w:rFonts w:cs="Arial"/>
              </w:rPr>
              <w:t>Pontos-chave</w:t>
            </w:r>
          </w:p>
          <w:p w:rsidR="00702601" w:rsidRPr="00764C98" w:rsidRDefault="00702601" w:rsidP="00702601">
            <w:pPr>
              <w:tabs>
                <w:tab w:val="left" w:pos="244"/>
              </w:tabs>
              <w:spacing w:before="60" w:after="60" w:line="360" w:lineRule="auto"/>
              <w:rPr>
                <w:rFonts w:cs="Arial"/>
                <w:i/>
                <w:iCs/>
              </w:rPr>
            </w:pPr>
          </w:p>
        </w:tc>
        <w:tc>
          <w:tcPr>
            <w:tcW w:w="4140" w:type="dxa"/>
            <w:tcBorders>
              <w:top w:val="single" w:sz="4" w:space="0" w:color="auto"/>
              <w:left w:val="single" w:sz="4" w:space="0" w:color="auto"/>
              <w:bottom w:val="single" w:sz="18" w:space="0" w:color="auto"/>
              <w:right w:val="single" w:sz="4" w:space="0" w:color="auto"/>
            </w:tcBorders>
            <w:shd w:val="clear" w:color="auto" w:fill="FFFFFF"/>
          </w:tcPr>
          <w:p w:rsidR="00702601" w:rsidRPr="00764C98" w:rsidRDefault="00702601" w:rsidP="00702601">
            <w:pPr>
              <w:spacing w:before="60" w:after="60" w:line="360" w:lineRule="auto"/>
              <w:ind w:left="-18" w:firstLine="18"/>
              <w:rPr>
                <w:rFonts w:cs="Arial"/>
              </w:rPr>
            </w:pPr>
          </w:p>
        </w:tc>
        <w:tc>
          <w:tcPr>
            <w:tcW w:w="1620" w:type="dxa"/>
            <w:tcBorders>
              <w:top w:val="single" w:sz="4" w:space="0" w:color="auto"/>
              <w:left w:val="single" w:sz="4" w:space="0" w:color="auto"/>
              <w:bottom w:val="single" w:sz="18" w:space="0" w:color="auto"/>
            </w:tcBorders>
            <w:shd w:val="clear" w:color="auto" w:fill="FFFFFF"/>
          </w:tcPr>
          <w:p w:rsidR="00702601" w:rsidRPr="00764C98" w:rsidRDefault="00702601" w:rsidP="00702601">
            <w:pPr>
              <w:spacing w:before="60" w:after="60" w:line="360" w:lineRule="auto"/>
              <w:ind w:left="-18" w:firstLine="18"/>
              <w:jc w:val="right"/>
              <w:rPr>
                <w:rFonts w:cs="Arial"/>
              </w:rPr>
            </w:pPr>
          </w:p>
        </w:tc>
      </w:tr>
    </w:tbl>
    <w:p w:rsidR="00702601" w:rsidRPr="00764C98" w:rsidRDefault="00702601" w:rsidP="00702601">
      <w:pPr>
        <w:tabs>
          <w:tab w:val="left" w:pos="244"/>
        </w:tabs>
        <w:outlineLvl w:val="0"/>
        <w:rPr>
          <w:rFonts w:cs="Arial"/>
          <w:b/>
          <w:bCs/>
        </w:rPr>
      </w:pPr>
    </w:p>
    <w:p w:rsidR="00EB2A96" w:rsidRDefault="00EB2A96">
      <w:pPr>
        <w:rPr>
          <w:rFonts w:cs="Arial"/>
          <w:b/>
          <w:lang w:val="pt-BR"/>
        </w:rPr>
      </w:pPr>
      <w:r>
        <w:rPr>
          <w:rFonts w:cs="Arial"/>
          <w:b/>
          <w:lang w:val="pt-BR"/>
        </w:rPr>
        <w:br w:type="page"/>
      </w:r>
    </w:p>
    <w:p w:rsidR="00702601" w:rsidRPr="00764C98" w:rsidRDefault="00702601" w:rsidP="00702601">
      <w:pPr>
        <w:tabs>
          <w:tab w:val="left" w:pos="424"/>
        </w:tabs>
        <w:jc w:val="both"/>
        <w:rPr>
          <w:rFonts w:cs="Arial"/>
          <w:b/>
          <w:lang w:val="pt-BR"/>
        </w:rPr>
      </w:pPr>
      <w:r w:rsidRPr="00764C98">
        <w:rPr>
          <w:rFonts w:cs="Arial"/>
          <w:b/>
          <w:lang w:val="pt-BR"/>
        </w:rPr>
        <w:lastRenderedPageBreak/>
        <w:t>Equipamentos e meios audiovisuais necessários:</w:t>
      </w:r>
    </w:p>
    <w:p w:rsidR="00702601" w:rsidRPr="00764C98" w:rsidRDefault="00702601" w:rsidP="00702601">
      <w:pPr>
        <w:tabs>
          <w:tab w:val="left" w:pos="424"/>
        </w:tabs>
        <w:jc w:val="both"/>
        <w:rPr>
          <w:rFonts w:cs="Arial"/>
          <w:lang w:val="pt-BR"/>
        </w:rPr>
      </w:pPr>
    </w:p>
    <w:p w:rsidR="00702601" w:rsidRDefault="00702601" w:rsidP="00702601">
      <w:pPr>
        <w:tabs>
          <w:tab w:val="left" w:pos="424"/>
        </w:tabs>
        <w:jc w:val="both"/>
        <w:rPr>
          <w:rFonts w:cs="Arial"/>
          <w:lang w:val="pt-BR"/>
        </w:rPr>
      </w:pPr>
    </w:p>
    <w:p w:rsidR="00EB2A96" w:rsidRDefault="00EB2A96" w:rsidP="00702601">
      <w:pPr>
        <w:tabs>
          <w:tab w:val="left" w:pos="424"/>
        </w:tabs>
        <w:jc w:val="both"/>
        <w:rPr>
          <w:rFonts w:cs="Arial"/>
          <w:lang w:val="pt-BR"/>
        </w:rPr>
      </w:pPr>
    </w:p>
    <w:p w:rsidR="00EB2A96" w:rsidRDefault="00EB2A96" w:rsidP="00702601">
      <w:pPr>
        <w:tabs>
          <w:tab w:val="left" w:pos="424"/>
        </w:tabs>
        <w:jc w:val="both"/>
        <w:rPr>
          <w:rFonts w:cs="Arial"/>
          <w:lang w:val="pt-BR"/>
        </w:rPr>
      </w:pPr>
    </w:p>
    <w:p w:rsidR="00702601" w:rsidRDefault="00702601" w:rsidP="00702601">
      <w:pPr>
        <w:tabs>
          <w:tab w:val="left" w:pos="424"/>
        </w:tabs>
        <w:jc w:val="both"/>
        <w:rPr>
          <w:rFonts w:cs="Arial"/>
          <w:lang w:val="pt-BR"/>
        </w:rPr>
      </w:pPr>
    </w:p>
    <w:p w:rsidR="00702601" w:rsidRDefault="00702601" w:rsidP="00702601">
      <w:pPr>
        <w:tabs>
          <w:tab w:val="left" w:pos="424"/>
        </w:tabs>
        <w:jc w:val="both"/>
        <w:rPr>
          <w:rFonts w:cs="Arial"/>
          <w:lang w:val="pt-BR"/>
        </w:rPr>
      </w:pPr>
    </w:p>
    <w:p w:rsidR="00702601" w:rsidRPr="00764C98" w:rsidRDefault="00702601" w:rsidP="00702601">
      <w:pPr>
        <w:tabs>
          <w:tab w:val="left" w:pos="424"/>
        </w:tabs>
        <w:jc w:val="both"/>
        <w:rPr>
          <w:rFonts w:cs="Arial"/>
          <w:lang w:val="pt-BR"/>
        </w:rPr>
      </w:pPr>
    </w:p>
    <w:p w:rsidR="00702601" w:rsidRPr="00764C98" w:rsidRDefault="00702601" w:rsidP="00702601">
      <w:pPr>
        <w:tabs>
          <w:tab w:val="left" w:pos="424"/>
        </w:tabs>
        <w:jc w:val="both"/>
        <w:rPr>
          <w:rFonts w:cs="Arial"/>
          <w:lang w:val="pt-BR"/>
        </w:rPr>
      </w:pPr>
    </w:p>
    <w:p w:rsidR="00702601" w:rsidRPr="00764C98" w:rsidRDefault="00702601" w:rsidP="00702601">
      <w:pPr>
        <w:tabs>
          <w:tab w:val="left" w:pos="424"/>
        </w:tabs>
        <w:jc w:val="both"/>
        <w:rPr>
          <w:rFonts w:cs="Arial"/>
          <w:lang w:val="pt-BR"/>
        </w:rPr>
      </w:pPr>
      <w:r w:rsidRPr="00764C98">
        <w:rPr>
          <w:rFonts w:cs="Arial"/>
          <w:b/>
          <w:lang w:val="pt-BR"/>
        </w:rPr>
        <w:t>Trabalhos para casa (TPC), exercícios e textos para leitura – incluir data a ser entregue:</w:t>
      </w:r>
      <w:r w:rsidRPr="00764C98">
        <w:rPr>
          <w:rFonts w:cs="Arial"/>
          <w:lang w:val="pt-BR"/>
        </w:rPr>
        <w:t xml:space="preserve"> </w:t>
      </w:r>
    </w:p>
    <w:p w:rsidR="00702601" w:rsidRPr="00764C98" w:rsidRDefault="00702601" w:rsidP="00702601">
      <w:pPr>
        <w:tabs>
          <w:tab w:val="left" w:pos="424"/>
        </w:tabs>
        <w:jc w:val="both"/>
        <w:rPr>
          <w:rFonts w:cs="Arial"/>
          <w:lang w:val="pt-BR"/>
        </w:rPr>
      </w:pPr>
    </w:p>
    <w:p w:rsidR="00702601" w:rsidRPr="00764C98" w:rsidRDefault="00702601" w:rsidP="00702601">
      <w:pPr>
        <w:tabs>
          <w:tab w:val="left" w:pos="424"/>
        </w:tabs>
        <w:jc w:val="both"/>
        <w:rPr>
          <w:rFonts w:cs="Arial"/>
          <w:lang w:val="pt-BR"/>
        </w:rPr>
      </w:pPr>
    </w:p>
    <w:p w:rsidR="00702601" w:rsidRDefault="00702601" w:rsidP="00702601">
      <w:pPr>
        <w:tabs>
          <w:tab w:val="left" w:pos="424"/>
        </w:tabs>
        <w:jc w:val="both"/>
        <w:rPr>
          <w:rFonts w:cs="Arial"/>
          <w:lang w:val="pt-BR"/>
        </w:rPr>
      </w:pPr>
    </w:p>
    <w:p w:rsidR="00702601" w:rsidRDefault="00702601" w:rsidP="00702601">
      <w:pPr>
        <w:tabs>
          <w:tab w:val="left" w:pos="424"/>
        </w:tabs>
        <w:jc w:val="both"/>
        <w:rPr>
          <w:rFonts w:cs="Arial"/>
          <w:lang w:val="pt-BR"/>
        </w:rPr>
      </w:pPr>
    </w:p>
    <w:p w:rsidR="00702601" w:rsidRDefault="00EB2A96" w:rsidP="00EB2A96">
      <w:pPr>
        <w:tabs>
          <w:tab w:val="left" w:pos="2680"/>
        </w:tabs>
        <w:jc w:val="both"/>
        <w:rPr>
          <w:rFonts w:cs="Arial"/>
          <w:lang w:val="pt-BR"/>
        </w:rPr>
      </w:pPr>
      <w:r>
        <w:rPr>
          <w:rFonts w:cs="Arial"/>
          <w:lang w:val="pt-BR"/>
        </w:rPr>
        <w:tab/>
      </w:r>
    </w:p>
    <w:p w:rsidR="00EB2A96" w:rsidRDefault="00EB2A96" w:rsidP="00EB2A96">
      <w:pPr>
        <w:tabs>
          <w:tab w:val="left" w:pos="2680"/>
        </w:tabs>
        <w:jc w:val="both"/>
        <w:rPr>
          <w:rFonts w:cs="Arial"/>
          <w:lang w:val="pt-BR"/>
        </w:rPr>
      </w:pPr>
    </w:p>
    <w:p w:rsidR="00EB2A96" w:rsidRDefault="00EB2A96" w:rsidP="00EB2A96">
      <w:pPr>
        <w:tabs>
          <w:tab w:val="left" w:pos="2680"/>
        </w:tabs>
        <w:jc w:val="both"/>
        <w:rPr>
          <w:rFonts w:cs="Arial"/>
          <w:lang w:val="pt-BR"/>
        </w:rPr>
      </w:pPr>
    </w:p>
    <w:p w:rsidR="00EB2A96" w:rsidRDefault="00EB2A96" w:rsidP="00EB2A96">
      <w:pPr>
        <w:tabs>
          <w:tab w:val="left" w:pos="2680"/>
        </w:tabs>
        <w:jc w:val="both"/>
        <w:rPr>
          <w:rFonts w:cs="Arial"/>
          <w:lang w:val="pt-BR"/>
        </w:rPr>
      </w:pPr>
    </w:p>
    <w:p w:rsidR="00EB2A96" w:rsidRDefault="00EB2A96" w:rsidP="00EB2A96">
      <w:pPr>
        <w:tabs>
          <w:tab w:val="left" w:pos="2680"/>
        </w:tabs>
        <w:jc w:val="both"/>
        <w:rPr>
          <w:rFonts w:cs="Arial"/>
          <w:lang w:val="pt-BR"/>
        </w:rPr>
      </w:pPr>
    </w:p>
    <w:p w:rsidR="00702601" w:rsidRDefault="00702601" w:rsidP="00702601">
      <w:pPr>
        <w:tabs>
          <w:tab w:val="left" w:pos="424"/>
        </w:tabs>
        <w:jc w:val="both"/>
        <w:rPr>
          <w:rFonts w:cs="Arial"/>
          <w:lang w:val="pt-BR"/>
        </w:rPr>
      </w:pPr>
    </w:p>
    <w:p w:rsidR="00702601" w:rsidRDefault="00702601" w:rsidP="00702601">
      <w:pPr>
        <w:tabs>
          <w:tab w:val="left" w:pos="424"/>
        </w:tabs>
        <w:jc w:val="both"/>
        <w:rPr>
          <w:rFonts w:cs="Arial"/>
          <w:lang w:val="pt-BR"/>
        </w:rPr>
      </w:pPr>
    </w:p>
    <w:p w:rsidR="00702601" w:rsidRDefault="00702601" w:rsidP="00702601">
      <w:pPr>
        <w:tabs>
          <w:tab w:val="left" w:pos="424"/>
        </w:tabs>
        <w:jc w:val="both"/>
        <w:rPr>
          <w:rFonts w:cs="Arial"/>
          <w:lang w:val="pt-BR"/>
        </w:rPr>
      </w:pPr>
    </w:p>
    <w:p w:rsidR="00702601" w:rsidRDefault="00702601" w:rsidP="00702601">
      <w:pPr>
        <w:tabs>
          <w:tab w:val="left" w:pos="424"/>
        </w:tabs>
        <w:jc w:val="both"/>
        <w:rPr>
          <w:rFonts w:cs="Arial"/>
          <w:lang w:val="pt-BR"/>
        </w:rPr>
      </w:pPr>
    </w:p>
    <w:p w:rsidR="00702601" w:rsidRPr="00764C98" w:rsidRDefault="00702601" w:rsidP="00702601">
      <w:pPr>
        <w:tabs>
          <w:tab w:val="left" w:pos="424"/>
        </w:tabs>
        <w:jc w:val="both"/>
        <w:rPr>
          <w:rFonts w:cs="Arial"/>
          <w:lang w:val="pt-BR"/>
        </w:rPr>
      </w:pPr>
    </w:p>
    <w:p w:rsidR="00702601" w:rsidRPr="00927EAF" w:rsidRDefault="00702601" w:rsidP="00927EAF">
      <w:pPr>
        <w:rPr>
          <w:b/>
          <w:lang w:val="pt-BR"/>
        </w:rPr>
      </w:pPr>
      <w:r w:rsidRPr="00927EAF">
        <w:rPr>
          <w:b/>
          <w:lang w:val="pt-BR"/>
        </w:rPr>
        <w:t>Bibliografia (referências usadas para o desenvolvimento do conteúdo):</w:t>
      </w:r>
    </w:p>
    <w:p w:rsidR="00702601" w:rsidRPr="00764C98" w:rsidRDefault="00702601" w:rsidP="00702601">
      <w:pPr>
        <w:rPr>
          <w:lang w:val="pt-BR"/>
        </w:rPr>
      </w:pPr>
      <w:r w:rsidRPr="00764C98">
        <w:rPr>
          <w:lang w:val="pt-BR"/>
        </w:rPr>
        <w:t xml:space="preserve">Engelkirk, P.G. Gwendolyn, B. Microbiologia para as Ciências da Saúde. 7ª. Ed. Guanabara Koogan. </w:t>
      </w:r>
    </w:p>
    <w:p w:rsidR="00702601" w:rsidRPr="00F47FAF" w:rsidRDefault="00702601" w:rsidP="00702601">
      <w:pPr>
        <w:rPr>
          <w:b/>
          <w:bCs/>
          <w:lang w:val="pt-BR"/>
        </w:rPr>
      </w:pPr>
      <w:r w:rsidRPr="00702601">
        <w:rPr>
          <w:lang w:val="pt-BR"/>
        </w:rPr>
        <w:t xml:space="preserve">Jawetz, M. Adelberg. Microbiologia Médica. </w:t>
      </w:r>
      <w:r w:rsidRPr="00F47FAF">
        <w:rPr>
          <w:lang w:val="pt-BR"/>
        </w:rPr>
        <w:t>22ª. Ed. McGraw Hill, 2004.</w:t>
      </w:r>
    </w:p>
    <w:p w:rsidR="00702601" w:rsidRPr="00F47FAF" w:rsidRDefault="00702601" w:rsidP="00702601">
      <w:pPr>
        <w:tabs>
          <w:tab w:val="left" w:pos="424"/>
        </w:tabs>
        <w:spacing w:after="240" w:line="240" w:lineRule="auto"/>
        <w:rPr>
          <w:rFonts w:cs="Arial"/>
          <w:lang w:val="pt-BR"/>
        </w:rPr>
      </w:pPr>
    </w:p>
    <w:p w:rsidR="00702601" w:rsidRPr="00F47FAF" w:rsidRDefault="00702601" w:rsidP="00702601">
      <w:pPr>
        <w:tabs>
          <w:tab w:val="left" w:pos="424"/>
        </w:tabs>
        <w:spacing w:after="240" w:line="240" w:lineRule="auto"/>
        <w:rPr>
          <w:rFonts w:cs="Arial"/>
          <w:lang w:val="pt-BR"/>
        </w:rPr>
      </w:pPr>
      <w:r w:rsidRPr="00F47FAF">
        <w:rPr>
          <w:rFonts w:cs="Arial"/>
          <w:lang w:val="pt-BR"/>
        </w:rPr>
        <w:br w:type="page"/>
      </w:r>
    </w:p>
    <w:p w:rsidR="00702601" w:rsidRPr="00F47FAF" w:rsidRDefault="00702601" w:rsidP="00702601">
      <w:pPr>
        <w:shd w:val="clear" w:color="auto" w:fill="B8CCE4"/>
        <w:tabs>
          <w:tab w:val="left" w:pos="1276"/>
          <w:tab w:val="right" w:pos="8550"/>
        </w:tabs>
        <w:spacing w:before="120" w:after="120"/>
        <w:ind w:right="2"/>
        <w:jc w:val="both"/>
        <w:rPr>
          <w:rFonts w:cs="Arial"/>
          <w:b/>
          <w:lang w:val="pt-BR"/>
        </w:rPr>
      </w:pPr>
      <w:r w:rsidRPr="00F47FAF">
        <w:rPr>
          <w:rFonts w:cs="Arial"/>
          <w:b/>
          <w:lang w:val="pt-BR"/>
        </w:rPr>
        <w:lastRenderedPageBreak/>
        <w:t>BLOCO 1: INTRODUÇÃO À AULA</w:t>
      </w:r>
    </w:p>
    <w:p w:rsidR="00702601" w:rsidRDefault="00702601" w:rsidP="00C52E09">
      <w:pPr>
        <w:pStyle w:val="ListParagraph"/>
        <w:numPr>
          <w:ilvl w:val="1"/>
          <w:numId w:val="129"/>
        </w:numPr>
        <w:spacing w:before="120" w:after="0"/>
        <w:ind w:right="2"/>
        <w:jc w:val="both"/>
        <w:rPr>
          <w:rFonts w:cs="Arial"/>
          <w:lang w:val="pt-BR"/>
        </w:rPr>
      </w:pPr>
      <w:r w:rsidRPr="00702601">
        <w:rPr>
          <w:rFonts w:cs="Arial"/>
          <w:lang w:val="pt-BR"/>
        </w:rPr>
        <w:t>Apresentação do tópico, conteúdos e objectivos de aprendizagem.</w:t>
      </w:r>
    </w:p>
    <w:p w:rsidR="00702601" w:rsidRDefault="00702601" w:rsidP="00C52E09">
      <w:pPr>
        <w:pStyle w:val="ListParagraph"/>
        <w:numPr>
          <w:ilvl w:val="1"/>
          <w:numId w:val="129"/>
        </w:numPr>
        <w:spacing w:before="120" w:after="0"/>
        <w:ind w:right="2"/>
        <w:jc w:val="both"/>
        <w:rPr>
          <w:rFonts w:cs="Arial"/>
          <w:lang w:val="pt-BR"/>
        </w:rPr>
      </w:pPr>
      <w:r w:rsidRPr="00702601">
        <w:rPr>
          <w:rFonts w:cs="Arial"/>
          <w:lang w:val="pt-BR"/>
        </w:rPr>
        <w:t>Apresentação da estrutura da aula.</w:t>
      </w:r>
    </w:p>
    <w:p w:rsidR="00702601" w:rsidRDefault="00702601" w:rsidP="00C52E09">
      <w:pPr>
        <w:pStyle w:val="ListParagraph"/>
        <w:numPr>
          <w:ilvl w:val="1"/>
          <w:numId w:val="129"/>
        </w:numPr>
        <w:spacing w:before="120" w:after="0"/>
        <w:ind w:right="2"/>
        <w:jc w:val="both"/>
        <w:rPr>
          <w:rFonts w:cs="Arial"/>
          <w:lang w:val="pt-BR"/>
        </w:rPr>
      </w:pPr>
      <w:r w:rsidRPr="00702601">
        <w:rPr>
          <w:rFonts w:cs="Arial"/>
          <w:lang w:val="pt-BR"/>
        </w:rPr>
        <w:t>Apresentação da bibliografia que o aluno deverá manejar para ampliar os conhecimentos.</w:t>
      </w:r>
    </w:p>
    <w:p w:rsidR="001A0DDE" w:rsidRPr="00702601" w:rsidRDefault="001A0DDE" w:rsidP="001A0DDE">
      <w:pPr>
        <w:pStyle w:val="ListParagraph"/>
        <w:spacing w:before="120" w:after="0"/>
        <w:ind w:right="2"/>
        <w:jc w:val="both"/>
        <w:rPr>
          <w:rFonts w:cs="Arial"/>
          <w:lang w:val="pt-BR"/>
        </w:rPr>
      </w:pPr>
    </w:p>
    <w:p w:rsidR="00702601" w:rsidRPr="001A0DDE" w:rsidRDefault="00702601" w:rsidP="00702601">
      <w:pPr>
        <w:shd w:val="clear" w:color="auto" w:fill="B8CCE4"/>
        <w:tabs>
          <w:tab w:val="left" w:pos="1276"/>
          <w:tab w:val="right" w:pos="8550"/>
        </w:tabs>
        <w:spacing w:before="120" w:after="120"/>
        <w:ind w:right="2"/>
        <w:jc w:val="both"/>
        <w:rPr>
          <w:rFonts w:eastAsia="Calibri" w:cs="Arial"/>
          <w:b/>
          <w:lang w:val="pt-PT"/>
        </w:rPr>
      </w:pPr>
      <w:r w:rsidRPr="001A0DDE">
        <w:rPr>
          <w:rFonts w:eastAsia="Calibri" w:cs="Arial"/>
          <w:b/>
          <w:lang w:val="pt-PT"/>
        </w:rPr>
        <w:t>BLOCO 2: CARACTERÍSTICAS BÁSICAS DOS HELMINTOS</w:t>
      </w:r>
    </w:p>
    <w:p w:rsidR="00702601" w:rsidRPr="00764C98" w:rsidRDefault="00702601" w:rsidP="00C52E09">
      <w:pPr>
        <w:numPr>
          <w:ilvl w:val="0"/>
          <w:numId w:val="112"/>
        </w:numPr>
        <w:spacing w:before="120" w:after="0"/>
        <w:ind w:left="450" w:hanging="450"/>
        <w:jc w:val="both"/>
        <w:rPr>
          <w:rFonts w:cs="Arial"/>
          <w:lang w:val="pt-BR"/>
        </w:rPr>
      </w:pPr>
      <w:r w:rsidRPr="00764C98">
        <w:rPr>
          <w:rFonts w:cs="Arial"/>
          <w:lang w:val="pt-BR"/>
        </w:rPr>
        <w:t>Os helmintos, ou vermes parasitas, são organismos multicelulares que vivem no interior dos seus hospedeiros. Eles dividem-se em Nemátodos (</w:t>
      </w:r>
      <w:r w:rsidRPr="00764C98">
        <w:rPr>
          <w:rFonts w:cs="Arial"/>
          <w:i/>
          <w:lang w:val="pt-BR"/>
        </w:rPr>
        <w:t>Wuchereria bancrofti, Ascaris lumbricóides, stongyloides stercoralis</w:t>
      </w:r>
      <w:r w:rsidRPr="00764C98">
        <w:rPr>
          <w:rFonts w:cs="Arial"/>
          <w:lang w:val="pt-BR"/>
        </w:rPr>
        <w:t>) e Platelmintes. Os platelmintes subdividem-se em tremátodes (</w:t>
      </w:r>
      <w:r w:rsidRPr="00764C98">
        <w:rPr>
          <w:rFonts w:cs="Arial"/>
          <w:i/>
          <w:lang w:val="pt-BR"/>
        </w:rPr>
        <w:t>Schistossoma haematobium, Schistossoma mansoni, Fasciola hepática</w:t>
      </w:r>
      <w:r w:rsidRPr="00764C98">
        <w:rPr>
          <w:rFonts w:cs="Arial"/>
          <w:lang w:val="pt-BR"/>
        </w:rPr>
        <w:t>) e cestodes (</w:t>
      </w:r>
      <w:r w:rsidRPr="00764C98">
        <w:rPr>
          <w:rFonts w:cs="Arial"/>
          <w:i/>
          <w:lang w:val="pt-BR"/>
        </w:rPr>
        <w:t>Taenia solium e Taenia saginata</w:t>
      </w:r>
      <w:r w:rsidRPr="00764C98">
        <w:rPr>
          <w:rFonts w:cs="Arial"/>
          <w:lang w:val="pt-BR"/>
        </w:rPr>
        <w:t xml:space="preserve">) – </w:t>
      </w:r>
      <w:r w:rsidRPr="00764C98">
        <w:rPr>
          <w:rFonts w:cs="Arial"/>
          <w:b/>
          <w:lang w:val="pt-BR"/>
        </w:rPr>
        <w:t>vide tabela da classificação dos parasitas com exemplos da aula 12</w:t>
      </w:r>
      <w:r w:rsidRPr="00764C98">
        <w:rPr>
          <w:rFonts w:cs="Arial"/>
          <w:lang w:val="pt-BR"/>
        </w:rPr>
        <w:t>.</w:t>
      </w:r>
    </w:p>
    <w:p w:rsidR="00702601" w:rsidRPr="00764C98" w:rsidRDefault="00702601" w:rsidP="00C52E09">
      <w:pPr>
        <w:numPr>
          <w:ilvl w:val="0"/>
          <w:numId w:val="112"/>
        </w:numPr>
        <w:spacing w:before="120" w:after="0"/>
        <w:ind w:left="450" w:hanging="450"/>
        <w:jc w:val="both"/>
        <w:rPr>
          <w:rFonts w:cs="Arial"/>
          <w:lang w:val="pt-BR"/>
        </w:rPr>
      </w:pPr>
      <w:r w:rsidRPr="00764C98">
        <w:rPr>
          <w:rFonts w:cs="Arial"/>
          <w:lang w:val="pt-BR"/>
        </w:rPr>
        <w:t>As infecções por helmintos podem afectar diversos tecidos, como tracto gastrointestinal, pele, tecidos muscular e subcutâneo, olhos, e sistemas respiratório, circulatório e nervoso.</w:t>
      </w:r>
    </w:p>
    <w:p w:rsidR="00702601" w:rsidRPr="00764C98" w:rsidRDefault="00702601" w:rsidP="00C52E09">
      <w:pPr>
        <w:numPr>
          <w:ilvl w:val="0"/>
          <w:numId w:val="112"/>
        </w:numPr>
        <w:spacing w:before="120" w:after="0"/>
        <w:ind w:left="450" w:hanging="450"/>
        <w:jc w:val="both"/>
        <w:rPr>
          <w:rFonts w:cs="Arial"/>
          <w:lang w:val="pt-BR"/>
        </w:rPr>
      </w:pPr>
      <w:r w:rsidRPr="00764C98">
        <w:rPr>
          <w:rFonts w:cs="Arial"/>
          <w:lang w:val="pt-BR"/>
        </w:rPr>
        <w:t>O ciclo de vida típico de um helminto inclui três estágios: ovo, larva e verme adulto. Os vermes adultos produzem ovos, dos quais emergem as larvas, que posteriormente se transformam em vermes adultos.</w:t>
      </w:r>
    </w:p>
    <w:p w:rsidR="00702601" w:rsidRPr="00764C98" w:rsidRDefault="00702601" w:rsidP="00702601">
      <w:pPr>
        <w:spacing w:before="120"/>
        <w:ind w:left="450"/>
        <w:jc w:val="center"/>
        <w:rPr>
          <w:rFonts w:cs="Arial"/>
          <w:lang w:val="pt-BR"/>
        </w:rPr>
      </w:pPr>
      <w:r>
        <w:rPr>
          <w:rFonts w:cs="Arial"/>
          <w:noProof/>
          <w:lang w:val="en-ZW" w:eastAsia="en-ZW"/>
        </w:rPr>
        <w:drawing>
          <wp:inline distT="0" distB="0" distL="0" distR="0" wp14:anchorId="7F062414" wp14:editId="29A30768">
            <wp:extent cx="6025104" cy="5067300"/>
            <wp:effectExtent l="7396" t="0" r="0" b="0"/>
            <wp:docPr id="181" name="Object 12"/>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968552" cy="5502805"/>
                      <a:chOff x="2051720" y="548680"/>
                      <a:chExt cx="4968552" cy="5502805"/>
                    </a:xfrm>
                  </a:grpSpPr>
                  <a:grpSp>
                    <a:nvGrpSpPr>
                      <a:cNvPr id="5" name="Group 4"/>
                      <a:cNvGrpSpPr/>
                    </a:nvGrpSpPr>
                    <a:grpSpPr>
                      <a:xfrm>
                        <a:off x="2051720" y="548680"/>
                        <a:ext cx="4968552" cy="5502805"/>
                        <a:chOff x="2051720" y="548680"/>
                        <a:chExt cx="4968552" cy="5502805"/>
                      </a:xfrm>
                    </a:grpSpPr>
                    <a:pic>
                      <a:nvPicPr>
                        <a:cNvPr id="44034" name="Picture 2" descr="http://www.stanford.edu/class/humbio103/ParaSites2005/Trichuris/Trichuris_LifeCycle.gif"/>
                        <a:cNvPicPr>
                          <a:picLocks noChangeAspect="1" noChangeArrowheads="1"/>
                        </a:cNvPicPr>
                      </a:nvPicPr>
                      <a:blipFill>
                        <a:blip r:embed="rId109"/>
                        <a:srcRect/>
                        <a:stretch>
                          <a:fillRect/>
                        </a:stretch>
                      </a:blipFill>
                      <a:spPr bwMode="auto">
                        <a:xfrm>
                          <a:off x="2051720" y="548680"/>
                          <a:ext cx="4968552" cy="4752528"/>
                        </a:xfrm>
                        <a:prstGeom prst="rect">
                          <a:avLst/>
                        </a:prstGeom>
                        <a:noFill/>
                      </a:spPr>
                    </a:pic>
                    <a:sp>
                      <a:nvSpPr>
                        <a:cNvPr id="3" name="TextBox 2"/>
                        <a:cNvSpPr txBox="1"/>
                      </a:nvSpPr>
                      <a:spPr>
                        <a:xfrm>
                          <a:off x="2123728" y="5445224"/>
                          <a:ext cx="4896544" cy="276999"/>
                        </a:xfrm>
                        <a:prstGeom prst="rect">
                          <a:avLst/>
                        </a:prstGeom>
                        <a:noFill/>
                      </a:spPr>
                      <a:txSp>
                        <a:txBody>
                          <a:bodyPr wrap="square" rtlCol="0">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200" b="1" dirty="0" err="1" smtClean="0"/>
                              <a:t>Legenda</a:t>
                            </a:r>
                            <a:r>
                              <a:rPr lang="en-GB" sz="1200" b="1" dirty="0" smtClean="0"/>
                              <a:t>: 1, 2, 3 e 4 – </a:t>
                            </a:r>
                            <a:r>
                              <a:rPr lang="en-GB" sz="1200" b="1" dirty="0" err="1" smtClean="0"/>
                              <a:t>ovos</a:t>
                            </a:r>
                            <a:r>
                              <a:rPr lang="en-GB" sz="1200" b="1" dirty="0" smtClean="0"/>
                              <a:t>;   5 – Larva;        6 – </a:t>
                            </a:r>
                            <a:r>
                              <a:rPr lang="en-GB" sz="1200" b="1" dirty="0" err="1" smtClean="0"/>
                              <a:t>Vermes</a:t>
                            </a:r>
                            <a:r>
                              <a:rPr lang="en-GB" sz="1200" b="1" dirty="0" smtClean="0"/>
                              <a:t> </a:t>
                            </a:r>
                            <a:r>
                              <a:rPr lang="en-GB" sz="1200" b="1" dirty="0" err="1" smtClean="0"/>
                              <a:t>Adultos</a:t>
                            </a:r>
                            <a:r>
                              <a:rPr lang="en-GB" sz="1200" b="1" dirty="0" smtClean="0"/>
                              <a:t> </a:t>
                            </a:r>
                            <a:endParaRPr lang="en-GB" sz="1200" b="1" dirty="0"/>
                          </a:p>
                        </a:txBody>
                        <a:useSpRect/>
                      </a:txSp>
                    </a:sp>
                    <a:sp>
                      <a:nvSpPr>
                        <a:cNvPr id="4" name="Rectangle 3"/>
                        <a:cNvSpPr/>
                      </a:nvSpPr>
                      <a:spPr>
                        <a:xfrm>
                          <a:off x="2267744" y="5805264"/>
                          <a:ext cx="4572000" cy="246221"/>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000" dirty="0" smtClean="0"/>
                              <a:t>http://pathmicro.med.sc.edu/parasitology/AscariasisLifeCycle.gif</a:t>
                            </a:r>
                            <a:endParaRPr lang="en-GB" sz="1000" dirty="0"/>
                          </a:p>
                        </a:txBody>
                        <a:useSpRect/>
                      </a:txSp>
                    </a:sp>
                  </a:grpSp>
                </lc:lockedCanvas>
              </a:graphicData>
            </a:graphic>
          </wp:inline>
        </w:drawing>
      </w:r>
    </w:p>
    <w:p w:rsidR="00702601" w:rsidRPr="00764C98" w:rsidRDefault="00774441" w:rsidP="00702601">
      <w:pPr>
        <w:pStyle w:val="TM-3"/>
        <w:ind w:left="1418" w:right="567" w:firstLine="0"/>
        <w:rPr>
          <w:i/>
        </w:rPr>
      </w:pPr>
      <w:r w:rsidRPr="00774441">
        <w:rPr>
          <w:b/>
        </w:rPr>
        <w:t>Figura 1:</w:t>
      </w:r>
      <w:r w:rsidR="00702601" w:rsidRPr="00764C98">
        <w:t xml:space="preserve"> Esquema do ciclo de vida típico de um helminto</w:t>
      </w:r>
    </w:p>
    <w:p w:rsidR="00702601" w:rsidRPr="00764C98" w:rsidRDefault="00702601" w:rsidP="00C52E09">
      <w:pPr>
        <w:numPr>
          <w:ilvl w:val="0"/>
          <w:numId w:val="112"/>
        </w:numPr>
        <w:spacing w:before="120" w:after="0"/>
        <w:ind w:left="450" w:hanging="450"/>
        <w:jc w:val="both"/>
        <w:rPr>
          <w:rFonts w:cs="Arial"/>
          <w:lang w:val="pt-BR"/>
        </w:rPr>
      </w:pPr>
      <w:r w:rsidRPr="00764C98">
        <w:rPr>
          <w:rFonts w:cs="Arial"/>
          <w:lang w:val="pt-BR"/>
        </w:rPr>
        <w:lastRenderedPageBreak/>
        <w:t>O hospedeiro que alberga o estágio larvar é chamado hospedeiro intermediário, e o hospedeiro que alberga o verme adulto é chamado hospedeiro definitivo.</w:t>
      </w:r>
    </w:p>
    <w:p w:rsidR="00702601" w:rsidRPr="00764C98" w:rsidRDefault="00702601" w:rsidP="00C52E09">
      <w:pPr>
        <w:numPr>
          <w:ilvl w:val="0"/>
          <w:numId w:val="112"/>
        </w:numPr>
        <w:spacing w:before="120" w:after="0"/>
        <w:ind w:left="450" w:hanging="450"/>
        <w:jc w:val="both"/>
        <w:rPr>
          <w:rFonts w:cs="Arial"/>
          <w:lang w:val="pt-BR"/>
        </w:rPr>
      </w:pPr>
      <w:r w:rsidRPr="00764C98">
        <w:rPr>
          <w:rFonts w:cs="Arial"/>
          <w:lang w:val="pt-BR"/>
        </w:rPr>
        <w:t>A transmissão da infecção se realiza por várias vias diferentes:</w:t>
      </w:r>
    </w:p>
    <w:p w:rsidR="00702601" w:rsidRPr="00764C98" w:rsidRDefault="00702601" w:rsidP="00C52E09">
      <w:pPr>
        <w:numPr>
          <w:ilvl w:val="0"/>
          <w:numId w:val="113"/>
        </w:numPr>
        <w:spacing w:before="120" w:after="0"/>
        <w:ind w:left="1080" w:hanging="630"/>
        <w:jc w:val="both"/>
        <w:rPr>
          <w:rFonts w:cs="Arial"/>
        </w:rPr>
      </w:pPr>
      <w:r w:rsidRPr="00764C98">
        <w:rPr>
          <w:rFonts w:cs="Arial"/>
          <w:lang w:val="pt-BR"/>
        </w:rPr>
        <w:t xml:space="preserve">Ingestão de carne contaminada mal cozinhada, especialmente carne de vaca e suino; também carne de peixe. </w:t>
      </w:r>
      <w:r w:rsidRPr="00764C98">
        <w:rPr>
          <w:rFonts w:cs="Arial"/>
        </w:rPr>
        <w:t xml:space="preserve">Por exemplo, </w:t>
      </w:r>
      <w:r w:rsidRPr="00764C98">
        <w:rPr>
          <w:rFonts w:cs="Arial"/>
          <w:i/>
        </w:rPr>
        <w:t>Trichinella spiralis e Taenia solium</w:t>
      </w:r>
      <w:r w:rsidRPr="00764C98">
        <w:rPr>
          <w:rFonts w:cs="Arial"/>
        </w:rPr>
        <w:t>.</w:t>
      </w:r>
    </w:p>
    <w:p w:rsidR="00702601" w:rsidRPr="00764C98" w:rsidRDefault="00702601" w:rsidP="00C52E09">
      <w:pPr>
        <w:numPr>
          <w:ilvl w:val="0"/>
          <w:numId w:val="113"/>
        </w:numPr>
        <w:spacing w:before="120" w:after="0"/>
        <w:ind w:left="1080" w:hanging="630"/>
        <w:jc w:val="both"/>
        <w:rPr>
          <w:rFonts w:cs="Arial"/>
          <w:lang w:val="pt-BR"/>
        </w:rPr>
      </w:pPr>
      <w:r w:rsidRPr="00764C98">
        <w:rPr>
          <w:rFonts w:cs="Arial"/>
          <w:lang w:val="pt-BR"/>
        </w:rPr>
        <w:t xml:space="preserve">Água contaminada. Por exemplo, </w:t>
      </w:r>
      <w:r w:rsidRPr="00764C98">
        <w:rPr>
          <w:rFonts w:cs="Arial"/>
          <w:i/>
          <w:lang w:val="pt-BR"/>
        </w:rPr>
        <w:t>Schistosoma haematobium e Ascaris lumbricoide</w:t>
      </w:r>
      <w:r w:rsidRPr="00764C98">
        <w:rPr>
          <w:rFonts w:cs="Arial"/>
          <w:lang w:val="pt-BR"/>
        </w:rPr>
        <w:t>.</w:t>
      </w:r>
    </w:p>
    <w:p w:rsidR="00702601" w:rsidRPr="00764C98" w:rsidRDefault="00702601" w:rsidP="00C52E09">
      <w:pPr>
        <w:numPr>
          <w:ilvl w:val="0"/>
          <w:numId w:val="113"/>
        </w:numPr>
        <w:spacing w:before="120" w:after="0"/>
        <w:ind w:left="1080" w:hanging="630"/>
        <w:jc w:val="both"/>
        <w:rPr>
          <w:rFonts w:cs="Arial"/>
          <w:lang w:val="pt-BR"/>
        </w:rPr>
      </w:pPr>
      <w:r w:rsidRPr="00764C98">
        <w:rPr>
          <w:rFonts w:cs="Arial"/>
          <w:lang w:val="pt-BR"/>
        </w:rPr>
        <w:t xml:space="preserve">Fezes, contendo ovos. Por exemplo, </w:t>
      </w:r>
      <w:r w:rsidRPr="00764C98">
        <w:rPr>
          <w:rFonts w:cs="Arial"/>
          <w:i/>
          <w:lang w:val="pt-BR"/>
        </w:rPr>
        <w:t>Ancylostoma duodenale</w:t>
      </w:r>
      <w:r w:rsidRPr="00764C98">
        <w:rPr>
          <w:rFonts w:cs="Arial"/>
          <w:lang w:val="pt-BR"/>
        </w:rPr>
        <w:t>.</w:t>
      </w:r>
    </w:p>
    <w:p w:rsidR="00702601" w:rsidRPr="00764C98" w:rsidRDefault="00702601" w:rsidP="00C52E09">
      <w:pPr>
        <w:numPr>
          <w:ilvl w:val="0"/>
          <w:numId w:val="113"/>
        </w:numPr>
        <w:spacing w:before="120" w:after="0"/>
        <w:ind w:left="1080" w:hanging="630"/>
        <w:jc w:val="both"/>
        <w:rPr>
          <w:rFonts w:cs="Arial"/>
          <w:lang w:val="pt-BR"/>
        </w:rPr>
      </w:pPr>
      <w:r w:rsidRPr="00764C98">
        <w:rPr>
          <w:rFonts w:cs="Arial"/>
          <w:lang w:val="pt-BR"/>
        </w:rPr>
        <w:t xml:space="preserve">Picada de artrópodos. Por exemplo, </w:t>
      </w:r>
      <w:r w:rsidRPr="00764C98">
        <w:rPr>
          <w:rFonts w:cs="Arial"/>
          <w:i/>
          <w:lang w:val="pt-BR"/>
        </w:rPr>
        <w:t>Onchocerca volvulus e Wuchereria bancrofti</w:t>
      </w:r>
      <w:r w:rsidRPr="00764C98">
        <w:rPr>
          <w:rFonts w:cs="Arial"/>
          <w:lang w:val="pt-BR"/>
        </w:rPr>
        <w:t>.</w:t>
      </w:r>
    </w:p>
    <w:p w:rsidR="00702601" w:rsidRPr="00764C98" w:rsidRDefault="00702601" w:rsidP="00C52E09">
      <w:pPr>
        <w:numPr>
          <w:ilvl w:val="0"/>
          <w:numId w:val="112"/>
        </w:numPr>
        <w:spacing w:before="120" w:after="0"/>
        <w:ind w:left="450" w:hanging="450"/>
        <w:jc w:val="both"/>
        <w:rPr>
          <w:rFonts w:cs="Arial"/>
          <w:lang w:val="pt-BR"/>
        </w:rPr>
      </w:pPr>
      <w:r w:rsidRPr="00764C98">
        <w:rPr>
          <w:rFonts w:cs="Arial"/>
          <w:lang w:val="pt-BR"/>
        </w:rPr>
        <w:t>Taxonómicamente, os helmintos parasitas humanos pertencem a dois grandes grupos:</w:t>
      </w:r>
    </w:p>
    <w:p w:rsidR="00702601" w:rsidRPr="00764C98" w:rsidRDefault="00702601" w:rsidP="00C52E09">
      <w:pPr>
        <w:numPr>
          <w:ilvl w:val="0"/>
          <w:numId w:val="114"/>
        </w:numPr>
        <w:spacing w:before="120" w:after="0"/>
        <w:ind w:left="1080" w:hanging="630"/>
        <w:jc w:val="both"/>
        <w:rPr>
          <w:rFonts w:cs="Arial"/>
          <w:lang w:val="pt-BR"/>
        </w:rPr>
      </w:pPr>
      <w:r w:rsidRPr="00764C98">
        <w:rPr>
          <w:rFonts w:cs="Arial"/>
          <w:lang w:val="pt-BR"/>
        </w:rPr>
        <w:t xml:space="preserve">Platelmintos, ou vermes achatados. Podem ter forma de fita (por exemplo, </w:t>
      </w:r>
      <w:r w:rsidRPr="00764C98">
        <w:rPr>
          <w:rFonts w:cs="Arial"/>
          <w:i/>
          <w:lang w:val="pt-BR"/>
        </w:rPr>
        <w:t>Taenia solium</w:t>
      </w:r>
      <w:r w:rsidRPr="00764C98">
        <w:rPr>
          <w:rFonts w:cs="Arial"/>
          <w:lang w:val="pt-BR"/>
        </w:rPr>
        <w:t xml:space="preserve">), ou de folha (por exemplo, </w:t>
      </w:r>
      <w:r w:rsidRPr="00764C98">
        <w:rPr>
          <w:rFonts w:cs="Arial"/>
          <w:i/>
          <w:lang w:val="pt-BR"/>
        </w:rPr>
        <w:t>Schistosoma haematobium</w:t>
      </w:r>
      <w:r w:rsidRPr="00764C98">
        <w:rPr>
          <w:rFonts w:cs="Arial"/>
          <w:lang w:val="pt-BR"/>
        </w:rPr>
        <w:t>).</w:t>
      </w:r>
    </w:p>
    <w:p w:rsidR="00702601" w:rsidRPr="00764C98" w:rsidRDefault="00702601" w:rsidP="00C52E09">
      <w:pPr>
        <w:numPr>
          <w:ilvl w:val="0"/>
          <w:numId w:val="114"/>
        </w:numPr>
        <w:spacing w:before="120" w:after="0"/>
        <w:ind w:left="1080" w:hanging="630"/>
        <w:jc w:val="both"/>
        <w:rPr>
          <w:rFonts w:cs="Arial"/>
          <w:lang w:val="pt-BR"/>
        </w:rPr>
      </w:pPr>
      <w:r w:rsidRPr="00764C98">
        <w:rPr>
          <w:rFonts w:cs="Arial"/>
          <w:lang w:val="pt-BR"/>
        </w:rPr>
        <w:t xml:space="preserve">Nematódeos, ou vermes cilíndricos. Entre eles estão áscaris e filárias. Possuem sistemas digestivo e nervoso, e são principalmente parasitas intestinais. Por exemplo, </w:t>
      </w:r>
      <w:r w:rsidRPr="00764C98">
        <w:rPr>
          <w:rFonts w:cs="Arial"/>
          <w:i/>
          <w:lang w:val="pt-BR"/>
        </w:rPr>
        <w:t>Wuchereria bancrofti, Ancylostoma duodenale, Ascaris lumbricoide, Trichuris trichuria, e Trichinella spiralis</w:t>
      </w:r>
      <w:r w:rsidRPr="00764C98">
        <w:rPr>
          <w:rFonts w:cs="Arial"/>
          <w:lang w:val="pt-BR"/>
        </w:rPr>
        <w:t>.</w:t>
      </w:r>
    </w:p>
    <w:p w:rsidR="00702601" w:rsidRPr="00764C98" w:rsidRDefault="00702601" w:rsidP="00C52E09">
      <w:pPr>
        <w:numPr>
          <w:ilvl w:val="0"/>
          <w:numId w:val="112"/>
        </w:numPr>
        <w:spacing w:before="120" w:after="0"/>
        <w:ind w:left="450" w:hanging="450"/>
        <w:jc w:val="both"/>
        <w:rPr>
          <w:rFonts w:cs="Arial"/>
          <w:lang w:val="pt-BR"/>
        </w:rPr>
      </w:pPr>
      <w:r w:rsidRPr="00764C98">
        <w:rPr>
          <w:rFonts w:cs="Arial"/>
          <w:lang w:val="pt-BR"/>
        </w:rPr>
        <w:t>Um estudo efectuado em Moçambique no período entre Agosto de 2005 e Junho de 2007, abrangendo crianças em idade escolar dos 7 aos 22 anos, mostrou as seguintes prevalências:</w:t>
      </w:r>
    </w:p>
    <w:p w:rsidR="00702601" w:rsidRPr="00764C98" w:rsidRDefault="00702601" w:rsidP="00C52E09">
      <w:pPr>
        <w:numPr>
          <w:ilvl w:val="1"/>
          <w:numId w:val="112"/>
        </w:numPr>
        <w:spacing w:before="120" w:after="0"/>
        <w:jc w:val="both"/>
        <w:rPr>
          <w:rFonts w:cs="Arial"/>
          <w:i/>
          <w:lang w:val="pt-BR"/>
        </w:rPr>
      </w:pPr>
      <w:r w:rsidRPr="00764C98">
        <w:rPr>
          <w:rFonts w:cs="Arial"/>
          <w:i/>
          <w:lang w:val="pt-BR"/>
        </w:rPr>
        <w:t>Schistosoma haematobium – 47%</w:t>
      </w:r>
    </w:p>
    <w:p w:rsidR="00702601" w:rsidRPr="00764C98" w:rsidRDefault="00702601" w:rsidP="00C52E09">
      <w:pPr>
        <w:numPr>
          <w:ilvl w:val="1"/>
          <w:numId w:val="112"/>
        </w:numPr>
        <w:spacing w:before="120" w:after="0"/>
        <w:jc w:val="both"/>
        <w:rPr>
          <w:rFonts w:cs="Arial"/>
          <w:i/>
          <w:lang w:val="pt-BR"/>
        </w:rPr>
      </w:pPr>
      <w:r w:rsidRPr="00764C98">
        <w:rPr>
          <w:rFonts w:cs="Arial"/>
          <w:i/>
          <w:lang w:val="pt-BR"/>
        </w:rPr>
        <w:t>Schistosoma mansoni – 8.7%</w:t>
      </w:r>
    </w:p>
    <w:p w:rsidR="00702601" w:rsidRPr="00764C98" w:rsidRDefault="00702601" w:rsidP="00C52E09">
      <w:pPr>
        <w:numPr>
          <w:ilvl w:val="1"/>
          <w:numId w:val="112"/>
        </w:numPr>
        <w:spacing w:before="120" w:after="0"/>
        <w:jc w:val="both"/>
        <w:rPr>
          <w:rFonts w:cs="Arial"/>
          <w:i/>
          <w:lang w:val="pt-BR"/>
        </w:rPr>
      </w:pPr>
      <w:r w:rsidRPr="00764C98">
        <w:rPr>
          <w:rFonts w:cs="Arial"/>
          <w:i/>
          <w:lang w:val="pt-BR"/>
        </w:rPr>
        <w:t>Ascaris lumbricoides – 65.8%</w:t>
      </w:r>
    </w:p>
    <w:p w:rsidR="00702601" w:rsidRPr="00764C98" w:rsidRDefault="00702601" w:rsidP="00C52E09">
      <w:pPr>
        <w:numPr>
          <w:ilvl w:val="1"/>
          <w:numId w:val="112"/>
        </w:numPr>
        <w:spacing w:before="120" w:after="0"/>
        <w:jc w:val="both"/>
        <w:rPr>
          <w:rFonts w:cs="Arial"/>
          <w:i/>
          <w:lang w:val="pt-BR"/>
        </w:rPr>
      </w:pPr>
      <w:r w:rsidRPr="00764C98">
        <w:rPr>
          <w:rFonts w:cs="Arial"/>
          <w:i/>
          <w:lang w:val="pt-BR"/>
        </w:rPr>
        <w:t>Trichiuris trichiura – 54%</w:t>
      </w:r>
    </w:p>
    <w:p w:rsidR="00702601" w:rsidRPr="00764C98" w:rsidRDefault="00702601" w:rsidP="00C52E09">
      <w:pPr>
        <w:numPr>
          <w:ilvl w:val="1"/>
          <w:numId w:val="112"/>
        </w:numPr>
        <w:spacing w:before="120" w:after="0"/>
        <w:jc w:val="both"/>
        <w:rPr>
          <w:rFonts w:cs="Arial"/>
          <w:i/>
          <w:lang w:val="pt-BR"/>
        </w:rPr>
      </w:pPr>
      <w:r w:rsidRPr="00764C98">
        <w:rPr>
          <w:rFonts w:cs="Arial"/>
          <w:i/>
          <w:lang w:val="pt-BR"/>
        </w:rPr>
        <w:t>Ancylostoma duodenale/Necator americanus – 38,7%</w:t>
      </w:r>
    </w:p>
    <w:p w:rsidR="00702601" w:rsidRPr="00764C98" w:rsidRDefault="00702601" w:rsidP="00C52E09">
      <w:pPr>
        <w:numPr>
          <w:ilvl w:val="0"/>
          <w:numId w:val="112"/>
        </w:numPr>
        <w:spacing w:before="120" w:after="0"/>
        <w:ind w:left="450" w:hanging="450"/>
        <w:jc w:val="both"/>
        <w:rPr>
          <w:rFonts w:cs="Arial"/>
          <w:lang w:val="pt-BR"/>
        </w:rPr>
      </w:pPr>
      <w:r w:rsidRPr="00764C98">
        <w:rPr>
          <w:rFonts w:cs="Arial"/>
          <w:lang w:val="pt-BR"/>
        </w:rPr>
        <w:t>Considerando os órgãos por eles afectados, os helmintos podem ser divididos em dois grandes grupos: helmintos gastrointestinais e helmintos invasivos</w:t>
      </w:r>
    </w:p>
    <w:p w:rsidR="00702601" w:rsidRPr="00764C98" w:rsidRDefault="00702601" w:rsidP="00D648E9">
      <w:pPr>
        <w:spacing w:before="120"/>
        <w:ind w:left="450"/>
        <w:jc w:val="both"/>
        <w:rPr>
          <w:rFonts w:cs="Arial"/>
          <w:lang w:val="pt-BR"/>
        </w:rPr>
      </w:pPr>
      <w:r w:rsidRPr="00774441">
        <w:rPr>
          <w:rFonts w:cs="Arial"/>
          <w:b/>
          <w:lang w:val="pt-BR"/>
        </w:rPr>
        <w:t>2.8.1</w:t>
      </w:r>
      <w:r w:rsidRPr="00764C98">
        <w:rPr>
          <w:rFonts w:cs="Arial"/>
          <w:lang w:val="pt-BR"/>
        </w:rPr>
        <w:t xml:space="preserve"> Os helmintos gastrointestinais são responsáveis pela grande maioria de doenças causadas por esta categoria de parasitas.</w:t>
      </w:r>
    </w:p>
    <w:p w:rsidR="00702601" w:rsidRPr="00764C98" w:rsidRDefault="00702601" w:rsidP="00C52E09">
      <w:pPr>
        <w:pStyle w:val="TM-4n"/>
        <w:numPr>
          <w:ilvl w:val="0"/>
          <w:numId w:val="128"/>
        </w:numPr>
        <w:tabs>
          <w:tab w:val="clear" w:pos="1134"/>
        </w:tabs>
        <w:spacing w:before="120" w:after="0" w:line="276" w:lineRule="auto"/>
      </w:pPr>
      <w:r w:rsidRPr="00764C98">
        <w:t xml:space="preserve">A prevalência da infecção por helmintos gastrointestinais é  elevada. Alguns estudos indicam que até um </w:t>
      </w:r>
      <w:r>
        <w:t>quarto</w:t>
      </w:r>
      <w:r w:rsidRPr="00764C98">
        <w:t xml:space="preserve"> parte da população mundial poderia estar infectada por algum tipo de helminto gastrointestinal.</w:t>
      </w:r>
    </w:p>
    <w:p w:rsidR="00702601" w:rsidRPr="00764C98" w:rsidRDefault="00702601" w:rsidP="00C52E09">
      <w:pPr>
        <w:pStyle w:val="TM-4n"/>
        <w:numPr>
          <w:ilvl w:val="0"/>
          <w:numId w:val="128"/>
        </w:numPr>
        <w:tabs>
          <w:tab w:val="clear" w:pos="1134"/>
        </w:tabs>
        <w:spacing w:before="120" w:after="0" w:line="276" w:lineRule="auto"/>
      </w:pPr>
      <w:r w:rsidRPr="00764C98">
        <w:t>As crianças são especialmente vulneráveis, por causa da frequente falta de condições higiénicas, e pela vulnerabilidade do seu sistema imunológico.</w:t>
      </w:r>
    </w:p>
    <w:p w:rsidR="00702601" w:rsidRPr="00764C98" w:rsidRDefault="00702601" w:rsidP="00C52E09">
      <w:pPr>
        <w:pStyle w:val="TM-4n"/>
        <w:numPr>
          <w:ilvl w:val="0"/>
          <w:numId w:val="128"/>
        </w:numPr>
        <w:tabs>
          <w:tab w:val="clear" w:pos="1134"/>
        </w:tabs>
        <w:spacing w:before="120" w:after="0" w:line="276" w:lineRule="auto"/>
      </w:pPr>
      <w:r w:rsidRPr="00764C98">
        <w:t>Os sintomas mais frequentes da infecção intestinal por helmintos são dor gástrica, obstipação intestinal (dificuldade para a evacuação de fezes), distensão abdominal, vómitos, fraqueza e insónia. Estes sintomas podem se agravar quando o número de parasitas é muito elevado.</w:t>
      </w:r>
    </w:p>
    <w:p w:rsidR="00702601" w:rsidRPr="00764C98" w:rsidRDefault="00702601" w:rsidP="00C52E09">
      <w:pPr>
        <w:pStyle w:val="TM-4n"/>
        <w:numPr>
          <w:ilvl w:val="0"/>
          <w:numId w:val="128"/>
        </w:numPr>
        <w:tabs>
          <w:tab w:val="clear" w:pos="1134"/>
        </w:tabs>
        <w:spacing w:before="120" w:after="0" w:line="276" w:lineRule="auto"/>
      </w:pPr>
      <w:r w:rsidRPr="00764C98">
        <w:t>A infecção intestinal por helmintos pode afectar ao estado nutricional do paciente por diversas vias, dentre elas: a) utilização dos nutrientes provenientes dos alimentos ingeridos pelo paciente; b) mal-absorção associada à presença dos vermes no intestino; c) anorexia e falta de apetite induzidas pela presença dos vermes no intestino; e d) anemia, já que muito vermes intestinais sugam directamente o sangue do paciente</w:t>
      </w:r>
    </w:p>
    <w:p w:rsidR="00702601" w:rsidRPr="00764C98" w:rsidRDefault="00702601" w:rsidP="00C52E09">
      <w:pPr>
        <w:pStyle w:val="TM-4n"/>
        <w:numPr>
          <w:ilvl w:val="0"/>
          <w:numId w:val="128"/>
        </w:numPr>
        <w:tabs>
          <w:tab w:val="clear" w:pos="1134"/>
        </w:tabs>
        <w:spacing w:before="120" w:after="0" w:line="276" w:lineRule="auto"/>
      </w:pPr>
      <w:r w:rsidRPr="00764C98">
        <w:lastRenderedPageBreak/>
        <w:t>Uma das consequências mais graves da malnutrição produzida pela infecção intestinal por helmintos em crianças é o défice no desenvolvimento psicomotor e intelectual.</w:t>
      </w:r>
    </w:p>
    <w:p w:rsidR="00702601" w:rsidRPr="00764C98" w:rsidRDefault="00702601" w:rsidP="00C52E09">
      <w:pPr>
        <w:pStyle w:val="TM-4n"/>
        <w:numPr>
          <w:ilvl w:val="0"/>
          <w:numId w:val="128"/>
        </w:numPr>
        <w:tabs>
          <w:tab w:val="clear" w:pos="1134"/>
        </w:tabs>
        <w:spacing w:before="120" w:after="0" w:line="276" w:lineRule="auto"/>
      </w:pPr>
      <w:r w:rsidRPr="00764C98">
        <w:t>Também pode reduzir a capacidade de resposta imunológica do hospedeiro, e pensa-se que a infecção por helmintos pode estar associada a uma maior susceptibilidade as infecções por HIV e tuberculose.</w:t>
      </w:r>
    </w:p>
    <w:p w:rsidR="00702601" w:rsidRPr="00764C98" w:rsidRDefault="00702601" w:rsidP="00D648E9">
      <w:pPr>
        <w:spacing w:before="120"/>
        <w:ind w:left="450"/>
        <w:jc w:val="both"/>
        <w:rPr>
          <w:rFonts w:cs="Arial"/>
          <w:lang w:val="pt-BR"/>
        </w:rPr>
      </w:pPr>
      <w:r w:rsidRPr="00774441">
        <w:rPr>
          <w:rFonts w:cs="Arial"/>
          <w:b/>
          <w:lang w:val="pt-BR"/>
        </w:rPr>
        <w:t>2.8.2</w:t>
      </w:r>
      <w:r w:rsidRPr="00764C98">
        <w:rPr>
          <w:rFonts w:cs="Arial"/>
          <w:lang w:val="pt-BR"/>
        </w:rPr>
        <w:t xml:space="preserve"> Os helmintos invasivos têm capacidade invasiva, e infectam diferentes tecidos corporais. Entre eles estão </w:t>
      </w:r>
      <w:r w:rsidRPr="00764C98">
        <w:rPr>
          <w:rFonts w:cs="Arial"/>
          <w:i/>
          <w:lang w:val="pt-BR"/>
        </w:rPr>
        <w:t>Taenia solium, Schistosoma haematobium, e Trichinella spiralis</w:t>
      </w:r>
      <w:r w:rsidRPr="00764C98">
        <w:rPr>
          <w:rFonts w:cs="Arial"/>
          <w:lang w:val="pt-BR"/>
        </w:rPr>
        <w:t>.</w:t>
      </w:r>
    </w:p>
    <w:p w:rsidR="00702601" w:rsidRDefault="00702601" w:rsidP="00C52E09">
      <w:pPr>
        <w:numPr>
          <w:ilvl w:val="0"/>
          <w:numId w:val="112"/>
        </w:numPr>
        <w:spacing w:before="120" w:after="0"/>
        <w:ind w:left="450" w:hanging="450"/>
        <w:jc w:val="both"/>
        <w:rPr>
          <w:rFonts w:cs="Arial"/>
          <w:lang w:val="pt-BR"/>
        </w:rPr>
      </w:pPr>
      <w:r w:rsidRPr="00764C98">
        <w:rPr>
          <w:rFonts w:cs="Arial"/>
          <w:lang w:val="pt-BR"/>
        </w:rPr>
        <w:t xml:space="preserve">Diagnóstico. O procedimento essencial no diagnóstico das helmintoses consiste na identificação microscópica de ovos ou larvas em fezes, urina, sangue, ou outros tecidos ou visualização macroscópica (exemplo: </w:t>
      </w:r>
      <w:r w:rsidRPr="00764C98">
        <w:rPr>
          <w:rFonts w:cs="Arial"/>
          <w:i/>
          <w:lang w:val="pt-BR"/>
        </w:rPr>
        <w:t>ascaris lumbricoides</w:t>
      </w:r>
      <w:r w:rsidRPr="00764C98">
        <w:rPr>
          <w:rFonts w:cs="Arial"/>
          <w:lang w:val="pt-BR"/>
        </w:rPr>
        <w:t>).</w:t>
      </w:r>
    </w:p>
    <w:p w:rsidR="001A0DDE" w:rsidRPr="00764C98" w:rsidRDefault="001A0DDE" w:rsidP="001A0DDE">
      <w:pPr>
        <w:spacing w:before="120" w:after="0"/>
        <w:ind w:left="450"/>
        <w:jc w:val="both"/>
        <w:rPr>
          <w:rFonts w:cs="Arial"/>
          <w:lang w:val="pt-BR"/>
        </w:rPr>
      </w:pPr>
    </w:p>
    <w:p w:rsidR="00702601" w:rsidRPr="001A0DDE" w:rsidRDefault="00702601" w:rsidP="00702601">
      <w:pPr>
        <w:shd w:val="clear" w:color="auto" w:fill="B8CCE4"/>
        <w:tabs>
          <w:tab w:val="left" w:pos="1276"/>
          <w:tab w:val="right" w:pos="8550"/>
        </w:tabs>
        <w:spacing w:before="120" w:after="120"/>
        <w:ind w:right="2"/>
        <w:jc w:val="both"/>
        <w:rPr>
          <w:rFonts w:eastAsia="Calibri" w:cs="Arial"/>
          <w:b/>
          <w:lang w:val="pt-PT"/>
        </w:rPr>
      </w:pPr>
      <w:r w:rsidRPr="001A0DDE">
        <w:rPr>
          <w:rFonts w:eastAsia="Calibri" w:cs="Arial"/>
          <w:b/>
          <w:lang w:val="pt-PT"/>
        </w:rPr>
        <w:t>BLOCO 3: HELMINTOS GASTROINTESTINAIS EM MOÇAMBIQUE</w:t>
      </w:r>
    </w:p>
    <w:p w:rsidR="00702601" w:rsidRPr="00721151" w:rsidRDefault="00702601" w:rsidP="00C52E09">
      <w:pPr>
        <w:numPr>
          <w:ilvl w:val="0"/>
          <w:numId w:val="115"/>
        </w:numPr>
        <w:spacing w:before="120" w:after="0"/>
        <w:ind w:left="450" w:hanging="450"/>
        <w:jc w:val="both"/>
        <w:rPr>
          <w:rFonts w:cs="Arial"/>
          <w:b/>
          <w:i/>
        </w:rPr>
      </w:pPr>
      <w:r w:rsidRPr="00721151">
        <w:rPr>
          <w:rFonts w:cs="Arial"/>
          <w:b/>
          <w:i/>
        </w:rPr>
        <w:t>Ancylostoma duodenale.</w:t>
      </w:r>
    </w:p>
    <w:p w:rsidR="00702601" w:rsidRPr="00764C98" w:rsidRDefault="00702601" w:rsidP="00C52E09">
      <w:pPr>
        <w:numPr>
          <w:ilvl w:val="0"/>
          <w:numId w:val="116"/>
        </w:numPr>
        <w:spacing w:before="120" w:after="0"/>
        <w:ind w:left="1080" w:hanging="720"/>
        <w:jc w:val="both"/>
        <w:rPr>
          <w:rFonts w:cs="Arial"/>
          <w:lang w:val="pt-BR"/>
        </w:rPr>
      </w:pPr>
      <w:r w:rsidRPr="00764C98">
        <w:rPr>
          <w:rFonts w:cs="Arial"/>
          <w:lang w:val="pt-BR"/>
        </w:rPr>
        <w:t>É uma das parasitoses mais frequentes a nível mundial.</w:t>
      </w:r>
    </w:p>
    <w:p w:rsidR="00702601" w:rsidRPr="00764C98" w:rsidRDefault="00702601" w:rsidP="00C52E09">
      <w:pPr>
        <w:numPr>
          <w:ilvl w:val="0"/>
          <w:numId w:val="116"/>
        </w:numPr>
        <w:spacing w:before="120" w:after="0"/>
        <w:ind w:left="1080" w:hanging="720"/>
        <w:jc w:val="both"/>
        <w:rPr>
          <w:rFonts w:cs="Arial"/>
          <w:lang w:val="pt-BR"/>
        </w:rPr>
      </w:pPr>
      <w:r w:rsidRPr="00764C98">
        <w:rPr>
          <w:rFonts w:cs="Arial"/>
          <w:lang w:val="pt-BR"/>
        </w:rPr>
        <w:t>As larvas se desenvolvem no solo, a partir de ovos eliminados nas fezes de indivíduos infectados. Penetram normalmente através da pele dos pés e das mãos.</w:t>
      </w:r>
    </w:p>
    <w:p w:rsidR="00702601" w:rsidRPr="00764C98" w:rsidRDefault="00702601" w:rsidP="00C52E09">
      <w:pPr>
        <w:numPr>
          <w:ilvl w:val="0"/>
          <w:numId w:val="116"/>
        </w:numPr>
        <w:spacing w:before="120" w:after="0"/>
        <w:ind w:left="1080" w:hanging="720"/>
        <w:jc w:val="both"/>
        <w:rPr>
          <w:rFonts w:cs="Arial"/>
          <w:lang w:val="pt-BR"/>
        </w:rPr>
      </w:pPr>
      <w:r w:rsidRPr="00764C98">
        <w:rPr>
          <w:rFonts w:cs="Arial"/>
          <w:lang w:val="pt-BR"/>
        </w:rPr>
        <w:t>As larvas chegam até os pulmões pelo sistema circulatório. Ali rompem os alvéolos e ascendem pela traqueia, chegando ao esófago, onde são deglutidas.</w:t>
      </w:r>
    </w:p>
    <w:p w:rsidR="00702601" w:rsidRPr="00764C98" w:rsidRDefault="00702601" w:rsidP="00C52E09">
      <w:pPr>
        <w:numPr>
          <w:ilvl w:val="0"/>
          <w:numId w:val="116"/>
        </w:numPr>
        <w:spacing w:before="120" w:after="0"/>
        <w:ind w:left="1080" w:hanging="720"/>
        <w:jc w:val="both"/>
        <w:rPr>
          <w:rFonts w:cs="Arial"/>
          <w:lang w:val="pt-BR"/>
        </w:rPr>
      </w:pPr>
      <w:r w:rsidRPr="00764C98">
        <w:rPr>
          <w:rFonts w:cs="Arial"/>
          <w:lang w:val="pt-BR"/>
        </w:rPr>
        <w:t>Uma vez no tracto gastrointestinal, se fixam na parede de duodeno e jejuno.</w:t>
      </w:r>
    </w:p>
    <w:p w:rsidR="00702601" w:rsidRPr="00764C98" w:rsidRDefault="00702601" w:rsidP="00C52E09">
      <w:pPr>
        <w:numPr>
          <w:ilvl w:val="0"/>
          <w:numId w:val="116"/>
        </w:numPr>
        <w:spacing w:before="120" w:after="0"/>
        <w:ind w:left="1080" w:hanging="720"/>
        <w:jc w:val="both"/>
        <w:rPr>
          <w:rFonts w:cs="Arial"/>
          <w:lang w:val="pt-BR"/>
        </w:rPr>
      </w:pPr>
      <w:r w:rsidRPr="00764C98">
        <w:rPr>
          <w:rFonts w:cs="Arial"/>
          <w:lang w:val="pt-BR"/>
        </w:rPr>
        <w:t>As manifestações clínicas são inespecíficas, como anorexia, náuseas e dor abdominal. Os ancilóstomas provocam perda crónica de sangue, o que pode produzir anemia e fraqueza.</w:t>
      </w:r>
    </w:p>
    <w:p w:rsidR="00702601" w:rsidRPr="00764C98" w:rsidRDefault="00702601" w:rsidP="00C52E09">
      <w:pPr>
        <w:numPr>
          <w:ilvl w:val="0"/>
          <w:numId w:val="116"/>
        </w:numPr>
        <w:spacing w:before="120" w:after="0"/>
        <w:ind w:left="1080" w:hanging="720"/>
        <w:jc w:val="both"/>
        <w:rPr>
          <w:rFonts w:cs="Arial"/>
          <w:lang w:val="pt-BR"/>
        </w:rPr>
      </w:pPr>
      <w:r w:rsidRPr="00764C98">
        <w:rPr>
          <w:rFonts w:cs="Arial"/>
          <w:lang w:val="pt-BR"/>
        </w:rPr>
        <w:t>O diagnóstico faz-se por exame coprológico (amostra de fezes), com visualização dos ovos do parasita.</w:t>
      </w:r>
    </w:p>
    <w:p w:rsidR="00702601" w:rsidRPr="00764C98" w:rsidRDefault="00702601" w:rsidP="00702601">
      <w:pPr>
        <w:spacing w:before="120"/>
        <w:ind w:left="1080"/>
        <w:jc w:val="center"/>
        <w:rPr>
          <w:rFonts w:cs="Arial"/>
          <w:lang w:val="pt-BR"/>
        </w:rPr>
      </w:pPr>
      <w:r>
        <w:rPr>
          <w:rFonts w:cs="Arial"/>
          <w:noProof/>
          <w:lang w:val="en-ZW" w:eastAsia="en-ZW"/>
        </w:rPr>
        <w:drawing>
          <wp:inline distT="0" distB="0" distL="0" distR="0" wp14:anchorId="6E5FE916" wp14:editId="707DD5B1">
            <wp:extent cx="4572000" cy="1582310"/>
            <wp:effectExtent l="0" t="0" r="0" b="0"/>
            <wp:docPr id="180" name="Object 13"/>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572000" cy="1974413"/>
                      <a:chOff x="251520" y="548680"/>
                      <a:chExt cx="4572000" cy="1974413"/>
                    </a:xfrm>
                  </a:grpSpPr>
                  <a:grpSp>
                    <a:nvGrpSpPr>
                      <a:cNvPr id="4" name="Group 3"/>
                      <a:cNvGrpSpPr/>
                    </a:nvGrpSpPr>
                    <a:grpSpPr>
                      <a:xfrm>
                        <a:off x="251520" y="548680"/>
                        <a:ext cx="4572000" cy="1974413"/>
                        <a:chOff x="251520" y="548680"/>
                        <a:chExt cx="4572000" cy="1974413"/>
                      </a:xfrm>
                    </a:grpSpPr>
                    <a:pic>
                      <a:nvPicPr>
                        <a:cNvPr id="45058" name="Picture 2" descr="http://pathmicro.med.sc.edu/parasitology/asc2.jpg"/>
                        <a:cNvPicPr>
                          <a:picLocks noChangeAspect="1" noChangeArrowheads="1"/>
                        </a:cNvPicPr>
                      </a:nvPicPr>
                      <a:blipFill>
                        <a:blip r:embed="rId110"/>
                        <a:srcRect/>
                        <a:stretch>
                          <a:fillRect/>
                        </a:stretch>
                      </a:blipFill>
                      <a:spPr bwMode="auto">
                        <a:xfrm>
                          <a:off x="539552" y="548680"/>
                          <a:ext cx="3000375" cy="1666875"/>
                        </a:xfrm>
                        <a:prstGeom prst="rect">
                          <a:avLst/>
                        </a:prstGeom>
                        <a:noFill/>
                      </a:spPr>
                    </a:pic>
                    <a:sp>
                      <a:nvSpPr>
                        <a:cNvPr id="3" name="Rectangle 2"/>
                        <a:cNvSpPr/>
                      </a:nvSpPr>
                      <a:spPr>
                        <a:xfrm>
                          <a:off x="251520" y="2276872"/>
                          <a:ext cx="4572000" cy="246221"/>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000" dirty="0" smtClean="0"/>
                              <a:t>http://pathmicro.med.sc.edu/parasitology/asc2.jpg</a:t>
                            </a:r>
                            <a:endParaRPr lang="en-GB" sz="1000" dirty="0"/>
                          </a:p>
                        </a:txBody>
                        <a:useSpRect/>
                      </a:txSp>
                    </a:sp>
                  </a:grpSp>
                </lc:lockedCanvas>
              </a:graphicData>
            </a:graphic>
          </wp:inline>
        </w:drawing>
      </w:r>
    </w:p>
    <w:p w:rsidR="00702601" w:rsidRPr="00764C98" w:rsidRDefault="00702601" w:rsidP="00702601">
      <w:pPr>
        <w:pStyle w:val="TM-3"/>
        <w:ind w:left="1418" w:right="567" w:firstLine="0"/>
        <w:jc w:val="center"/>
      </w:pPr>
      <w:r w:rsidRPr="00774441">
        <w:rPr>
          <w:b/>
        </w:rPr>
        <w:t>Figura 2</w:t>
      </w:r>
      <w:r w:rsidR="00774441" w:rsidRPr="00774441">
        <w:rPr>
          <w:b/>
        </w:rPr>
        <w:t>:</w:t>
      </w:r>
      <w:r w:rsidRPr="00764C98">
        <w:t xml:space="preserve"> Imagem de ovos de Ancylostoma duodenale em fezes</w:t>
      </w:r>
    </w:p>
    <w:p w:rsidR="00702601" w:rsidRPr="00721151" w:rsidRDefault="00702601" w:rsidP="00C52E09">
      <w:pPr>
        <w:numPr>
          <w:ilvl w:val="0"/>
          <w:numId w:val="115"/>
        </w:numPr>
        <w:spacing w:before="120" w:after="0"/>
        <w:ind w:left="450" w:hanging="450"/>
        <w:jc w:val="both"/>
        <w:rPr>
          <w:rFonts w:cs="Arial"/>
          <w:b/>
          <w:i/>
        </w:rPr>
      </w:pPr>
      <w:r w:rsidRPr="00721151">
        <w:rPr>
          <w:rFonts w:cs="Arial"/>
          <w:b/>
          <w:i/>
        </w:rPr>
        <w:t>Ascaris lumbricoides</w:t>
      </w:r>
    </w:p>
    <w:p w:rsidR="00702601" w:rsidRPr="00764C98" w:rsidRDefault="00702601" w:rsidP="00C52E09">
      <w:pPr>
        <w:numPr>
          <w:ilvl w:val="0"/>
          <w:numId w:val="117"/>
        </w:numPr>
        <w:spacing w:before="120" w:after="0"/>
        <w:ind w:left="1080" w:hanging="630"/>
        <w:jc w:val="both"/>
        <w:rPr>
          <w:rFonts w:cs="Arial"/>
          <w:lang w:val="pt-BR"/>
        </w:rPr>
      </w:pPr>
      <w:r w:rsidRPr="00764C98">
        <w:rPr>
          <w:rFonts w:cs="Arial"/>
          <w:lang w:val="pt-BR"/>
        </w:rPr>
        <w:t>É frequente, estima-se que um bilhão de indivíduos são hospedeiros de Ascaris no mundo.</w:t>
      </w:r>
    </w:p>
    <w:p w:rsidR="00702601" w:rsidRPr="00764C98" w:rsidRDefault="00702601" w:rsidP="00C52E09">
      <w:pPr>
        <w:numPr>
          <w:ilvl w:val="0"/>
          <w:numId w:val="117"/>
        </w:numPr>
        <w:spacing w:before="120" w:after="0"/>
        <w:ind w:left="1080" w:hanging="630"/>
        <w:jc w:val="both"/>
        <w:rPr>
          <w:rFonts w:cs="Arial"/>
          <w:lang w:val="pt-BR"/>
        </w:rPr>
      </w:pPr>
      <w:r w:rsidRPr="00764C98">
        <w:rPr>
          <w:rFonts w:cs="Arial"/>
          <w:lang w:val="pt-BR"/>
        </w:rPr>
        <w:t>A infecção produz-se através da ingestão de água ou alimentos contaminados com ovos.</w:t>
      </w:r>
    </w:p>
    <w:p w:rsidR="00702601" w:rsidRPr="00764C98" w:rsidRDefault="00702601" w:rsidP="00C52E09">
      <w:pPr>
        <w:numPr>
          <w:ilvl w:val="0"/>
          <w:numId w:val="117"/>
        </w:numPr>
        <w:spacing w:before="120" w:after="0"/>
        <w:ind w:left="1080" w:hanging="630"/>
        <w:jc w:val="both"/>
        <w:rPr>
          <w:rFonts w:cs="Arial"/>
        </w:rPr>
      </w:pPr>
      <w:r w:rsidRPr="00764C98">
        <w:rPr>
          <w:rFonts w:cs="Arial"/>
          <w:lang w:val="pt-BR"/>
        </w:rPr>
        <w:t xml:space="preserve">Os ovos libertam as larvas no intestino. Estas atravessam a parede intestinal e chegam ao fígado. </w:t>
      </w:r>
      <w:r w:rsidRPr="00764C98">
        <w:rPr>
          <w:rFonts w:cs="Arial"/>
        </w:rPr>
        <w:t xml:space="preserve">Deste </w:t>
      </w:r>
      <w:proofErr w:type="gramStart"/>
      <w:r w:rsidRPr="00764C98">
        <w:rPr>
          <w:rFonts w:cs="Arial"/>
        </w:rPr>
        <w:t>ponto ,</w:t>
      </w:r>
      <w:proofErr w:type="gramEnd"/>
      <w:r w:rsidRPr="00764C98">
        <w:rPr>
          <w:rFonts w:cs="Arial"/>
        </w:rPr>
        <w:t xml:space="preserve"> migram aos pulmões através do sistema circulatório.</w:t>
      </w:r>
    </w:p>
    <w:p w:rsidR="00702601" w:rsidRPr="00764C98" w:rsidRDefault="00702601" w:rsidP="00C52E09">
      <w:pPr>
        <w:numPr>
          <w:ilvl w:val="0"/>
          <w:numId w:val="117"/>
        </w:numPr>
        <w:spacing w:before="120" w:after="0"/>
        <w:ind w:left="1080" w:hanging="630"/>
        <w:jc w:val="both"/>
        <w:rPr>
          <w:rFonts w:cs="Arial"/>
          <w:lang w:val="pt-BR"/>
        </w:rPr>
      </w:pPr>
      <w:r w:rsidRPr="00764C98">
        <w:rPr>
          <w:rFonts w:cs="Arial"/>
          <w:lang w:val="pt-BR"/>
        </w:rPr>
        <w:t>Nos pulmões, atravessam os alvéolos e ascendem pela traqueia, chegando ao esófago onde são deglutidos. Finalmente, permanecem no duodeno e jejuno, libertando grande quantidade de ovos.</w:t>
      </w:r>
    </w:p>
    <w:p w:rsidR="00702601" w:rsidRPr="00764C98" w:rsidRDefault="00702601" w:rsidP="00C52E09">
      <w:pPr>
        <w:numPr>
          <w:ilvl w:val="0"/>
          <w:numId w:val="117"/>
        </w:numPr>
        <w:spacing w:before="120" w:after="0"/>
        <w:ind w:left="1080" w:hanging="630"/>
        <w:jc w:val="both"/>
        <w:rPr>
          <w:rFonts w:cs="Arial"/>
          <w:lang w:val="pt-BR"/>
        </w:rPr>
      </w:pPr>
      <w:r w:rsidRPr="00764C98">
        <w:rPr>
          <w:rFonts w:cs="Arial"/>
          <w:lang w:val="pt-BR"/>
        </w:rPr>
        <w:lastRenderedPageBreak/>
        <w:t>No intestino, produzem cólicas, mau estar abdominal e meteorismo com abaulamento do ventre (abdómen cheio de gases). Pode-se produzir obstrução intestinal por acúmulo de grandes quantidades de vermes.</w:t>
      </w:r>
    </w:p>
    <w:p w:rsidR="00702601" w:rsidRPr="00764C98" w:rsidRDefault="00702601" w:rsidP="00702601">
      <w:pPr>
        <w:spacing w:before="120"/>
        <w:ind w:left="1080"/>
        <w:jc w:val="center"/>
        <w:rPr>
          <w:rFonts w:cs="Arial"/>
          <w:lang w:val="en-GB"/>
        </w:rPr>
      </w:pPr>
      <w:r>
        <w:rPr>
          <w:rFonts w:cs="Arial"/>
          <w:noProof/>
          <w:lang w:val="en-ZW" w:eastAsia="en-ZW"/>
        </w:rPr>
        <w:drawing>
          <wp:inline distT="0" distB="0" distL="0" distR="0" wp14:anchorId="267BEC4D" wp14:editId="7B250954">
            <wp:extent cx="4063117" cy="1304014"/>
            <wp:effectExtent l="0" t="0" r="0" b="0"/>
            <wp:docPr id="173" name="Object 15"/>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388424" cy="3702605"/>
                      <a:chOff x="251520" y="764704"/>
                      <a:chExt cx="8388424" cy="3702605"/>
                    </a:xfrm>
                  </a:grpSpPr>
                  <a:grpSp>
                    <a:nvGrpSpPr>
                      <a:cNvPr id="6" name="Group 5"/>
                      <a:cNvGrpSpPr/>
                    </a:nvGrpSpPr>
                    <a:grpSpPr>
                      <a:xfrm>
                        <a:off x="251520" y="764704"/>
                        <a:ext cx="8388424" cy="3702605"/>
                        <a:chOff x="251520" y="764704"/>
                        <a:chExt cx="8388424" cy="3702605"/>
                      </a:xfrm>
                    </a:grpSpPr>
                    <a:pic>
                      <a:nvPicPr>
                        <a:cNvPr id="46082" name="Picture 2" descr="http://www.k-state.edu/parasitology/546tutorials/NEMFIG05.JPG"/>
                        <a:cNvPicPr>
                          <a:picLocks noChangeAspect="1" noChangeArrowheads="1"/>
                        </a:cNvPicPr>
                      </a:nvPicPr>
                      <a:blipFill>
                        <a:blip r:embed="rId111"/>
                        <a:srcRect/>
                        <a:stretch>
                          <a:fillRect/>
                        </a:stretch>
                      </a:blipFill>
                      <a:spPr bwMode="auto">
                        <a:xfrm>
                          <a:off x="4788024" y="764704"/>
                          <a:ext cx="3419872" cy="3344458"/>
                        </a:xfrm>
                        <a:prstGeom prst="rect">
                          <a:avLst/>
                        </a:prstGeom>
                        <a:noFill/>
                      </a:spPr>
                    </a:pic>
                    <a:pic>
                      <a:nvPicPr>
                        <a:cNvPr id="3" name="Picture 8" descr="http://www.duke.edu/~ema5/Golian/Slides/7/InfDis-Parasite3_files/Id045.jpg"/>
                        <a:cNvPicPr>
                          <a:picLocks noChangeAspect="1" noChangeArrowheads="1"/>
                        </a:cNvPicPr>
                      </a:nvPicPr>
                      <a:blipFill>
                        <a:blip r:embed="rId112"/>
                        <a:srcRect/>
                        <a:stretch>
                          <a:fillRect/>
                        </a:stretch>
                      </a:blipFill>
                      <a:spPr bwMode="auto">
                        <a:xfrm>
                          <a:off x="1043608" y="908720"/>
                          <a:ext cx="3096344" cy="3240360"/>
                        </a:xfrm>
                        <a:prstGeom prst="rect">
                          <a:avLst/>
                        </a:prstGeom>
                        <a:noFill/>
                      </a:spPr>
                    </a:pic>
                    <a:sp>
                      <a:nvSpPr>
                        <a:cNvPr id="4" name="Rectangle 3"/>
                        <a:cNvSpPr/>
                      </a:nvSpPr>
                      <a:spPr>
                        <a:xfrm>
                          <a:off x="251520" y="4221088"/>
                          <a:ext cx="4572000" cy="246221"/>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000" dirty="0" smtClean="0"/>
                              <a:t>http://www.duke.edu/~ema5/Golian/Slides/7/InfDis-Parasite3_files/Id045.jpg</a:t>
                            </a:r>
                            <a:endParaRPr lang="en-GB" sz="1000" dirty="0"/>
                          </a:p>
                        </a:txBody>
                        <a:useSpRect/>
                      </a:txSp>
                    </a:sp>
                    <a:sp>
                      <a:nvSpPr>
                        <a:cNvPr id="5" name="Rectangle 4"/>
                        <a:cNvSpPr/>
                      </a:nvSpPr>
                      <a:spPr>
                        <a:xfrm>
                          <a:off x="5220072" y="4221088"/>
                          <a:ext cx="3419872" cy="215444"/>
                        </a:xfrm>
                        <a:prstGeom prst="rect">
                          <a:avLst/>
                        </a:prstGeom>
                      </a:spPr>
                      <a:txSp>
                        <a:txBody>
                          <a:bodyPr wrap="square">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800" dirty="0" smtClean="0"/>
                              <a:t>http://www.k-state.edu/parasitology/546tutorials/NEMFIG05.JPG</a:t>
                            </a:r>
                            <a:endParaRPr lang="en-GB" sz="800" dirty="0"/>
                          </a:p>
                        </a:txBody>
                        <a:useSpRect/>
                      </a:txSp>
                    </a:sp>
                  </a:grpSp>
                </lc:lockedCanvas>
              </a:graphicData>
            </a:graphic>
          </wp:inline>
        </w:drawing>
      </w:r>
    </w:p>
    <w:p w:rsidR="00702601" w:rsidRPr="00764C98" w:rsidRDefault="00702601" w:rsidP="00702601">
      <w:pPr>
        <w:spacing w:before="120"/>
        <w:ind w:left="1080"/>
        <w:jc w:val="center"/>
        <w:rPr>
          <w:rFonts w:cs="Arial"/>
          <w:lang w:val="pt-BR"/>
        </w:rPr>
      </w:pPr>
      <w:r w:rsidRPr="00774441">
        <w:rPr>
          <w:rFonts w:cs="Arial"/>
          <w:b/>
          <w:lang w:val="pt-BR"/>
        </w:rPr>
        <w:t>Figura 3:</w:t>
      </w:r>
      <w:r w:rsidR="00774441">
        <w:rPr>
          <w:rFonts w:cs="Arial"/>
          <w:lang w:val="pt-BR"/>
        </w:rPr>
        <w:t xml:space="preserve"> </w:t>
      </w:r>
      <w:r w:rsidRPr="00764C98">
        <w:rPr>
          <w:rFonts w:cs="Arial"/>
          <w:i/>
          <w:lang w:val="pt-BR"/>
        </w:rPr>
        <w:t>Ascaris lumbricoides</w:t>
      </w:r>
      <w:r w:rsidRPr="00764C98">
        <w:rPr>
          <w:rFonts w:cs="Arial"/>
          <w:lang w:val="pt-BR"/>
        </w:rPr>
        <w:t xml:space="preserve"> </w:t>
      </w:r>
    </w:p>
    <w:p w:rsidR="00702601" w:rsidRPr="00764C98" w:rsidRDefault="00702601" w:rsidP="00C52E09">
      <w:pPr>
        <w:numPr>
          <w:ilvl w:val="0"/>
          <w:numId w:val="117"/>
        </w:numPr>
        <w:spacing w:before="120" w:after="0"/>
        <w:ind w:left="1080" w:hanging="630"/>
        <w:jc w:val="both"/>
        <w:rPr>
          <w:rFonts w:cs="Arial"/>
          <w:lang w:val="pt-BR"/>
        </w:rPr>
      </w:pPr>
      <w:r w:rsidRPr="00764C98">
        <w:rPr>
          <w:rFonts w:cs="Arial"/>
          <w:lang w:val="pt-BR"/>
        </w:rPr>
        <w:t>Frequentemente, os ascaris podem migrar para locais atípicos, produzindo manifestações como obstrução dos condutos biliares, apendicite ou otite média.</w:t>
      </w:r>
    </w:p>
    <w:p w:rsidR="00702601" w:rsidRPr="00764C98" w:rsidRDefault="00702601" w:rsidP="00C52E09">
      <w:pPr>
        <w:numPr>
          <w:ilvl w:val="0"/>
          <w:numId w:val="117"/>
        </w:numPr>
        <w:spacing w:before="120" w:after="0"/>
        <w:ind w:left="1080" w:hanging="630"/>
        <w:jc w:val="both"/>
        <w:rPr>
          <w:rFonts w:cs="Arial"/>
          <w:lang w:val="pt-BR"/>
        </w:rPr>
      </w:pPr>
      <w:r w:rsidRPr="00764C98">
        <w:rPr>
          <w:rFonts w:cs="Arial"/>
          <w:lang w:val="pt-BR"/>
        </w:rPr>
        <w:t>O diagnóstico faz-se por visualização de ovos nas fezes.</w:t>
      </w:r>
    </w:p>
    <w:p w:rsidR="00702601" w:rsidRPr="00764C98" w:rsidRDefault="00702601" w:rsidP="00702601">
      <w:pPr>
        <w:spacing w:before="120"/>
        <w:ind w:left="1080"/>
        <w:jc w:val="center"/>
        <w:rPr>
          <w:rFonts w:cs="Arial"/>
          <w:lang w:val="pt-BR"/>
        </w:rPr>
      </w:pPr>
      <w:r>
        <w:rPr>
          <w:rFonts w:cs="Arial"/>
          <w:noProof/>
          <w:lang w:val="en-ZW" w:eastAsia="en-ZW"/>
        </w:rPr>
        <w:drawing>
          <wp:inline distT="0" distB="0" distL="0" distR="0" wp14:anchorId="56E3E708" wp14:editId="0022FFFE">
            <wp:extent cx="3546282" cy="1852654"/>
            <wp:effectExtent l="0" t="0" r="0" b="0"/>
            <wp:docPr id="172" name="Object 14"/>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572000" cy="3671828"/>
                      <a:chOff x="3779912" y="548680"/>
                      <a:chExt cx="4572000" cy="3671828"/>
                    </a:xfrm>
                  </a:grpSpPr>
                  <a:grpSp>
                    <a:nvGrpSpPr>
                      <a:cNvPr id="8" name="Group 7"/>
                      <a:cNvGrpSpPr/>
                    </a:nvGrpSpPr>
                    <a:grpSpPr>
                      <a:xfrm>
                        <a:off x="3779912" y="548680"/>
                        <a:ext cx="4572000" cy="3671828"/>
                        <a:chOff x="3779912" y="548680"/>
                        <a:chExt cx="4572000" cy="3671828"/>
                      </a:xfrm>
                    </a:grpSpPr>
                    <a:pic>
                      <a:nvPicPr>
                        <a:cNvPr id="45062" name="Picture 6" descr="http://158.83.1.40/Buckelew/images/Ascaris%20eggs%20fertilized%20and%20embryonated.jpg"/>
                        <a:cNvPicPr>
                          <a:picLocks noChangeAspect="1" noChangeArrowheads="1"/>
                        </a:cNvPicPr>
                      </a:nvPicPr>
                      <a:blipFill>
                        <a:blip r:embed="rId113"/>
                        <a:srcRect/>
                        <a:stretch>
                          <a:fillRect/>
                        </a:stretch>
                      </a:blipFill>
                      <a:spPr bwMode="auto">
                        <a:xfrm>
                          <a:off x="3923928" y="548680"/>
                          <a:ext cx="4223792" cy="3379034"/>
                        </a:xfrm>
                        <a:prstGeom prst="rect">
                          <a:avLst/>
                        </a:prstGeom>
                        <a:noFill/>
                      </a:spPr>
                    </a:pic>
                    <a:sp>
                      <a:nvSpPr>
                        <a:cNvPr id="7" name="Rectangle 6"/>
                        <a:cNvSpPr/>
                      </a:nvSpPr>
                      <a:spPr>
                        <a:xfrm>
                          <a:off x="3779912" y="4005064"/>
                          <a:ext cx="4572000" cy="215444"/>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800" dirty="0" smtClean="0"/>
                              <a:t>http://158.83.1.40/Buckelew/images/Ascaris%20eggs%20fertilized%20and%20embryonated.jpg</a:t>
                            </a:r>
                            <a:endParaRPr lang="en-GB" sz="800" dirty="0"/>
                          </a:p>
                        </a:txBody>
                        <a:useSpRect/>
                      </a:txSp>
                    </a:sp>
                  </a:grpSp>
                </lc:lockedCanvas>
              </a:graphicData>
            </a:graphic>
          </wp:inline>
        </w:drawing>
      </w:r>
    </w:p>
    <w:p w:rsidR="00702601" w:rsidRPr="00764C98" w:rsidRDefault="00702601" w:rsidP="00702601">
      <w:pPr>
        <w:pStyle w:val="TM-3"/>
        <w:ind w:left="1418" w:right="567" w:firstLine="0"/>
      </w:pPr>
      <w:r w:rsidRPr="00774441">
        <w:rPr>
          <w:b/>
        </w:rPr>
        <w:t>Figura 4</w:t>
      </w:r>
      <w:r w:rsidR="00774441" w:rsidRPr="00774441">
        <w:rPr>
          <w:b/>
        </w:rPr>
        <w:t>:</w:t>
      </w:r>
      <w:r w:rsidRPr="00764C98">
        <w:t xml:space="preserve"> Imagem de ovos de Ascaris lumbricoide em fezes</w:t>
      </w:r>
    </w:p>
    <w:p w:rsidR="00702601" w:rsidRPr="00721151" w:rsidRDefault="00702601" w:rsidP="00C52E09">
      <w:pPr>
        <w:numPr>
          <w:ilvl w:val="0"/>
          <w:numId w:val="115"/>
        </w:numPr>
        <w:spacing w:before="120" w:after="0"/>
        <w:ind w:left="450" w:hanging="450"/>
        <w:jc w:val="both"/>
        <w:rPr>
          <w:rFonts w:cs="Arial"/>
          <w:b/>
          <w:i/>
        </w:rPr>
      </w:pPr>
      <w:r w:rsidRPr="00721151">
        <w:rPr>
          <w:rFonts w:cs="Arial"/>
          <w:b/>
          <w:i/>
        </w:rPr>
        <w:t>Strongyloides stercoralis.</w:t>
      </w:r>
    </w:p>
    <w:p w:rsidR="00702601" w:rsidRPr="00764C98" w:rsidRDefault="00702601" w:rsidP="00C52E09">
      <w:pPr>
        <w:numPr>
          <w:ilvl w:val="0"/>
          <w:numId w:val="118"/>
        </w:numPr>
        <w:spacing w:before="120" w:after="0"/>
        <w:ind w:left="1080" w:hanging="630"/>
        <w:jc w:val="both"/>
        <w:rPr>
          <w:rFonts w:cs="Arial"/>
          <w:lang w:val="pt-BR"/>
        </w:rPr>
      </w:pPr>
      <w:r w:rsidRPr="00764C98">
        <w:rPr>
          <w:rFonts w:cs="Arial"/>
          <w:lang w:val="pt-BR"/>
        </w:rPr>
        <w:t>As larvas infectantes se desenvolvem no solo, e penetram através da pele.</w:t>
      </w:r>
    </w:p>
    <w:p w:rsidR="00702601" w:rsidRPr="00764C98" w:rsidRDefault="00702601" w:rsidP="00C52E09">
      <w:pPr>
        <w:numPr>
          <w:ilvl w:val="0"/>
          <w:numId w:val="118"/>
        </w:numPr>
        <w:spacing w:before="120" w:after="0"/>
        <w:ind w:left="1080" w:hanging="630"/>
        <w:jc w:val="both"/>
        <w:rPr>
          <w:rFonts w:cs="Arial"/>
          <w:lang w:val="pt-BR"/>
        </w:rPr>
      </w:pPr>
      <w:r w:rsidRPr="00764C98">
        <w:rPr>
          <w:rFonts w:cs="Arial"/>
          <w:lang w:val="pt-BR"/>
        </w:rPr>
        <w:t>No organismo, chegam até os pulmões pelo sistema circulatório, atravessam os alvéolos e ascendem pela traqueia. Posteriormente são deglutidas e terminam por se fixar no duodeno.</w:t>
      </w:r>
    </w:p>
    <w:p w:rsidR="00702601" w:rsidRPr="00764C98" w:rsidRDefault="00702601" w:rsidP="00C52E09">
      <w:pPr>
        <w:numPr>
          <w:ilvl w:val="0"/>
          <w:numId w:val="118"/>
        </w:numPr>
        <w:spacing w:before="120" w:after="0"/>
        <w:ind w:left="1080" w:hanging="630"/>
        <w:jc w:val="both"/>
        <w:rPr>
          <w:rFonts w:cs="Arial"/>
          <w:lang w:val="pt-BR"/>
        </w:rPr>
      </w:pPr>
      <w:r w:rsidRPr="00764C98">
        <w:rPr>
          <w:rFonts w:cs="Arial"/>
          <w:lang w:val="pt-BR"/>
        </w:rPr>
        <w:t>As manifestações clínicas são dor abdominal, as vezes muito intenso, e diarreia.</w:t>
      </w:r>
    </w:p>
    <w:p w:rsidR="00702601" w:rsidRPr="00764C98" w:rsidRDefault="00702601" w:rsidP="00C52E09">
      <w:pPr>
        <w:numPr>
          <w:ilvl w:val="0"/>
          <w:numId w:val="118"/>
        </w:numPr>
        <w:spacing w:before="120" w:after="0"/>
        <w:ind w:left="1080" w:hanging="630"/>
        <w:jc w:val="both"/>
        <w:rPr>
          <w:rFonts w:cs="Arial"/>
          <w:lang w:val="pt-BR"/>
        </w:rPr>
      </w:pPr>
      <w:r w:rsidRPr="00764C98">
        <w:rPr>
          <w:rFonts w:cs="Arial"/>
          <w:lang w:val="pt-BR"/>
        </w:rPr>
        <w:t>O diagnóstico realiza-se pela visualização de parasitas em fezes.</w:t>
      </w:r>
    </w:p>
    <w:p w:rsidR="00702601" w:rsidRPr="00764C98" w:rsidRDefault="00702601" w:rsidP="00702601">
      <w:pPr>
        <w:spacing w:before="120"/>
        <w:ind w:left="1080"/>
        <w:jc w:val="center"/>
        <w:rPr>
          <w:rFonts w:cs="Arial"/>
          <w:lang w:val="pt-BR"/>
        </w:rPr>
      </w:pPr>
      <w:r>
        <w:rPr>
          <w:rFonts w:cs="Arial"/>
          <w:noProof/>
          <w:lang w:val="en-ZW" w:eastAsia="en-ZW"/>
        </w:rPr>
        <w:drawing>
          <wp:inline distT="0" distB="0" distL="0" distR="0" wp14:anchorId="59C35DD5" wp14:editId="36F394D0">
            <wp:extent cx="4953663" cy="1701580"/>
            <wp:effectExtent l="0" t="0" r="0" b="0"/>
            <wp:docPr id="171" name="Object 18"/>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496944" cy="3846621"/>
                      <a:chOff x="179512" y="1268760"/>
                      <a:chExt cx="8496944" cy="3846621"/>
                    </a:xfrm>
                  </a:grpSpPr>
                  <a:grpSp>
                    <a:nvGrpSpPr>
                      <a:cNvPr id="7" name="Group 6"/>
                      <a:cNvGrpSpPr/>
                    </a:nvGrpSpPr>
                    <a:grpSpPr>
                      <a:xfrm>
                        <a:off x="179512" y="1268760"/>
                        <a:ext cx="8496944" cy="3846621"/>
                        <a:chOff x="179512" y="1268760"/>
                        <a:chExt cx="8496944" cy="3846621"/>
                      </a:xfrm>
                    </a:grpSpPr>
                    <a:grpSp>
                      <a:nvGrpSpPr>
                        <a:cNvPr id="3" name="Group 3"/>
                        <a:cNvGrpSpPr/>
                      </a:nvGrpSpPr>
                      <a:grpSpPr>
                        <a:xfrm>
                          <a:off x="4283968" y="1268760"/>
                          <a:ext cx="4392488" cy="3846621"/>
                          <a:chOff x="2411760" y="1268760"/>
                          <a:chExt cx="5000625" cy="3846621"/>
                        </a:xfrm>
                      </a:grpSpPr>
                      <a:pic>
                        <a:nvPicPr>
                          <a:cNvPr id="47106" name="Picture 2" descr="http://ruby.fgcu.edu/courses/davidb/50249/web/Strongyloidesster146.jpg"/>
                          <a:cNvPicPr>
                            <a:picLocks noChangeAspect="1" noChangeArrowheads="1"/>
                          </a:cNvPicPr>
                        </a:nvPicPr>
                        <a:blipFill>
                          <a:blip r:embed="rId114"/>
                          <a:srcRect/>
                          <a:stretch>
                            <a:fillRect/>
                          </a:stretch>
                        </a:blipFill>
                        <a:spPr bwMode="auto">
                          <a:xfrm>
                            <a:off x="4283968" y="1268760"/>
                            <a:ext cx="4392488" cy="3495675"/>
                          </a:xfrm>
                          <a:prstGeom prst="rect">
                            <a:avLst/>
                          </a:prstGeom>
                          <a:noFill/>
                        </a:spPr>
                      </a:pic>
                      <a:sp>
                        <a:nvSpPr>
                          <a:cNvPr id="2" name="Rectangle 2"/>
                          <a:cNvSpPr/>
                        </a:nvSpPr>
                        <a:spPr>
                          <a:xfrm>
                            <a:off x="2483768" y="4869160"/>
                            <a:ext cx="4572000" cy="246221"/>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000" dirty="0" smtClean="0"/>
                                <a:t>http://ruby.fgcu.edu/courses/davidb/50249/web/Strongyloidesster146.jpg</a:t>
                              </a:r>
                              <a:endParaRPr lang="en-GB" sz="1000" dirty="0"/>
                            </a:p>
                          </a:txBody>
                          <a:useSpRect/>
                        </a:txSp>
                      </a:sp>
                    </a:grpSp>
                    <a:pic>
                      <a:nvPicPr>
                        <a:cNvPr id="47108" name="Picture 4" descr="http://www.andrews.edu/~reinerk/CLS_Study_Guides/ParasitologyStudy/Parasitology%20Module%202a%20-%20Nematodes_files/slide0578_image127.jpg"/>
                        <a:cNvPicPr>
                          <a:picLocks noChangeAspect="1" noChangeArrowheads="1"/>
                        </a:cNvPicPr>
                      </a:nvPicPr>
                      <a:blipFill>
                        <a:blip r:embed="rId115"/>
                        <a:srcRect/>
                        <a:stretch>
                          <a:fillRect/>
                        </a:stretch>
                      </a:blipFill>
                      <a:spPr bwMode="auto">
                        <a:xfrm>
                          <a:off x="827584" y="1412776"/>
                          <a:ext cx="2787005" cy="2664296"/>
                        </a:xfrm>
                        <a:prstGeom prst="rect">
                          <a:avLst/>
                        </a:prstGeom>
                        <a:noFill/>
                      </a:spPr>
                    </a:pic>
                    <a:sp>
                      <a:nvSpPr>
                        <a:cNvPr id="6" name="Rectangle 5"/>
                        <a:cNvSpPr/>
                      </a:nvSpPr>
                      <a:spPr>
                        <a:xfrm>
                          <a:off x="179512" y="4149080"/>
                          <a:ext cx="3960440" cy="338554"/>
                        </a:xfrm>
                        <a:prstGeom prst="rect">
                          <a:avLst/>
                        </a:prstGeom>
                      </a:spPr>
                      <a:txSp>
                        <a:txBody>
                          <a:bodyPr wrap="square">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800" dirty="0" smtClean="0"/>
                              <a:t>http://www.andrews.edu/~reinerk/CLS_Study_Guides/ParasitologyStudy/Parasitology%20Module%202a%20-%20Nematodes_files/slide0578_image127.jpg</a:t>
                            </a:r>
                            <a:endParaRPr lang="en-GB" sz="800" dirty="0"/>
                          </a:p>
                        </a:txBody>
                        <a:useSpRect/>
                      </a:txSp>
                    </a:sp>
                  </a:grpSp>
                </lc:lockedCanvas>
              </a:graphicData>
            </a:graphic>
          </wp:inline>
        </w:drawing>
      </w:r>
    </w:p>
    <w:p w:rsidR="00702601" w:rsidRPr="00764C98" w:rsidRDefault="00774441" w:rsidP="00702601">
      <w:pPr>
        <w:pStyle w:val="TM-3"/>
        <w:ind w:left="1418" w:right="567" w:firstLine="0"/>
        <w:jc w:val="center"/>
      </w:pPr>
      <w:r w:rsidRPr="00774441">
        <w:rPr>
          <w:b/>
        </w:rPr>
        <w:t>Figura 5:</w:t>
      </w:r>
      <w:r w:rsidR="00702601" w:rsidRPr="00764C98">
        <w:t xml:space="preserve"> Imagem  de </w:t>
      </w:r>
      <w:r w:rsidR="00702601" w:rsidRPr="00764C98">
        <w:rPr>
          <w:i/>
        </w:rPr>
        <w:t>Strongyloides stercoralis</w:t>
      </w:r>
      <w:r w:rsidR="00702601" w:rsidRPr="00764C98">
        <w:t xml:space="preserve"> em fezes (à direita) e do ovo (à esquerda)</w:t>
      </w:r>
    </w:p>
    <w:p w:rsidR="00702601" w:rsidRPr="00721151" w:rsidRDefault="00702601" w:rsidP="00C52E09">
      <w:pPr>
        <w:numPr>
          <w:ilvl w:val="0"/>
          <w:numId w:val="115"/>
        </w:numPr>
        <w:spacing w:before="120" w:after="0"/>
        <w:ind w:left="450" w:hanging="450"/>
        <w:jc w:val="both"/>
        <w:rPr>
          <w:rFonts w:cs="Arial"/>
          <w:b/>
          <w:i/>
        </w:rPr>
      </w:pPr>
      <w:r w:rsidRPr="00721151">
        <w:rPr>
          <w:rFonts w:cs="Arial"/>
          <w:b/>
          <w:i/>
        </w:rPr>
        <w:lastRenderedPageBreak/>
        <w:t>Trichuris trichuria</w:t>
      </w:r>
    </w:p>
    <w:p w:rsidR="00702601" w:rsidRPr="00764C98" w:rsidRDefault="00702601" w:rsidP="00C52E09">
      <w:pPr>
        <w:numPr>
          <w:ilvl w:val="0"/>
          <w:numId w:val="119"/>
        </w:numPr>
        <w:spacing w:before="120" w:after="0"/>
        <w:ind w:left="1080" w:hanging="630"/>
        <w:jc w:val="both"/>
        <w:rPr>
          <w:rFonts w:cs="Arial"/>
          <w:lang w:val="pt-BR"/>
        </w:rPr>
      </w:pPr>
      <w:r w:rsidRPr="00764C98">
        <w:rPr>
          <w:rFonts w:cs="Arial"/>
          <w:lang w:val="pt-BR"/>
        </w:rPr>
        <w:t>É uma helmintíase de alta prevalência, e a sua distribuição acompanha à da ascaridíase.</w:t>
      </w:r>
    </w:p>
    <w:p w:rsidR="00702601" w:rsidRPr="00764C98" w:rsidRDefault="00702601" w:rsidP="00C52E09">
      <w:pPr>
        <w:numPr>
          <w:ilvl w:val="0"/>
          <w:numId w:val="119"/>
        </w:numPr>
        <w:spacing w:before="120" w:after="0"/>
        <w:ind w:left="1080" w:hanging="630"/>
        <w:jc w:val="both"/>
        <w:rPr>
          <w:rFonts w:cs="Arial"/>
          <w:lang w:val="pt-BR"/>
        </w:rPr>
      </w:pPr>
      <w:r w:rsidRPr="00764C98">
        <w:rPr>
          <w:rFonts w:cs="Arial"/>
          <w:lang w:val="pt-BR"/>
        </w:rPr>
        <w:t>Os ovos infectantes permanecem no solo, e são ingeridos com água ou alimentos contaminados.</w:t>
      </w:r>
    </w:p>
    <w:p w:rsidR="00702601" w:rsidRPr="00764C98" w:rsidRDefault="00702601" w:rsidP="00C52E09">
      <w:pPr>
        <w:numPr>
          <w:ilvl w:val="0"/>
          <w:numId w:val="119"/>
        </w:numPr>
        <w:spacing w:before="120" w:after="0"/>
        <w:ind w:left="1080" w:hanging="630"/>
        <w:jc w:val="both"/>
        <w:rPr>
          <w:rFonts w:cs="Arial"/>
          <w:lang w:val="pt-BR"/>
        </w:rPr>
      </w:pPr>
      <w:r w:rsidRPr="00764C98">
        <w:rPr>
          <w:rFonts w:cs="Arial"/>
          <w:lang w:val="pt-BR"/>
        </w:rPr>
        <w:t>No intestino, as larvas são libertadas e migram para o ceco, onde penetram na mucosa intestinal. Os vermes permanecem com a cabeça penetrando na mucosa e a cauda no lúmen intestinal.</w:t>
      </w:r>
    </w:p>
    <w:p w:rsidR="00702601" w:rsidRPr="00764C98" w:rsidRDefault="00702601" w:rsidP="00C52E09">
      <w:pPr>
        <w:numPr>
          <w:ilvl w:val="0"/>
          <w:numId w:val="119"/>
        </w:numPr>
        <w:spacing w:before="120" w:after="0"/>
        <w:ind w:left="1080" w:hanging="630"/>
        <w:jc w:val="both"/>
        <w:rPr>
          <w:rFonts w:cs="Arial"/>
          <w:lang w:val="pt-BR"/>
        </w:rPr>
      </w:pPr>
      <w:r w:rsidRPr="00764C98">
        <w:rPr>
          <w:rFonts w:cs="Arial"/>
          <w:lang w:val="pt-BR"/>
        </w:rPr>
        <w:t>As manifestações clínicas são variáveis, desde ausência de sintomas, a dor abdominal, perda de peso, flatulência e fadiga. Os casos graves apresentam necrose da parede intestinal com diarreia sanguinolenta.</w:t>
      </w:r>
    </w:p>
    <w:p w:rsidR="00702601" w:rsidRPr="00764C98" w:rsidRDefault="00702601" w:rsidP="00C52E09">
      <w:pPr>
        <w:numPr>
          <w:ilvl w:val="0"/>
          <w:numId w:val="119"/>
        </w:numPr>
        <w:spacing w:before="120" w:after="0"/>
        <w:ind w:left="1080" w:hanging="630"/>
        <w:jc w:val="both"/>
        <w:rPr>
          <w:rFonts w:cs="Arial"/>
          <w:lang w:val="pt-BR"/>
        </w:rPr>
      </w:pPr>
      <w:r w:rsidRPr="00764C98">
        <w:rPr>
          <w:rFonts w:cs="Arial"/>
          <w:lang w:val="pt-BR"/>
        </w:rPr>
        <w:t>O diagnóstico é feito pela observação de ovos em fezes.</w:t>
      </w:r>
    </w:p>
    <w:p w:rsidR="00702601" w:rsidRPr="00764C98" w:rsidRDefault="00702601" w:rsidP="00702601">
      <w:pPr>
        <w:spacing w:before="120"/>
        <w:ind w:left="1080"/>
        <w:jc w:val="center"/>
        <w:rPr>
          <w:rFonts w:cs="Arial"/>
          <w:lang w:val="pt-BR"/>
        </w:rPr>
      </w:pPr>
      <w:r>
        <w:rPr>
          <w:rFonts w:cs="Arial"/>
          <w:noProof/>
          <w:lang w:val="en-ZW" w:eastAsia="en-ZW"/>
        </w:rPr>
        <w:drawing>
          <wp:inline distT="0" distB="0" distL="0" distR="0" wp14:anchorId="39A0CF06" wp14:editId="6932DC63">
            <wp:extent cx="4397071" cy="2369489"/>
            <wp:effectExtent l="0" t="0" r="0" b="0"/>
            <wp:docPr id="170" name="Object 17"/>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572000" cy="2895128"/>
                      <a:chOff x="1547664" y="1844824"/>
                      <a:chExt cx="4572000" cy="2895128"/>
                    </a:xfrm>
                  </a:grpSpPr>
                  <a:grpSp>
                    <a:nvGrpSpPr>
                      <a:cNvPr id="4" name="Group 3"/>
                      <a:cNvGrpSpPr/>
                    </a:nvGrpSpPr>
                    <a:grpSpPr>
                      <a:xfrm>
                        <a:off x="1547664" y="1844824"/>
                        <a:ext cx="4572000" cy="2895128"/>
                        <a:chOff x="1547664" y="1844824"/>
                        <a:chExt cx="4572000" cy="2895128"/>
                      </a:xfrm>
                    </a:grpSpPr>
                    <a:pic>
                      <a:nvPicPr>
                        <a:cNvPr id="48130" name="Picture 2" descr="http://www.stanford.edu/class/humbio103/ParaSites2005/Trichuris/Trichuris_eggA.jpg"/>
                        <a:cNvPicPr>
                          <a:picLocks noChangeAspect="1" noChangeArrowheads="1"/>
                        </a:cNvPicPr>
                      </a:nvPicPr>
                      <a:blipFill>
                        <a:blip r:embed="rId116"/>
                        <a:srcRect/>
                        <a:stretch>
                          <a:fillRect/>
                        </a:stretch>
                      </a:blipFill>
                      <a:spPr bwMode="auto">
                        <a:xfrm>
                          <a:off x="2339752" y="1844824"/>
                          <a:ext cx="2841104" cy="2592288"/>
                        </a:xfrm>
                        <a:prstGeom prst="rect">
                          <a:avLst/>
                        </a:prstGeom>
                        <a:noFill/>
                      </a:spPr>
                    </a:pic>
                    <a:sp>
                      <a:nvSpPr>
                        <a:cNvPr id="3" name="Rectangle 2"/>
                        <a:cNvSpPr/>
                      </a:nvSpPr>
                      <a:spPr>
                        <a:xfrm>
                          <a:off x="1547664" y="4509120"/>
                          <a:ext cx="4572000" cy="230832"/>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900" dirty="0" smtClean="0"/>
                              <a:t>http://www.stanford.edu/class/humbio103/ParaSites2005/Trichuris/Trichuris_eggA.jpg</a:t>
                            </a:r>
                            <a:endParaRPr lang="en-GB" sz="900" dirty="0"/>
                          </a:p>
                        </a:txBody>
                        <a:useSpRect/>
                      </a:txSp>
                    </a:sp>
                  </a:grpSp>
                </lc:lockedCanvas>
              </a:graphicData>
            </a:graphic>
          </wp:inline>
        </w:drawing>
      </w:r>
    </w:p>
    <w:p w:rsidR="00702601" w:rsidRDefault="00EB2A96" w:rsidP="00702601">
      <w:pPr>
        <w:pStyle w:val="TM-3"/>
        <w:ind w:left="1418" w:right="567" w:firstLine="0"/>
        <w:jc w:val="center"/>
      </w:pPr>
      <w:r w:rsidRPr="00EB2A96">
        <w:rPr>
          <w:b/>
        </w:rPr>
        <w:t>Figura 6:</w:t>
      </w:r>
      <w:r w:rsidR="00702601" w:rsidRPr="00764C98">
        <w:t xml:space="preserve"> Imagem de ovos de </w:t>
      </w:r>
      <w:r w:rsidR="00702601" w:rsidRPr="00764C98">
        <w:rPr>
          <w:i/>
        </w:rPr>
        <w:t>Trichuris trichuria</w:t>
      </w:r>
      <w:r w:rsidR="00702601" w:rsidRPr="00764C98">
        <w:t xml:space="preserve"> em fezes</w:t>
      </w:r>
    </w:p>
    <w:p w:rsidR="00702601" w:rsidRPr="00721151" w:rsidRDefault="00702601" w:rsidP="00C52E09">
      <w:pPr>
        <w:numPr>
          <w:ilvl w:val="0"/>
          <w:numId w:val="115"/>
        </w:numPr>
        <w:spacing w:before="120" w:after="0"/>
        <w:ind w:left="450" w:hanging="450"/>
        <w:jc w:val="both"/>
        <w:rPr>
          <w:rFonts w:cs="Arial"/>
          <w:b/>
          <w:lang w:val="pt-BR"/>
        </w:rPr>
      </w:pPr>
      <w:r w:rsidRPr="00721151">
        <w:rPr>
          <w:rFonts w:cs="Arial"/>
          <w:b/>
          <w:i/>
          <w:lang w:val="pt-BR"/>
        </w:rPr>
        <w:t>Enterobius vermicularis</w:t>
      </w:r>
      <w:r w:rsidRPr="00721151">
        <w:rPr>
          <w:rFonts w:cs="Arial"/>
          <w:b/>
          <w:lang w:val="pt-BR"/>
        </w:rPr>
        <w:t>. Conhecido também como oxiúro.</w:t>
      </w:r>
    </w:p>
    <w:p w:rsidR="00702601" w:rsidRPr="00764C98" w:rsidRDefault="00702601" w:rsidP="00C52E09">
      <w:pPr>
        <w:numPr>
          <w:ilvl w:val="0"/>
          <w:numId w:val="120"/>
        </w:numPr>
        <w:spacing w:before="120" w:after="0"/>
        <w:ind w:left="1080" w:hanging="630"/>
        <w:jc w:val="both"/>
        <w:rPr>
          <w:rFonts w:cs="Arial"/>
          <w:lang w:val="pt-BR"/>
        </w:rPr>
      </w:pPr>
      <w:r w:rsidRPr="00764C98">
        <w:rPr>
          <w:rFonts w:cs="Arial"/>
          <w:lang w:val="pt-BR"/>
        </w:rPr>
        <w:t>Os oxiúros se transmitem entre seres humanos, através da ingestão de ovos infectantes.</w:t>
      </w:r>
    </w:p>
    <w:p w:rsidR="00702601" w:rsidRPr="00764C98" w:rsidRDefault="00702601" w:rsidP="00C52E09">
      <w:pPr>
        <w:numPr>
          <w:ilvl w:val="0"/>
          <w:numId w:val="120"/>
        </w:numPr>
        <w:spacing w:before="120" w:after="0"/>
        <w:ind w:left="1080" w:hanging="630"/>
        <w:jc w:val="both"/>
        <w:rPr>
          <w:rFonts w:cs="Arial"/>
          <w:lang w:val="pt-BR"/>
        </w:rPr>
      </w:pPr>
      <w:r w:rsidRPr="00764C98">
        <w:rPr>
          <w:rFonts w:cs="Arial"/>
          <w:lang w:val="pt-BR"/>
        </w:rPr>
        <w:t xml:space="preserve">Os ovos se rompem no intestino, e as larvas migram para o cólon. </w:t>
      </w:r>
      <w:r w:rsidRPr="00764C98">
        <w:rPr>
          <w:rFonts w:cs="Arial"/>
          <w:caps/>
          <w:lang w:val="pt-BR"/>
        </w:rPr>
        <w:t xml:space="preserve">a </w:t>
      </w:r>
      <w:r w:rsidRPr="00764C98">
        <w:rPr>
          <w:rFonts w:cs="Arial"/>
          <w:lang w:val="pt-BR"/>
        </w:rPr>
        <w:t>fêmea sai do recto através do esfíncter, e deposita os ovos na zona perianal.</w:t>
      </w:r>
    </w:p>
    <w:p w:rsidR="00702601" w:rsidRPr="00764C98" w:rsidRDefault="00702601" w:rsidP="00C52E09">
      <w:pPr>
        <w:numPr>
          <w:ilvl w:val="0"/>
          <w:numId w:val="120"/>
        </w:numPr>
        <w:spacing w:before="120" w:after="0"/>
        <w:ind w:left="1080" w:hanging="630"/>
        <w:jc w:val="both"/>
        <w:rPr>
          <w:rFonts w:cs="Arial"/>
          <w:lang w:val="pt-BR"/>
        </w:rPr>
      </w:pPr>
      <w:r w:rsidRPr="00764C98">
        <w:rPr>
          <w:rFonts w:cs="Arial"/>
          <w:lang w:val="pt-BR"/>
        </w:rPr>
        <w:t>O sintoma característico da oxiuríase é o prurido anal, especialmente nocturno, produzido pelas fêmeas ao se deslocar na pele da região perianal. Outros sintomas são náuseas, vómitos, cólicas abdominais e tenesmo (sensação recorrente de defecar).</w:t>
      </w:r>
    </w:p>
    <w:p w:rsidR="00702601" w:rsidRPr="00764C98" w:rsidRDefault="00702601" w:rsidP="00C52E09">
      <w:pPr>
        <w:numPr>
          <w:ilvl w:val="0"/>
          <w:numId w:val="120"/>
        </w:numPr>
        <w:spacing w:before="120" w:after="0"/>
        <w:ind w:left="1080" w:hanging="630"/>
        <w:jc w:val="both"/>
        <w:rPr>
          <w:rFonts w:cs="Arial"/>
        </w:rPr>
      </w:pPr>
      <w:r w:rsidRPr="00764C98">
        <w:rPr>
          <w:rFonts w:cs="Arial"/>
          <w:lang w:val="pt-BR"/>
        </w:rPr>
        <w:t xml:space="preserve">Os ovos podem ser lavados ou arrastados pelas fezes, ficar agarrados na roupa interior ou nos lençóis, ou ainda passar para as mãos se o indivíduo se coçar. </w:t>
      </w:r>
      <w:r w:rsidRPr="00764C98">
        <w:rPr>
          <w:rFonts w:cs="Arial"/>
        </w:rPr>
        <w:t xml:space="preserve">A auto-infecção é um fenómeno habitual </w:t>
      </w:r>
      <w:proofErr w:type="gramStart"/>
      <w:r w:rsidRPr="00764C98">
        <w:rPr>
          <w:rFonts w:cs="Arial"/>
        </w:rPr>
        <w:t>na</w:t>
      </w:r>
      <w:proofErr w:type="gramEnd"/>
      <w:r w:rsidRPr="00764C98">
        <w:rPr>
          <w:rFonts w:cs="Arial"/>
        </w:rPr>
        <w:t xml:space="preserve"> oxiuríase.</w:t>
      </w:r>
    </w:p>
    <w:p w:rsidR="00702601" w:rsidRPr="00764C98" w:rsidRDefault="00702601" w:rsidP="00C52E09">
      <w:pPr>
        <w:numPr>
          <w:ilvl w:val="0"/>
          <w:numId w:val="120"/>
        </w:numPr>
        <w:spacing w:before="120" w:after="0"/>
        <w:ind w:left="1080" w:hanging="630"/>
        <w:jc w:val="both"/>
        <w:rPr>
          <w:rFonts w:cs="Arial"/>
          <w:lang w:val="pt-BR"/>
        </w:rPr>
      </w:pPr>
      <w:r w:rsidRPr="00764C98">
        <w:rPr>
          <w:rFonts w:cs="Arial"/>
          <w:lang w:val="pt-BR"/>
        </w:rPr>
        <w:t>O diagnóstico é feito pela  observação de ovos recolhidos da região perianal com zaragatoas ou fita adesiva.</w:t>
      </w:r>
    </w:p>
    <w:p w:rsidR="00702601" w:rsidRPr="00764C98" w:rsidRDefault="00702601" w:rsidP="00702601">
      <w:pPr>
        <w:spacing w:before="120"/>
        <w:ind w:left="1080"/>
        <w:jc w:val="both"/>
        <w:rPr>
          <w:rFonts w:cs="Arial"/>
          <w:lang w:val="pt-BR"/>
        </w:rPr>
      </w:pPr>
    </w:p>
    <w:p w:rsidR="00702601" w:rsidRPr="00764C98" w:rsidRDefault="00702601" w:rsidP="00702601">
      <w:pPr>
        <w:pStyle w:val="TM-0"/>
        <w:jc w:val="center"/>
        <w:rPr>
          <w:lang w:val="en-GB"/>
        </w:rPr>
      </w:pPr>
      <w:r>
        <w:rPr>
          <w:noProof/>
          <w:lang w:val="en-ZW" w:eastAsia="en-ZW"/>
        </w:rPr>
        <w:lastRenderedPageBreak/>
        <w:drawing>
          <wp:inline distT="0" distB="0" distL="0" distR="0" wp14:anchorId="5F3DBF8B" wp14:editId="5EEA21D1">
            <wp:extent cx="3517900" cy="2692400"/>
            <wp:effectExtent l="0" t="0" r="0" b="0"/>
            <wp:docPr id="169" name="Object 19"/>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572000" cy="4206661"/>
                      <a:chOff x="1331640" y="404664"/>
                      <a:chExt cx="4572000" cy="4206661"/>
                    </a:xfrm>
                  </a:grpSpPr>
                  <a:grpSp>
                    <a:nvGrpSpPr>
                      <a:cNvPr id="4" name="Group 3"/>
                      <a:cNvGrpSpPr/>
                    </a:nvGrpSpPr>
                    <a:grpSpPr>
                      <a:xfrm>
                        <a:off x="1331640" y="404664"/>
                        <a:ext cx="4572000" cy="4206661"/>
                        <a:chOff x="1331640" y="404664"/>
                        <a:chExt cx="4572000" cy="4206661"/>
                      </a:xfrm>
                    </a:grpSpPr>
                    <a:pic>
                      <a:nvPicPr>
                        <a:cNvPr id="49154" name="Picture 2" descr="http://www.udel.edu/medtech/dlehman/medt372/images/E-verm-dl.jpg"/>
                        <a:cNvPicPr>
                          <a:picLocks noChangeAspect="1" noChangeArrowheads="1"/>
                        </a:cNvPicPr>
                      </a:nvPicPr>
                      <a:blipFill>
                        <a:blip r:embed="rId117"/>
                        <a:srcRect/>
                        <a:stretch>
                          <a:fillRect/>
                        </a:stretch>
                      </a:blipFill>
                      <a:spPr bwMode="auto">
                        <a:xfrm>
                          <a:off x="1763688" y="404664"/>
                          <a:ext cx="3744416" cy="3880224"/>
                        </a:xfrm>
                        <a:prstGeom prst="rect">
                          <a:avLst/>
                        </a:prstGeom>
                        <a:noFill/>
                      </a:spPr>
                    </a:pic>
                    <a:sp>
                      <a:nvSpPr>
                        <a:cNvPr id="3" name="Rectangle 2"/>
                        <a:cNvSpPr/>
                      </a:nvSpPr>
                      <a:spPr>
                        <a:xfrm>
                          <a:off x="1331640" y="4365104"/>
                          <a:ext cx="4572000" cy="246221"/>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000" dirty="0" smtClean="0"/>
                              <a:t>http://www.udel.edu/medtech/dlehman/medt372/images/E-verm-dl.jpg</a:t>
                            </a:r>
                            <a:endParaRPr lang="en-GB" sz="1000" dirty="0"/>
                          </a:p>
                        </a:txBody>
                        <a:useSpRect/>
                      </a:txSp>
                    </a:sp>
                  </a:grpSp>
                </lc:lockedCanvas>
              </a:graphicData>
            </a:graphic>
          </wp:inline>
        </w:drawing>
      </w:r>
    </w:p>
    <w:p w:rsidR="00702601" w:rsidRDefault="00702601" w:rsidP="00702601">
      <w:pPr>
        <w:pStyle w:val="TM-0"/>
        <w:jc w:val="center"/>
        <w:rPr>
          <w:i/>
          <w:lang w:val="pt-BR"/>
        </w:rPr>
      </w:pPr>
      <w:r w:rsidRPr="00774441">
        <w:rPr>
          <w:b/>
          <w:lang w:val="pt-BR"/>
        </w:rPr>
        <w:t>Figura 7:</w:t>
      </w:r>
      <w:r w:rsidRPr="00764C98">
        <w:rPr>
          <w:lang w:val="pt-BR"/>
        </w:rPr>
        <w:t xml:space="preserve"> Ovos de </w:t>
      </w:r>
      <w:r w:rsidRPr="00764C98">
        <w:rPr>
          <w:i/>
          <w:lang w:val="pt-BR"/>
        </w:rPr>
        <w:t>Enterobius vermiculares</w:t>
      </w:r>
    </w:p>
    <w:p w:rsidR="001A0DDE" w:rsidRPr="00764C98" w:rsidRDefault="001A0DDE" w:rsidP="00774441">
      <w:pPr>
        <w:pStyle w:val="TM-0"/>
        <w:spacing w:after="0"/>
        <w:rPr>
          <w:i/>
          <w:lang w:val="pt-BR"/>
        </w:rPr>
      </w:pPr>
    </w:p>
    <w:p w:rsidR="00702601" w:rsidRPr="00702601" w:rsidRDefault="00702601" w:rsidP="00702601">
      <w:pPr>
        <w:shd w:val="clear" w:color="auto" w:fill="B8CCE4"/>
        <w:tabs>
          <w:tab w:val="left" w:pos="1276"/>
          <w:tab w:val="right" w:pos="8550"/>
        </w:tabs>
        <w:spacing w:before="120" w:after="120"/>
        <w:ind w:right="2"/>
        <w:jc w:val="both"/>
        <w:rPr>
          <w:rFonts w:eastAsia="Calibri" w:cs="Arial"/>
          <w:b/>
          <w:lang w:val="pt-BR"/>
        </w:rPr>
      </w:pPr>
      <w:r w:rsidRPr="00702601">
        <w:rPr>
          <w:rFonts w:eastAsia="Calibri" w:cs="Arial"/>
          <w:b/>
          <w:lang w:val="pt-BR"/>
        </w:rPr>
        <w:t>BLOCO 4: HELMINTOS INVASIVOS EM MOÇAMBIQUE</w:t>
      </w:r>
    </w:p>
    <w:p w:rsidR="00702601" w:rsidRPr="00721151" w:rsidRDefault="00702601" w:rsidP="00C52E09">
      <w:pPr>
        <w:numPr>
          <w:ilvl w:val="0"/>
          <w:numId w:val="121"/>
        </w:numPr>
        <w:spacing w:before="120" w:after="0"/>
        <w:ind w:left="450" w:hanging="450"/>
        <w:jc w:val="both"/>
        <w:rPr>
          <w:rFonts w:cs="Arial"/>
          <w:b/>
          <w:lang w:val="pt-BR"/>
        </w:rPr>
      </w:pPr>
      <w:r w:rsidRPr="00721151">
        <w:rPr>
          <w:rFonts w:cs="Arial"/>
          <w:b/>
          <w:i/>
          <w:lang w:val="pt-BR"/>
        </w:rPr>
        <w:t>Taenia solium</w:t>
      </w:r>
      <w:r w:rsidRPr="00721151">
        <w:rPr>
          <w:rFonts w:cs="Arial"/>
          <w:b/>
          <w:lang w:val="pt-BR"/>
        </w:rPr>
        <w:t>. Também chamada ténia do porco.</w:t>
      </w:r>
    </w:p>
    <w:p w:rsidR="00702601" w:rsidRPr="00764C98" w:rsidRDefault="00702601" w:rsidP="00C52E09">
      <w:pPr>
        <w:numPr>
          <w:ilvl w:val="0"/>
          <w:numId w:val="122"/>
        </w:numPr>
        <w:spacing w:before="120" w:after="0"/>
        <w:ind w:left="1080" w:hanging="630"/>
        <w:jc w:val="both"/>
        <w:rPr>
          <w:rFonts w:cs="Arial"/>
          <w:lang w:val="pt-BR"/>
        </w:rPr>
      </w:pPr>
      <w:r w:rsidRPr="00702601">
        <w:rPr>
          <w:rFonts w:cs="Arial"/>
          <w:lang w:val="pt-BR"/>
        </w:rPr>
        <w:t xml:space="preserve">O verme adulto da ténia se desenvolve no intestino humano, após a ingestão de carne de porco contaminada com larvas. </w:t>
      </w:r>
      <w:r w:rsidRPr="00764C98">
        <w:rPr>
          <w:rFonts w:cs="Arial"/>
          <w:lang w:val="pt-BR"/>
        </w:rPr>
        <w:t>Os ovos produzidos pelo verme são eliminados juntos com as fezes.</w:t>
      </w:r>
    </w:p>
    <w:p w:rsidR="00702601" w:rsidRPr="00764C98" w:rsidRDefault="00702601" w:rsidP="00C52E09">
      <w:pPr>
        <w:numPr>
          <w:ilvl w:val="0"/>
          <w:numId w:val="122"/>
        </w:numPr>
        <w:spacing w:before="120" w:after="0"/>
        <w:ind w:left="1080" w:hanging="630"/>
        <w:jc w:val="both"/>
        <w:rPr>
          <w:rFonts w:cs="Arial"/>
          <w:lang w:val="pt-BR"/>
        </w:rPr>
      </w:pPr>
      <w:r w:rsidRPr="00764C98">
        <w:rPr>
          <w:rFonts w:cs="Arial"/>
          <w:lang w:val="pt-BR"/>
        </w:rPr>
        <w:t>Quando ingeridos, os ovos libertam larvas que podem invadir a parede intestinal e migrar para outros tecidos (p. ex., músculo e cérebro), ocasionando cisticercose.</w:t>
      </w:r>
    </w:p>
    <w:p w:rsidR="00702601" w:rsidRPr="00764C98" w:rsidRDefault="00702601" w:rsidP="00C52E09">
      <w:pPr>
        <w:numPr>
          <w:ilvl w:val="0"/>
          <w:numId w:val="122"/>
        </w:numPr>
        <w:spacing w:before="120" w:after="0"/>
        <w:ind w:left="1080" w:hanging="630"/>
        <w:jc w:val="both"/>
        <w:rPr>
          <w:rFonts w:cs="Arial"/>
          <w:lang w:val="pt-BR"/>
        </w:rPr>
      </w:pPr>
      <w:r w:rsidRPr="00764C98">
        <w:rPr>
          <w:rFonts w:cs="Arial"/>
          <w:lang w:val="pt-BR"/>
        </w:rPr>
        <w:t>O diagnóstico é feito pela visualização de ovos em fezes. As larvas ou cisticercos podem ser encontradas em biopsias de tecidos infectados.</w:t>
      </w:r>
    </w:p>
    <w:p w:rsidR="00702601" w:rsidRPr="00764C98" w:rsidRDefault="00702601" w:rsidP="00702601">
      <w:pPr>
        <w:spacing w:before="120"/>
        <w:ind w:left="1080"/>
        <w:jc w:val="center"/>
        <w:rPr>
          <w:rFonts w:cs="Arial"/>
          <w:lang w:val="pt-BR"/>
        </w:rPr>
      </w:pPr>
      <w:r>
        <w:rPr>
          <w:rFonts w:cs="Arial"/>
          <w:noProof/>
          <w:lang w:val="en-ZW" w:eastAsia="en-ZW"/>
        </w:rPr>
        <w:drawing>
          <wp:inline distT="0" distB="0" distL="0" distR="0" wp14:anchorId="57204576" wp14:editId="0C15A759">
            <wp:extent cx="3204376" cy="1940118"/>
            <wp:effectExtent l="0" t="0" r="0" b="0"/>
            <wp:docPr id="168" name="Object 20"/>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572000" cy="3023756"/>
                      <a:chOff x="1403648" y="908720"/>
                      <a:chExt cx="4572000" cy="3023756"/>
                    </a:xfrm>
                  </a:grpSpPr>
                  <a:grpSp>
                    <a:nvGrpSpPr>
                      <a:cNvPr id="4" name="Group 3"/>
                      <a:cNvGrpSpPr/>
                    </a:nvGrpSpPr>
                    <a:grpSpPr>
                      <a:xfrm>
                        <a:off x="1403648" y="908720"/>
                        <a:ext cx="4572000" cy="3023756"/>
                        <a:chOff x="1403648" y="908720"/>
                        <a:chExt cx="4572000" cy="3023756"/>
                      </a:xfrm>
                    </a:grpSpPr>
                    <a:pic>
                      <a:nvPicPr>
                        <a:cNvPr id="50178" name="Picture 2" descr="http://bioweb.uwlax.edu/bio203/s2008/geske_rich/images/800px-Taenia_egg.jpg"/>
                        <a:cNvPicPr>
                          <a:picLocks noChangeAspect="1" noChangeArrowheads="1"/>
                        </a:cNvPicPr>
                      </a:nvPicPr>
                      <a:blipFill>
                        <a:blip r:embed="rId118"/>
                        <a:srcRect/>
                        <a:stretch>
                          <a:fillRect/>
                        </a:stretch>
                      </a:blipFill>
                      <a:spPr bwMode="auto">
                        <a:xfrm>
                          <a:off x="1475656" y="908720"/>
                          <a:ext cx="4206287" cy="2839244"/>
                        </a:xfrm>
                        <a:prstGeom prst="rect">
                          <a:avLst/>
                        </a:prstGeom>
                        <a:noFill/>
                      </a:spPr>
                    </a:pic>
                    <a:sp>
                      <a:nvSpPr>
                        <a:cNvPr id="3" name="Rectangle 2"/>
                        <a:cNvSpPr/>
                      </a:nvSpPr>
                      <a:spPr>
                        <a:xfrm>
                          <a:off x="1403648" y="3717032"/>
                          <a:ext cx="4572000" cy="215444"/>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800" dirty="0" smtClean="0"/>
                              <a:t>http://bioweb.uwlax.edu/bio203/s2008/geske_rich/images/800px-Taenia_egg.jpg</a:t>
                            </a:r>
                            <a:endParaRPr lang="en-GB" sz="800" dirty="0"/>
                          </a:p>
                        </a:txBody>
                        <a:useSpRect/>
                      </a:txSp>
                    </a:sp>
                  </a:grpSp>
                </lc:lockedCanvas>
              </a:graphicData>
            </a:graphic>
          </wp:inline>
        </w:drawing>
      </w:r>
    </w:p>
    <w:p w:rsidR="00702601" w:rsidRPr="00764C98" w:rsidRDefault="00774441" w:rsidP="00702601">
      <w:pPr>
        <w:pStyle w:val="TM-3"/>
        <w:ind w:left="1418" w:right="567" w:firstLine="0"/>
        <w:jc w:val="center"/>
      </w:pPr>
      <w:r w:rsidRPr="00774441">
        <w:rPr>
          <w:b/>
        </w:rPr>
        <w:t>Figura 8:</w:t>
      </w:r>
      <w:r w:rsidR="00702601" w:rsidRPr="00764C98">
        <w:t xml:space="preserve"> Imagem de ovos de </w:t>
      </w:r>
      <w:r w:rsidR="00702601" w:rsidRPr="00764C98">
        <w:rPr>
          <w:i/>
        </w:rPr>
        <w:t>Taenia solium</w:t>
      </w:r>
      <w:r w:rsidR="00702601" w:rsidRPr="00764C98">
        <w:t xml:space="preserve"> nas fezes</w:t>
      </w:r>
    </w:p>
    <w:p w:rsidR="00702601" w:rsidRPr="00721151" w:rsidRDefault="00702601" w:rsidP="00C52E09">
      <w:pPr>
        <w:numPr>
          <w:ilvl w:val="0"/>
          <w:numId w:val="121"/>
        </w:numPr>
        <w:spacing w:before="120" w:after="0"/>
        <w:ind w:left="450" w:hanging="450"/>
        <w:jc w:val="both"/>
        <w:rPr>
          <w:rFonts w:cs="Arial"/>
          <w:b/>
          <w:lang w:val="pt-BR"/>
        </w:rPr>
      </w:pPr>
      <w:r w:rsidRPr="00721151">
        <w:rPr>
          <w:rFonts w:cs="Arial"/>
          <w:b/>
          <w:i/>
          <w:lang w:val="pt-BR"/>
        </w:rPr>
        <w:t>Schistosoma haematobium e mansoni.</w:t>
      </w:r>
      <w:r w:rsidRPr="00721151">
        <w:rPr>
          <w:rFonts w:cs="Arial"/>
          <w:b/>
          <w:lang w:val="pt-BR"/>
        </w:rPr>
        <w:t xml:space="preserve"> Responsável pela bilharziose.</w:t>
      </w:r>
    </w:p>
    <w:p w:rsidR="00702601" w:rsidRPr="00764C98" w:rsidRDefault="00702601" w:rsidP="00C52E09">
      <w:pPr>
        <w:numPr>
          <w:ilvl w:val="0"/>
          <w:numId w:val="123"/>
        </w:numPr>
        <w:spacing w:before="120" w:after="0"/>
        <w:ind w:left="1080" w:hanging="630"/>
        <w:jc w:val="both"/>
        <w:rPr>
          <w:rFonts w:cs="Arial"/>
          <w:lang w:val="pt-BR"/>
        </w:rPr>
      </w:pPr>
      <w:r w:rsidRPr="00764C98">
        <w:rPr>
          <w:rFonts w:cs="Arial"/>
          <w:lang w:val="pt-BR"/>
        </w:rPr>
        <w:t xml:space="preserve">A larva de </w:t>
      </w:r>
      <w:r w:rsidRPr="00764C98">
        <w:rPr>
          <w:rFonts w:cs="Arial"/>
          <w:i/>
          <w:lang w:val="pt-BR"/>
        </w:rPr>
        <w:t>S. Haematobium e mansoni</w:t>
      </w:r>
      <w:r w:rsidRPr="00764C98">
        <w:rPr>
          <w:rFonts w:cs="Arial"/>
          <w:lang w:val="pt-BR"/>
        </w:rPr>
        <w:t xml:space="preserve"> desenvolve-se em algumas espécies de caracóis de água doce. Uma vez libertada, penetra através da pele humana em águas contaminadas.</w:t>
      </w:r>
    </w:p>
    <w:p w:rsidR="00702601" w:rsidRPr="00702601" w:rsidRDefault="00702601" w:rsidP="00C52E09">
      <w:pPr>
        <w:numPr>
          <w:ilvl w:val="0"/>
          <w:numId w:val="123"/>
        </w:numPr>
        <w:tabs>
          <w:tab w:val="left" w:pos="1080"/>
        </w:tabs>
        <w:spacing w:before="120" w:after="0"/>
        <w:jc w:val="both"/>
        <w:rPr>
          <w:rFonts w:cs="Arial"/>
          <w:lang w:val="pt-BR"/>
        </w:rPr>
      </w:pPr>
      <w:r w:rsidRPr="00702601">
        <w:rPr>
          <w:rFonts w:cs="Arial"/>
          <w:lang w:val="pt-BR"/>
        </w:rPr>
        <w:t xml:space="preserve">A infecção começa quando as cercárias libertadas pelo caracol penetram na pele do ser humano (hospedeiro definitivo), permanecendo no tecido celular subcutâneo durante 2 – 4 dias, onde se transformam em esquistossômulos. Os esquistossômulos migram através das veias e vasos linfáticos, passando pelos pulmões, coração e parênquima hepático e desenvolvem-se </w:t>
      </w:r>
      <w:r w:rsidRPr="00702601">
        <w:rPr>
          <w:rFonts w:cs="Arial"/>
          <w:lang w:val="pt-BR"/>
        </w:rPr>
        <w:lastRenderedPageBreak/>
        <w:t xml:space="preserve">transformando-se em vermes. Os vermes sexualmente maduros migram para locais anatómicos específicos: veias mesentéricas no caso do </w:t>
      </w:r>
      <w:r w:rsidRPr="00702601">
        <w:rPr>
          <w:rFonts w:cs="Arial"/>
          <w:i/>
          <w:lang w:val="pt-BR"/>
        </w:rPr>
        <w:t>S. mansoni</w:t>
      </w:r>
      <w:r w:rsidRPr="00702601">
        <w:rPr>
          <w:rFonts w:cs="Arial"/>
          <w:lang w:val="pt-BR"/>
        </w:rPr>
        <w:t xml:space="preserve"> e veias vesicais no caso de </w:t>
      </w:r>
      <w:r w:rsidRPr="00702601">
        <w:rPr>
          <w:rFonts w:cs="Arial"/>
          <w:i/>
          <w:lang w:val="pt-BR"/>
        </w:rPr>
        <w:t xml:space="preserve">S. haematobium, </w:t>
      </w:r>
      <w:r w:rsidRPr="00702601">
        <w:rPr>
          <w:rFonts w:cs="Arial"/>
          <w:lang w:val="pt-BR"/>
        </w:rPr>
        <w:t xml:space="preserve">onde acasalam sexualmente. Após acasalamento, as fêmeas grávidas seguem contra a corrente sanguínea venosa até atingirem os pequenos vasos tributários, onde depositam os seus ovos no espaço intravascular. Metade dos ovos tem acesso ao lúmen intestinal ou vesical (dependendo da espécie) e são eliminados. A outra metade fica retida nos tecidos do hospedeiro (intestinos ou trato urinário) e são levados pelo fluxo sanguíneo para o fígado e outros órgãos. Após eliminação dos ovos (via intestinal – </w:t>
      </w:r>
      <w:r w:rsidRPr="00702601">
        <w:rPr>
          <w:rFonts w:cs="Arial"/>
          <w:i/>
          <w:lang w:val="pt-BR"/>
        </w:rPr>
        <w:t>S. mansoni</w:t>
      </w:r>
      <w:r w:rsidRPr="00702601">
        <w:rPr>
          <w:rFonts w:cs="Arial"/>
          <w:lang w:val="pt-BR"/>
        </w:rPr>
        <w:t xml:space="preserve"> e via urinária – </w:t>
      </w:r>
      <w:r w:rsidRPr="00702601">
        <w:rPr>
          <w:rFonts w:cs="Arial"/>
          <w:i/>
          <w:lang w:val="pt-BR"/>
        </w:rPr>
        <w:t>S. haematonium</w:t>
      </w:r>
      <w:r w:rsidRPr="00702601">
        <w:rPr>
          <w:rFonts w:cs="Arial"/>
          <w:lang w:val="pt-BR"/>
        </w:rPr>
        <w:t>), os mesmos alcançam colecções de água doce, eclodem e libertam miracídeos livres que penetram nos caracóis (hospedeiro intermediário) onde se multiplicam de forma assexuada, passando por estágios de esporocistos e depois de 4 a 6 semanas são eliminados pelo caracol na forma de cercárias, reiniciando o ciclo.</w:t>
      </w:r>
    </w:p>
    <w:p w:rsidR="00702601" w:rsidRPr="00764C98" w:rsidRDefault="00702601" w:rsidP="00702601">
      <w:pPr>
        <w:spacing w:before="120"/>
        <w:ind w:left="1080"/>
        <w:jc w:val="both"/>
        <w:rPr>
          <w:rFonts w:cs="Arial"/>
          <w:lang w:val="pt-BR"/>
        </w:rPr>
      </w:pPr>
    </w:p>
    <w:p w:rsidR="00702601" w:rsidRPr="00764C98" w:rsidRDefault="00702601" w:rsidP="00702601">
      <w:pPr>
        <w:spacing w:before="120"/>
        <w:ind w:left="1080"/>
        <w:jc w:val="both"/>
        <w:rPr>
          <w:rFonts w:cs="Arial"/>
          <w:lang w:val="pt-BR"/>
        </w:rPr>
      </w:pPr>
      <w:r>
        <w:rPr>
          <w:rFonts w:cs="Arial"/>
          <w:noProof/>
          <w:lang w:val="en-ZW" w:eastAsia="en-ZW"/>
        </w:rPr>
        <w:drawing>
          <wp:inline distT="0" distB="0" distL="0" distR="0" wp14:anchorId="35C1AEE4" wp14:editId="625F2516">
            <wp:extent cx="5617155" cy="5327374"/>
            <wp:effectExtent l="19050" t="0" r="2595" b="0"/>
            <wp:docPr id="167" name="Object 4"/>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5000625" cy="4648200"/>
                      <a:chOff x="1219200" y="914400"/>
                      <a:chExt cx="5000625" cy="4648200"/>
                    </a:xfrm>
                  </a:grpSpPr>
                  <a:sp>
                    <a:nvSpPr>
                      <a:cNvPr id="3" name="Subtitle 2"/>
                      <a:cNvSpPr>
                        <a:spLocks noGrp="1"/>
                      </a:cNvSpPr>
                    </a:nvSpPr>
                    <a:spPr>
                      <a:xfrm>
                        <a:off x="1752600" y="5105400"/>
                        <a:ext cx="3048000" cy="457200"/>
                      </a:xfrm>
                      <a:prstGeom prst="rect">
                        <a:avLst/>
                      </a:prstGeom>
                    </a:spPr>
                    <a:txSp>
                      <a:txBody>
                        <a:bodyPr vert="horz" lIns="91440" tIns="45720" rIns="91440" bIns="45720" rtlCol="0">
                          <a:normAutofit lnSpcReduction="10000"/>
                        </a:bodyPr>
                        <a:lstStyle>
                          <a:lvl1pPr marL="0" indent="0" algn="ctr" defTabSz="914400" rtl="0" eaLnBrk="1" latinLnBrk="0" hangingPunct="1">
                            <a:spcBef>
                              <a:spcPct val="20000"/>
                            </a:spcBef>
                            <a:buFont typeface="Arial" pitchFamily="34" charset="0"/>
                            <a:buNone/>
                            <a:defRPr sz="3200" kern="1200">
                              <a:solidFill>
                                <a:schemeClr val="tx1">
                                  <a:tint val="75000"/>
                                </a:schemeClr>
                              </a:solidFill>
                              <a:latin typeface="+mn-lt"/>
                              <a:ea typeface="+mn-ea"/>
                              <a:cs typeface="+mn-cs"/>
                            </a:defRPr>
                          </a:lvl1pPr>
                          <a:lvl2pPr marL="457200" indent="0" algn="ctr" defTabSz="914400" rtl="0" eaLnBrk="1" latinLnBrk="0" hangingPunct="1">
                            <a:spcBef>
                              <a:spcPct val="20000"/>
                            </a:spcBef>
                            <a:buFont typeface="Arial" pitchFamily="34" charset="0"/>
                            <a:buNone/>
                            <a:defRPr sz="2800" kern="1200">
                              <a:solidFill>
                                <a:schemeClr val="tx1">
                                  <a:tint val="75000"/>
                                </a:schemeClr>
                              </a:solidFill>
                              <a:latin typeface="+mn-lt"/>
                              <a:ea typeface="+mn-ea"/>
                              <a:cs typeface="+mn-cs"/>
                            </a:defRPr>
                          </a:lvl2pPr>
                          <a:lvl3pPr marL="914400" indent="0" algn="ctr" defTabSz="914400" rtl="0" eaLnBrk="1" latinLnBrk="0" hangingPunct="1">
                            <a:spcBef>
                              <a:spcPct val="20000"/>
                            </a:spcBef>
                            <a:buFont typeface="Arial" pitchFamily="34" charset="0"/>
                            <a:buNone/>
                            <a:defRPr sz="2400" kern="1200">
                              <a:solidFill>
                                <a:schemeClr val="tx1">
                                  <a:tint val="75000"/>
                                </a:schemeClr>
                              </a:solidFill>
                              <a:latin typeface="+mn-lt"/>
                              <a:ea typeface="+mn-ea"/>
                              <a:cs typeface="+mn-cs"/>
                            </a:defRPr>
                          </a:lvl3pPr>
                          <a:lvl4pPr marL="1371600" indent="0" algn="ctr" defTabSz="914400" rtl="0" eaLnBrk="1" latinLnBrk="0" hangingPunct="1">
                            <a:spcBef>
                              <a:spcPct val="20000"/>
                            </a:spcBef>
                            <a:buFont typeface="Arial" pitchFamily="34" charset="0"/>
                            <a:buNone/>
                            <a:defRPr sz="2000" kern="1200">
                              <a:solidFill>
                                <a:schemeClr val="tx1">
                                  <a:tint val="75000"/>
                                </a:schemeClr>
                              </a:solidFill>
                              <a:latin typeface="+mn-lt"/>
                              <a:ea typeface="+mn-ea"/>
                              <a:cs typeface="+mn-cs"/>
                            </a:defRPr>
                          </a:lvl4pPr>
                          <a:lvl5pPr marL="1828800" indent="0" algn="ctr" defTabSz="914400" rtl="0" eaLnBrk="1" latinLnBrk="0" hangingPunct="1">
                            <a:spcBef>
                              <a:spcPct val="20000"/>
                            </a:spcBef>
                            <a:buFont typeface="Arial" pitchFamily="34" charset="0"/>
                            <a:buNone/>
                            <a:defRPr sz="2000" kern="1200">
                              <a:solidFill>
                                <a:schemeClr val="tx1">
                                  <a:tint val="75000"/>
                                </a:schemeClr>
                              </a:solidFill>
                              <a:latin typeface="+mn-lt"/>
                              <a:ea typeface="+mn-ea"/>
                              <a:cs typeface="+mn-cs"/>
                            </a:defRPr>
                          </a:lvl5pPr>
                          <a:lvl6pPr marL="2286000" indent="0" algn="ctr" defTabSz="914400" rtl="0" eaLnBrk="1" latinLnBrk="0" hangingPunct="1">
                            <a:spcBef>
                              <a:spcPct val="20000"/>
                            </a:spcBef>
                            <a:buFont typeface="Arial" pitchFamily="34" charset="0"/>
                            <a:buNone/>
                            <a:defRPr sz="2000" kern="1200">
                              <a:solidFill>
                                <a:schemeClr val="tx1">
                                  <a:tint val="75000"/>
                                </a:schemeClr>
                              </a:solidFill>
                              <a:latin typeface="+mn-lt"/>
                              <a:ea typeface="+mn-ea"/>
                              <a:cs typeface="+mn-cs"/>
                            </a:defRPr>
                          </a:lvl6pPr>
                          <a:lvl7pPr marL="2743200" indent="0" algn="ctr" defTabSz="914400" rtl="0" eaLnBrk="1" latinLnBrk="0" hangingPunct="1">
                            <a:spcBef>
                              <a:spcPct val="20000"/>
                            </a:spcBef>
                            <a:buFont typeface="Arial" pitchFamily="34" charset="0"/>
                            <a:buNone/>
                            <a:defRPr sz="2000" kern="1200">
                              <a:solidFill>
                                <a:schemeClr val="tx1">
                                  <a:tint val="75000"/>
                                </a:schemeClr>
                              </a:solidFill>
                              <a:latin typeface="+mn-lt"/>
                              <a:ea typeface="+mn-ea"/>
                              <a:cs typeface="+mn-cs"/>
                            </a:defRPr>
                          </a:lvl7pPr>
                          <a:lvl8pPr marL="3200400" indent="0" algn="ctr" defTabSz="914400" rtl="0" eaLnBrk="1" latinLnBrk="0" hangingPunct="1">
                            <a:spcBef>
                              <a:spcPct val="20000"/>
                            </a:spcBef>
                            <a:buFont typeface="Arial" pitchFamily="34" charset="0"/>
                            <a:buNone/>
                            <a:defRPr sz="2000" kern="1200">
                              <a:solidFill>
                                <a:schemeClr val="tx1">
                                  <a:tint val="75000"/>
                                </a:schemeClr>
                              </a:solidFill>
                              <a:latin typeface="+mn-lt"/>
                              <a:ea typeface="+mn-ea"/>
                              <a:cs typeface="+mn-cs"/>
                            </a:defRPr>
                          </a:lvl8pPr>
                          <a:lvl9pPr marL="3657600" indent="0" algn="ctr" defTabSz="914400" rtl="0" eaLnBrk="1" latinLnBrk="0" hangingPunct="1">
                            <a:spcBef>
                              <a:spcPct val="20000"/>
                            </a:spcBef>
                            <a:buFont typeface="Arial" pitchFamily="34" charset="0"/>
                            <a:buNone/>
                            <a:defRPr sz="2000" kern="1200">
                              <a:solidFill>
                                <a:schemeClr val="tx1">
                                  <a:tint val="75000"/>
                                </a:schemeClr>
                              </a:solidFill>
                              <a:latin typeface="+mn-lt"/>
                              <a:ea typeface="+mn-ea"/>
                              <a:cs typeface="+mn-cs"/>
                            </a:defRPr>
                          </a:lvl9pPr>
                        </a:lstStyle>
                        <a:p>
                          <a:pPr algn="l"/>
                          <a:r>
                            <a:rPr lang="pt-PT" sz="1200" dirty="0">
                              <a:solidFill>
                                <a:schemeClr val="tx1"/>
                              </a:solidFill>
                            </a:rPr>
                            <a:t>Fonte: </a:t>
                          </a:r>
                          <a:r>
                            <a:rPr lang="pt-PT" sz="1200" dirty="0" smtClean="0">
                              <a:solidFill>
                                <a:schemeClr val="tx1"/>
                              </a:solidFill>
                            </a:rPr>
                            <a:t>CDC </a:t>
                          </a:r>
                        </a:p>
                        <a:p>
                          <a:pPr algn="l"/>
                          <a:r>
                            <a:rPr lang="pt-PT" sz="1200" dirty="0" smtClean="0">
                              <a:solidFill>
                                <a:schemeClr val="tx1"/>
                              </a:solidFill>
                              <a:hlinkClick r:id="rId119"/>
                            </a:rPr>
                            <a:t>www.</a:t>
                          </a:r>
                          <a:r>
                            <a:rPr lang="en-US" sz="1200" dirty="0" smtClean="0">
                              <a:solidFill>
                                <a:schemeClr val="tx1"/>
                              </a:solidFill>
                              <a:hlinkClick r:id="rId119"/>
                            </a:rPr>
                            <a:t>dpd.cdc.gov</a:t>
                          </a:r>
                          <a:r>
                            <a:rPr lang="en-US" sz="1200" dirty="0" smtClean="0">
                              <a:solidFill>
                                <a:schemeClr val="tx1"/>
                              </a:solidFill>
                            </a:rPr>
                            <a:t>   </a:t>
                          </a:r>
                          <a:endParaRPr lang="en-US" sz="1200" dirty="0">
                            <a:solidFill>
                              <a:schemeClr val="tx1"/>
                            </a:solidFill>
                          </a:endParaRPr>
                        </a:p>
                      </a:txBody>
                      <a:useSpRect/>
                    </a:txSp>
                  </a:sp>
                  <a:pic>
                    <a:nvPicPr>
                      <a:cNvPr id="1052" name="Picture 28" descr="http://www.cve.saude.sp.gov.br/gif/hidrica/ciclo_esquisto.JPG"/>
                      <a:cNvPicPr>
                        <a:picLocks noChangeAspect="1" noChangeArrowheads="1"/>
                      </a:cNvPicPr>
                    </a:nvPicPr>
                    <a:blipFill>
                      <a:blip r:embed="rId120"/>
                      <a:srcRect/>
                      <a:stretch>
                        <a:fillRect/>
                      </a:stretch>
                    </a:blipFill>
                    <a:spPr bwMode="auto">
                      <a:xfrm>
                        <a:off x="1219200" y="914400"/>
                        <a:ext cx="5000625" cy="4143376"/>
                      </a:xfrm>
                      <a:prstGeom prst="rect">
                        <a:avLst/>
                      </a:prstGeom>
                      <a:noFill/>
                    </a:spPr>
                  </a:pic>
                </lc:lockedCanvas>
              </a:graphicData>
            </a:graphic>
          </wp:inline>
        </w:drawing>
      </w:r>
    </w:p>
    <w:p w:rsidR="00702601" w:rsidRPr="00764C98" w:rsidRDefault="00C46A1F" w:rsidP="00702601">
      <w:pPr>
        <w:pStyle w:val="TM-3"/>
        <w:ind w:left="1418" w:right="567" w:firstLine="0"/>
        <w:jc w:val="center"/>
      </w:pPr>
      <w:r w:rsidRPr="00C46A1F">
        <w:rPr>
          <w:b/>
        </w:rPr>
        <w:t>Figura 9:</w:t>
      </w:r>
      <w:r w:rsidR="00702601" w:rsidRPr="00764C98">
        <w:t xml:space="preserve"> Esquema do ciclo de vida de </w:t>
      </w:r>
      <w:r w:rsidR="00702601" w:rsidRPr="00764C98">
        <w:rPr>
          <w:i/>
        </w:rPr>
        <w:t xml:space="preserve">Schistosoma </w:t>
      </w:r>
    </w:p>
    <w:p w:rsidR="00702601" w:rsidRPr="00764C98" w:rsidRDefault="00702601" w:rsidP="00C52E09">
      <w:pPr>
        <w:numPr>
          <w:ilvl w:val="0"/>
          <w:numId w:val="123"/>
        </w:numPr>
        <w:spacing w:before="120" w:after="0"/>
        <w:ind w:left="1080" w:hanging="630"/>
        <w:jc w:val="both"/>
        <w:rPr>
          <w:rFonts w:cs="Arial"/>
          <w:lang w:val="pt-BR"/>
        </w:rPr>
      </w:pPr>
      <w:r w:rsidRPr="00764C98">
        <w:rPr>
          <w:rFonts w:cs="Arial"/>
          <w:lang w:val="pt-BR"/>
        </w:rPr>
        <w:t xml:space="preserve">Os ovos atravessam a parede da bexiga e são eliminados, produzindo hematúria – sangue na urina (tipicamente hematúria terminal) e fibrose da bexiga, no caso de </w:t>
      </w:r>
      <w:r w:rsidRPr="00764C98">
        <w:rPr>
          <w:rFonts w:cs="Arial"/>
          <w:i/>
          <w:lang w:val="pt-BR"/>
        </w:rPr>
        <w:t>schistossoma haematobium</w:t>
      </w:r>
      <w:r w:rsidRPr="00764C98">
        <w:rPr>
          <w:rFonts w:cs="Arial"/>
          <w:lang w:val="pt-BR"/>
        </w:rPr>
        <w:t xml:space="preserve">, e infecção intestinal e hepática (fibrose hepática bilharzica) no caso de </w:t>
      </w:r>
      <w:r w:rsidRPr="00764C98">
        <w:rPr>
          <w:rFonts w:cs="Arial"/>
          <w:i/>
          <w:lang w:val="pt-BR"/>
        </w:rPr>
        <w:t>schistossoma mansoni</w:t>
      </w:r>
      <w:r w:rsidRPr="00764C98">
        <w:rPr>
          <w:rFonts w:cs="Arial"/>
          <w:lang w:val="pt-BR"/>
        </w:rPr>
        <w:t>.</w:t>
      </w:r>
    </w:p>
    <w:p w:rsidR="00702601" w:rsidRPr="00764C98" w:rsidRDefault="00702601" w:rsidP="00C52E09">
      <w:pPr>
        <w:numPr>
          <w:ilvl w:val="0"/>
          <w:numId w:val="123"/>
        </w:numPr>
        <w:spacing w:before="120" w:after="0"/>
        <w:ind w:left="1080" w:hanging="630"/>
        <w:jc w:val="both"/>
        <w:rPr>
          <w:rFonts w:cs="Arial"/>
          <w:lang w:val="pt-BR"/>
        </w:rPr>
      </w:pPr>
      <w:r w:rsidRPr="00764C98">
        <w:rPr>
          <w:rFonts w:cs="Arial"/>
          <w:lang w:val="pt-BR"/>
        </w:rPr>
        <w:lastRenderedPageBreak/>
        <w:t xml:space="preserve">O diagnóstico é feito pela visualização de ovos na urina ou amostra de fezes. Os ovos tem uma característica particular que os destingue: espícula terminal no </w:t>
      </w:r>
      <w:r w:rsidRPr="00764C98">
        <w:rPr>
          <w:rFonts w:cs="Arial"/>
          <w:i/>
          <w:lang w:val="pt-BR"/>
        </w:rPr>
        <w:t>Schistosoma haematobium</w:t>
      </w:r>
      <w:r w:rsidRPr="00764C98">
        <w:rPr>
          <w:rFonts w:cs="Arial"/>
          <w:lang w:val="pt-BR"/>
        </w:rPr>
        <w:t xml:space="preserve"> e espícula lateral no </w:t>
      </w:r>
      <w:r w:rsidRPr="00764C98">
        <w:rPr>
          <w:rFonts w:cs="Arial"/>
          <w:i/>
          <w:lang w:val="pt-BR"/>
        </w:rPr>
        <w:t>Schistosoma mansoni.</w:t>
      </w:r>
    </w:p>
    <w:p w:rsidR="00702601" w:rsidRPr="00764C98" w:rsidRDefault="00702601" w:rsidP="00702601">
      <w:pPr>
        <w:spacing w:before="120"/>
        <w:ind w:left="1080"/>
        <w:jc w:val="center"/>
        <w:rPr>
          <w:rFonts w:cs="Arial"/>
          <w:lang w:val="pt-BR"/>
        </w:rPr>
      </w:pPr>
      <w:r>
        <w:rPr>
          <w:rFonts w:cs="Arial"/>
          <w:noProof/>
          <w:lang w:val="en-ZW" w:eastAsia="en-ZW"/>
        </w:rPr>
        <w:drawing>
          <wp:inline distT="0" distB="0" distL="0" distR="0" wp14:anchorId="771EA909" wp14:editId="6E47BB9F">
            <wp:extent cx="4947340" cy="2743200"/>
            <wp:effectExtent l="19050" t="0" r="5660" b="0"/>
            <wp:docPr id="160" name="Object 22"/>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526733" cy="3430389"/>
                      <a:chOff x="683568" y="404664"/>
                      <a:chExt cx="6526733" cy="3430389"/>
                    </a:xfrm>
                  </a:grpSpPr>
                  <a:grpSp>
                    <a:nvGrpSpPr>
                      <a:cNvPr id="13" name="Group 12"/>
                      <a:cNvGrpSpPr/>
                    </a:nvGrpSpPr>
                    <a:grpSpPr>
                      <a:xfrm>
                        <a:off x="683568" y="404664"/>
                        <a:ext cx="6526733" cy="3430389"/>
                        <a:chOff x="683568" y="404664"/>
                        <a:chExt cx="6526733" cy="3430389"/>
                      </a:xfrm>
                    </a:grpSpPr>
                    <a:pic>
                      <a:nvPicPr>
                        <a:cNvPr id="51203" name="Picture 32"/>
                        <a:cNvPicPr>
                          <a:picLocks noChangeAspect="1" noChangeArrowheads="1"/>
                        </a:cNvPicPr>
                      </a:nvPicPr>
                      <a:blipFill>
                        <a:blip r:embed="rId121"/>
                        <a:srcRect/>
                        <a:stretch>
                          <a:fillRect/>
                        </a:stretch>
                      </a:blipFill>
                      <a:spPr bwMode="auto">
                        <a:xfrm>
                          <a:off x="683568" y="1412776"/>
                          <a:ext cx="3355975" cy="2378075"/>
                        </a:xfrm>
                        <a:prstGeom prst="rect">
                          <a:avLst/>
                        </a:prstGeom>
                        <a:noFill/>
                        <a:ln w="9525">
                          <a:noFill/>
                          <a:miter lim="800000"/>
                          <a:headEnd/>
                          <a:tailEnd/>
                        </a:ln>
                      </a:spPr>
                    </a:pic>
                    <a:pic>
                      <a:nvPicPr>
                        <a:cNvPr id="51204" name="il_fi" descr="S_mansoni_egg_2X22"/>
                        <a:cNvPicPr>
                          <a:picLocks noChangeAspect="1" noChangeArrowheads="1"/>
                        </a:cNvPicPr>
                      </a:nvPicPr>
                      <a:blipFill>
                        <a:blip r:embed="rId122"/>
                        <a:srcRect/>
                        <a:stretch>
                          <a:fillRect/>
                        </a:stretch>
                      </a:blipFill>
                      <a:spPr bwMode="auto">
                        <a:xfrm>
                          <a:off x="4355976" y="980728"/>
                          <a:ext cx="2854325" cy="2854325"/>
                        </a:xfrm>
                        <a:prstGeom prst="rect">
                          <a:avLst/>
                        </a:prstGeom>
                        <a:noFill/>
                        <a:ln w="9525">
                          <a:noFill/>
                          <a:miter lim="800000"/>
                          <a:headEnd/>
                          <a:tailEnd/>
                        </a:ln>
                      </a:spPr>
                    </a:pic>
                    <a:cxnSp>
                      <a:nvCxnSpPr>
                        <a:cNvPr id="6" name="Straight Arrow Connector 5"/>
                        <a:cNvCxnSpPr/>
                      </a:nvCxnSpPr>
                      <a:spPr>
                        <a:xfrm rot="5400000">
                          <a:off x="611560" y="1772816"/>
                          <a:ext cx="1584176" cy="144016"/>
                        </a:xfrm>
                        <a:prstGeom prst="straightConnector1">
                          <a:avLst/>
                        </a:prstGeom>
                        <a:ln w="28575">
                          <a:solidFill>
                            <a:schemeClr val="tx1"/>
                          </a:solidFill>
                          <a:tailEnd type="arrow"/>
                        </a:ln>
                      </a:spPr>
                      <a:style>
                        <a:lnRef idx="1">
                          <a:schemeClr val="accent1"/>
                        </a:lnRef>
                        <a:fillRef idx="0">
                          <a:schemeClr val="accent1"/>
                        </a:fillRef>
                        <a:effectRef idx="0">
                          <a:schemeClr val="accent1"/>
                        </a:effectRef>
                        <a:fontRef idx="minor">
                          <a:schemeClr val="tx1"/>
                        </a:fontRef>
                      </a:style>
                    </a:cxnSp>
                    <a:sp>
                      <a:nvSpPr>
                        <a:cNvPr id="7" name="TextBox 6"/>
                        <a:cNvSpPr txBox="1"/>
                      </a:nvSpPr>
                      <a:spPr>
                        <a:xfrm>
                          <a:off x="899592" y="692696"/>
                          <a:ext cx="2016224" cy="369332"/>
                        </a:xfrm>
                        <a:prstGeom prst="rect">
                          <a:avLst/>
                        </a:prstGeom>
                        <a:noFill/>
                        <a:ln>
                          <a:solidFill>
                            <a:schemeClr val="tx1"/>
                          </a:solidFill>
                        </a:ln>
                      </a:spPr>
                      <a:txSp>
                        <a:txBody>
                          <a:bodyPr wrap="square" rtlCol="0">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dirty="0" err="1" smtClean="0"/>
                              <a:t>Espícula</a:t>
                            </a:r>
                            <a:r>
                              <a:rPr lang="en-GB" dirty="0" smtClean="0"/>
                              <a:t> Terminal</a:t>
                            </a:r>
                            <a:endParaRPr lang="en-GB" dirty="0"/>
                          </a:p>
                        </a:txBody>
                        <a:useSpRect/>
                      </a:txSp>
                    </a:sp>
                    <a:sp>
                      <a:nvSpPr>
                        <a:cNvPr id="8" name="TextBox 7"/>
                        <a:cNvSpPr txBox="1"/>
                      </a:nvSpPr>
                      <a:spPr>
                        <a:xfrm>
                          <a:off x="4067944" y="404664"/>
                          <a:ext cx="2016224" cy="369332"/>
                        </a:xfrm>
                        <a:prstGeom prst="rect">
                          <a:avLst/>
                        </a:prstGeom>
                        <a:noFill/>
                        <a:ln>
                          <a:solidFill>
                            <a:schemeClr val="tx1"/>
                          </a:solidFill>
                        </a:ln>
                      </a:spPr>
                      <a:txSp>
                        <a:txBody>
                          <a:bodyPr wrap="square" rtlCol="0">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dirty="0" err="1" smtClean="0"/>
                              <a:t>Espícula</a:t>
                            </a:r>
                            <a:r>
                              <a:rPr lang="en-GB" dirty="0" smtClean="0"/>
                              <a:t> Lateral</a:t>
                            </a:r>
                            <a:endParaRPr lang="en-GB" dirty="0"/>
                          </a:p>
                        </a:txBody>
                        <a:useSpRect/>
                      </a:txSp>
                    </a:sp>
                    <a:cxnSp>
                      <a:nvCxnSpPr>
                        <a:cNvPr id="9" name="Straight Arrow Connector 8"/>
                        <a:cNvCxnSpPr/>
                      </a:nvCxnSpPr>
                      <a:spPr>
                        <a:xfrm>
                          <a:off x="4860032" y="764704"/>
                          <a:ext cx="1728192" cy="720080"/>
                        </a:xfrm>
                        <a:prstGeom prst="straightConnector1">
                          <a:avLst/>
                        </a:prstGeom>
                        <a:ln w="28575">
                          <a:solidFill>
                            <a:schemeClr val="tx1"/>
                          </a:solidFill>
                          <a:tailEnd type="arrow"/>
                        </a:ln>
                      </a:spPr>
                      <a:style>
                        <a:lnRef idx="1">
                          <a:schemeClr val="accent1"/>
                        </a:lnRef>
                        <a:fillRef idx="0">
                          <a:schemeClr val="accent1"/>
                        </a:fillRef>
                        <a:effectRef idx="0">
                          <a:schemeClr val="accent1"/>
                        </a:effectRef>
                        <a:fontRef idx="minor">
                          <a:schemeClr val="tx1"/>
                        </a:fontRef>
                      </a:style>
                    </a:cxnSp>
                    <a:cxnSp>
                      <a:nvCxnSpPr>
                        <a:cNvPr id="11" name="Straight Arrow Connector 10"/>
                        <a:cNvCxnSpPr/>
                      </a:nvCxnSpPr>
                      <a:spPr>
                        <a:xfrm rot="5400000">
                          <a:off x="3491880" y="1916832"/>
                          <a:ext cx="2520280" cy="216024"/>
                        </a:xfrm>
                        <a:prstGeom prst="straightConnector1">
                          <a:avLst/>
                        </a:prstGeom>
                        <a:ln w="28575">
                          <a:solidFill>
                            <a:schemeClr val="tx1"/>
                          </a:solidFill>
                          <a:tailEnd type="arrow"/>
                        </a:ln>
                      </a:spPr>
                      <a:style>
                        <a:lnRef idx="1">
                          <a:schemeClr val="accent1"/>
                        </a:lnRef>
                        <a:fillRef idx="0">
                          <a:schemeClr val="accent1"/>
                        </a:fillRef>
                        <a:effectRef idx="0">
                          <a:schemeClr val="accent1"/>
                        </a:effectRef>
                        <a:fontRef idx="minor">
                          <a:schemeClr val="tx1"/>
                        </a:fontRef>
                      </a:style>
                    </a:cxnSp>
                  </a:grpSp>
                </lc:lockedCanvas>
              </a:graphicData>
            </a:graphic>
          </wp:inline>
        </w:drawing>
      </w:r>
    </w:p>
    <w:p w:rsidR="00702601" w:rsidRPr="00764C98" w:rsidRDefault="00C46A1F" w:rsidP="00702601">
      <w:pPr>
        <w:pStyle w:val="TM-3"/>
        <w:ind w:left="1418" w:right="567" w:firstLine="0"/>
        <w:jc w:val="center"/>
      </w:pPr>
      <w:r w:rsidRPr="00C46A1F">
        <w:rPr>
          <w:b/>
        </w:rPr>
        <w:t>Figura 10:</w:t>
      </w:r>
      <w:r w:rsidR="00702601" w:rsidRPr="00764C98">
        <w:t xml:space="preserve"> Imagem de ovos de </w:t>
      </w:r>
      <w:r w:rsidR="00702601" w:rsidRPr="00764C98">
        <w:rPr>
          <w:i/>
        </w:rPr>
        <w:t>Schistosoma haematobium</w:t>
      </w:r>
      <w:r w:rsidR="00702601" w:rsidRPr="00764C98">
        <w:t xml:space="preserve"> na urina e </w:t>
      </w:r>
      <w:r w:rsidR="00702601" w:rsidRPr="00764C98">
        <w:rPr>
          <w:i/>
        </w:rPr>
        <w:t>Schistosoma mansoni</w:t>
      </w:r>
      <w:r w:rsidR="00702601" w:rsidRPr="00764C98">
        <w:t xml:space="preserve"> nas fezes</w:t>
      </w:r>
    </w:p>
    <w:p w:rsidR="00702601" w:rsidRPr="00764C98" w:rsidRDefault="00702601" w:rsidP="00C52E09">
      <w:pPr>
        <w:numPr>
          <w:ilvl w:val="0"/>
          <w:numId w:val="121"/>
        </w:numPr>
        <w:spacing w:before="120" w:after="0"/>
        <w:ind w:left="450" w:hanging="450"/>
        <w:jc w:val="both"/>
        <w:rPr>
          <w:rFonts w:cs="Arial"/>
          <w:lang w:val="pt-BR"/>
        </w:rPr>
      </w:pPr>
      <w:r w:rsidRPr="00764C98">
        <w:rPr>
          <w:rFonts w:cs="Arial"/>
          <w:i/>
          <w:lang w:val="pt-BR"/>
        </w:rPr>
        <w:t>Onchocerca volvulus</w:t>
      </w:r>
      <w:r w:rsidRPr="00764C98">
        <w:rPr>
          <w:rFonts w:cs="Arial"/>
          <w:lang w:val="pt-BR"/>
        </w:rPr>
        <w:t>. Responsável pela cegueira dos “rios”.</w:t>
      </w:r>
    </w:p>
    <w:p w:rsidR="00702601" w:rsidRPr="00764C98" w:rsidRDefault="00702601" w:rsidP="00C52E09">
      <w:pPr>
        <w:numPr>
          <w:ilvl w:val="0"/>
          <w:numId w:val="124"/>
        </w:numPr>
        <w:spacing w:before="120" w:after="0"/>
        <w:ind w:left="1080" w:hanging="630"/>
        <w:jc w:val="both"/>
        <w:rPr>
          <w:rFonts w:cs="Arial"/>
          <w:lang w:val="pt-BR"/>
        </w:rPr>
      </w:pPr>
      <w:r w:rsidRPr="00764C98">
        <w:rPr>
          <w:rFonts w:cs="Arial"/>
          <w:lang w:val="pt-BR"/>
        </w:rPr>
        <w:t>É transmitida pela picada de algumas espécies da mosca preta.</w:t>
      </w:r>
    </w:p>
    <w:p w:rsidR="00702601" w:rsidRPr="00764C98" w:rsidRDefault="00702601" w:rsidP="00C52E09">
      <w:pPr>
        <w:numPr>
          <w:ilvl w:val="0"/>
          <w:numId w:val="124"/>
        </w:numPr>
        <w:spacing w:before="120" w:after="0"/>
        <w:ind w:left="1080" w:hanging="630"/>
        <w:jc w:val="both"/>
        <w:rPr>
          <w:rFonts w:cs="Arial"/>
          <w:lang w:val="pt-BR"/>
        </w:rPr>
      </w:pPr>
      <w:r w:rsidRPr="00764C98">
        <w:rPr>
          <w:rFonts w:cs="Arial"/>
          <w:lang w:val="pt-BR"/>
        </w:rPr>
        <w:t>As larvas se disseminam por diferentes tecidos, especialmente pele e olhos.</w:t>
      </w:r>
    </w:p>
    <w:p w:rsidR="00702601" w:rsidRPr="00764C98" w:rsidRDefault="00702601" w:rsidP="00C52E09">
      <w:pPr>
        <w:numPr>
          <w:ilvl w:val="0"/>
          <w:numId w:val="124"/>
        </w:numPr>
        <w:spacing w:before="120" w:after="0"/>
        <w:ind w:left="1080" w:hanging="630"/>
        <w:jc w:val="both"/>
        <w:rPr>
          <w:rFonts w:cs="Arial"/>
          <w:lang w:val="pt-BR"/>
        </w:rPr>
      </w:pPr>
      <w:r w:rsidRPr="00764C98">
        <w:rPr>
          <w:rFonts w:cs="Arial"/>
          <w:lang w:val="pt-BR"/>
        </w:rPr>
        <w:t>As larvas são capazes de induzir uma potente resposta inflamatória, produzindo coceira intensa.</w:t>
      </w:r>
    </w:p>
    <w:p w:rsidR="00702601" w:rsidRPr="00764C98" w:rsidRDefault="00702601" w:rsidP="00C52E09">
      <w:pPr>
        <w:numPr>
          <w:ilvl w:val="0"/>
          <w:numId w:val="124"/>
        </w:numPr>
        <w:spacing w:before="120" w:after="0"/>
        <w:ind w:left="1080" w:hanging="630"/>
        <w:jc w:val="both"/>
        <w:rPr>
          <w:rFonts w:cs="Arial"/>
          <w:lang w:val="pt-BR"/>
        </w:rPr>
      </w:pPr>
      <w:r w:rsidRPr="00764C98">
        <w:rPr>
          <w:rFonts w:cs="Arial"/>
          <w:lang w:val="pt-BR"/>
        </w:rPr>
        <w:t>As lesões mais importantes são dermatite, com perda de elasticidade da pele, nódulos cutâneos e zonas de hipo-pigmentação, e a cegueira.</w:t>
      </w:r>
    </w:p>
    <w:p w:rsidR="00702601" w:rsidRPr="00764C98" w:rsidRDefault="00702601" w:rsidP="00C52E09">
      <w:pPr>
        <w:numPr>
          <w:ilvl w:val="0"/>
          <w:numId w:val="124"/>
        </w:numPr>
        <w:spacing w:before="120" w:after="0"/>
        <w:ind w:left="1080" w:hanging="630"/>
        <w:jc w:val="both"/>
        <w:rPr>
          <w:rFonts w:cs="Arial"/>
          <w:lang w:val="pt-BR"/>
        </w:rPr>
      </w:pPr>
      <w:r w:rsidRPr="00764C98">
        <w:rPr>
          <w:rFonts w:cs="Arial"/>
          <w:lang w:val="pt-BR"/>
        </w:rPr>
        <w:t>O diagnóstico é feito por visualização das larvas em biopsias de pele. Também podem-se ver no exame do fundo do olho com oftalmoscópio.</w:t>
      </w:r>
    </w:p>
    <w:p w:rsidR="00702601" w:rsidRPr="00764C98" w:rsidRDefault="00702601" w:rsidP="00702601">
      <w:pPr>
        <w:spacing w:before="120"/>
        <w:ind w:left="1080"/>
        <w:jc w:val="center"/>
        <w:rPr>
          <w:rFonts w:cs="Arial"/>
          <w:lang w:val="pt-BR"/>
        </w:rPr>
      </w:pPr>
      <w:r>
        <w:rPr>
          <w:rFonts w:cs="Arial"/>
          <w:noProof/>
          <w:lang w:val="en-ZW" w:eastAsia="en-ZW"/>
        </w:rPr>
        <w:drawing>
          <wp:inline distT="0" distB="0" distL="0" distR="0" wp14:anchorId="50F5BE9E" wp14:editId="7E9E96FA">
            <wp:extent cx="4572000" cy="2401294"/>
            <wp:effectExtent l="0" t="0" r="0" b="0"/>
            <wp:docPr id="159" name="Object 23"/>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572000" cy="2607096"/>
                      <a:chOff x="395536" y="2276872"/>
                      <a:chExt cx="4572000" cy="2607096"/>
                    </a:xfrm>
                  </a:grpSpPr>
                  <a:grpSp>
                    <a:nvGrpSpPr>
                      <a:cNvPr id="4" name="Group 3"/>
                      <a:cNvGrpSpPr/>
                    </a:nvGrpSpPr>
                    <a:grpSpPr>
                      <a:xfrm>
                        <a:off x="395536" y="2276872"/>
                        <a:ext cx="4572000" cy="2607096"/>
                        <a:chOff x="395536" y="2276872"/>
                        <a:chExt cx="4572000" cy="2607096"/>
                      </a:xfrm>
                    </a:grpSpPr>
                    <a:pic>
                      <a:nvPicPr>
                        <a:cNvPr id="52226" name="Picture 2" descr="http://www.oucom.ohiou.edu/tdi/topics_international_health/Images/fig1_worm.jpg"/>
                        <a:cNvPicPr>
                          <a:picLocks noChangeAspect="1" noChangeArrowheads="1"/>
                        </a:cNvPicPr>
                      </a:nvPicPr>
                      <a:blipFill>
                        <a:blip r:embed="rId123"/>
                        <a:srcRect/>
                        <a:stretch>
                          <a:fillRect/>
                        </a:stretch>
                      </a:blipFill>
                      <a:spPr bwMode="auto">
                        <a:xfrm>
                          <a:off x="755576" y="2276872"/>
                          <a:ext cx="3096344" cy="2304256"/>
                        </a:xfrm>
                        <a:prstGeom prst="rect">
                          <a:avLst/>
                        </a:prstGeom>
                        <a:noFill/>
                      </a:spPr>
                    </a:pic>
                    <a:sp>
                      <a:nvSpPr>
                        <a:cNvPr id="3" name="Rectangle 2"/>
                        <a:cNvSpPr/>
                      </a:nvSpPr>
                      <a:spPr>
                        <a:xfrm>
                          <a:off x="395536" y="4653136"/>
                          <a:ext cx="4572000" cy="230832"/>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900" dirty="0" smtClean="0"/>
                              <a:t>http://www.oucom.ohiou.edu/tdi/topics_international_health/Images/fig1_worm.jpg</a:t>
                            </a:r>
                            <a:endParaRPr lang="en-GB" sz="900" dirty="0"/>
                          </a:p>
                        </a:txBody>
                        <a:useSpRect/>
                      </a:txSp>
                    </a:sp>
                  </a:grpSp>
                </lc:lockedCanvas>
              </a:graphicData>
            </a:graphic>
          </wp:inline>
        </w:drawing>
      </w:r>
    </w:p>
    <w:p w:rsidR="00702601" w:rsidRDefault="00C46A1F" w:rsidP="00702601">
      <w:pPr>
        <w:pStyle w:val="TM-3"/>
        <w:ind w:left="1418" w:right="567" w:firstLine="0"/>
        <w:jc w:val="center"/>
      </w:pPr>
      <w:r w:rsidRPr="00C46A1F">
        <w:rPr>
          <w:b/>
        </w:rPr>
        <w:t>Figura 11:</w:t>
      </w:r>
      <w:r w:rsidR="00702601" w:rsidRPr="00764C98">
        <w:t xml:space="preserve"> Imagem de larvas de </w:t>
      </w:r>
      <w:r w:rsidR="00702601" w:rsidRPr="00764C98">
        <w:rPr>
          <w:i/>
        </w:rPr>
        <w:t xml:space="preserve">Onchocerca volvulus </w:t>
      </w:r>
      <w:r w:rsidR="00702601" w:rsidRPr="00764C98">
        <w:t>em pele</w:t>
      </w:r>
    </w:p>
    <w:p w:rsidR="00C46A1F" w:rsidRPr="00764C98" w:rsidRDefault="00C46A1F" w:rsidP="00702601">
      <w:pPr>
        <w:pStyle w:val="TM-3"/>
        <w:ind w:left="1418" w:right="567" w:firstLine="0"/>
        <w:jc w:val="center"/>
      </w:pPr>
    </w:p>
    <w:p w:rsidR="00702601" w:rsidRPr="00721151" w:rsidRDefault="00702601" w:rsidP="00C52E09">
      <w:pPr>
        <w:numPr>
          <w:ilvl w:val="0"/>
          <w:numId w:val="121"/>
        </w:numPr>
        <w:spacing w:before="120" w:after="0"/>
        <w:ind w:left="450" w:hanging="450"/>
        <w:jc w:val="both"/>
        <w:rPr>
          <w:rFonts w:cs="Arial"/>
          <w:b/>
          <w:lang w:val="pt-BR"/>
        </w:rPr>
      </w:pPr>
      <w:r w:rsidRPr="00721151">
        <w:rPr>
          <w:rFonts w:cs="Arial"/>
          <w:b/>
          <w:i/>
          <w:lang w:val="pt-BR"/>
        </w:rPr>
        <w:lastRenderedPageBreak/>
        <w:t>Wuchereria bancrofti</w:t>
      </w:r>
      <w:r w:rsidR="00AA18FA">
        <w:rPr>
          <w:rFonts w:cs="Arial"/>
          <w:b/>
          <w:lang w:val="pt-BR"/>
        </w:rPr>
        <w:t>. Responsável pela filaríase</w:t>
      </w:r>
    </w:p>
    <w:p w:rsidR="00702601" w:rsidRPr="00764C98" w:rsidRDefault="00702601" w:rsidP="00C52E09">
      <w:pPr>
        <w:numPr>
          <w:ilvl w:val="0"/>
          <w:numId w:val="125"/>
        </w:numPr>
        <w:spacing w:before="120" w:after="0"/>
        <w:ind w:left="1080" w:hanging="630"/>
        <w:jc w:val="both"/>
        <w:rPr>
          <w:rFonts w:cs="Arial"/>
          <w:lang w:val="pt-BR"/>
        </w:rPr>
      </w:pPr>
      <w:r w:rsidRPr="00764C98">
        <w:rPr>
          <w:rFonts w:cs="Arial"/>
          <w:lang w:val="pt-BR"/>
        </w:rPr>
        <w:t>A larva infectante é transmitida pela picada de mosquitos do género Culex.</w:t>
      </w:r>
    </w:p>
    <w:p w:rsidR="00702601" w:rsidRPr="00764C98" w:rsidRDefault="00702601" w:rsidP="00C52E09">
      <w:pPr>
        <w:numPr>
          <w:ilvl w:val="0"/>
          <w:numId w:val="125"/>
        </w:numPr>
        <w:spacing w:before="120" w:after="0"/>
        <w:ind w:left="1080" w:hanging="630"/>
        <w:jc w:val="both"/>
        <w:rPr>
          <w:rFonts w:cs="Arial"/>
          <w:lang w:val="pt-BR"/>
        </w:rPr>
      </w:pPr>
      <w:r w:rsidRPr="00764C98">
        <w:rPr>
          <w:rFonts w:cs="Arial"/>
          <w:lang w:val="pt-BR"/>
        </w:rPr>
        <w:t>Uma vez penetram na pele, as larvas migram para os vasos linfáticos, onde se desenvolvem a vermes adultos.</w:t>
      </w:r>
    </w:p>
    <w:p w:rsidR="00702601" w:rsidRPr="00764C98" w:rsidRDefault="00702601" w:rsidP="00702601">
      <w:pPr>
        <w:spacing w:before="120"/>
        <w:ind w:left="1080"/>
        <w:jc w:val="center"/>
        <w:rPr>
          <w:rFonts w:cs="Arial"/>
          <w:lang w:val="pt-BR"/>
        </w:rPr>
      </w:pPr>
      <w:r>
        <w:rPr>
          <w:rFonts w:cs="Arial"/>
          <w:noProof/>
          <w:lang w:val="en-ZW" w:eastAsia="en-ZW"/>
        </w:rPr>
        <w:drawing>
          <wp:inline distT="0" distB="0" distL="0" distR="0" wp14:anchorId="2512DE06" wp14:editId="5FDC408E">
            <wp:extent cx="5853515" cy="4142630"/>
            <wp:effectExtent l="19050" t="0" r="0" b="0"/>
            <wp:docPr id="15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4" cstate="print"/>
                    <a:srcRect l="3926" r="2368"/>
                    <a:stretch>
                      <a:fillRect/>
                    </a:stretch>
                  </pic:blipFill>
                  <pic:spPr bwMode="auto">
                    <a:xfrm>
                      <a:off x="0" y="0"/>
                      <a:ext cx="5854700" cy="4143469"/>
                    </a:xfrm>
                    <a:prstGeom prst="rect">
                      <a:avLst/>
                    </a:prstGeom>
                    <a:noFill/>
                    <a:ln w="9525">
                      <a:noFill/>
                      <a:miter lim="800000"/>
                      <a:headEnd/>
                      <a:tailEnd/>
                    </a:ln>
                  </pic:spPr>
                </pic:pic>
              </a:graphicData>
            </a:graphic>
          </wp:inline>
        </w:drawing>
      </w:r>
    </w:p>
    <w:p w:rsidR="00702601" w:rsidRPr="00764C98" w:rsidRDefault="00EB2A96" w:rsidP="00702601">
      <w:pPr>
        <w:pStyle w:val="TM-3"/>
        <w:ind w:left="1418" w:right="567" w:firstLine="0"/>
        <w:jc w:val="center"/>
        <w:rPr>
          <w:i/>
        </w:rPr>
      </w:pPr>
      <w:r w:rsidRPr="00EB2A96">
        <w:rPr>
          <w:b/>
        </w:rPr>
        <w:t>Figura 12:</w:t>
      </w:r>
      <w:r w:rsidR="00702601" w:rsidRPr="00764C98">
        <w:t xml:space="preserve"> Esquema do ciclo de vida de </w:t>
      </w:r>
      <w:r w:rsidR="00702601" w:rsidRPr="00764C98">
        <w:rPr>
          <w:i/>
        </w:rPr>
        <w:t>Wuchereria bancrofti</w:t>
      </w:r>
    </w:p>
    <w:p w:rsidR="00702601" w:rsidRPr="00764C98" w:rsidRDefault="00702601" w:rsidP="00C52E09">
      <w:pPr>
        <w:numPr>
          <w:ilvl w:val="0"/>
          <w:numId w:val="125"/>
        </w:numPr>
        <w:spacing w:before="120" w:after="0"/>
        <w:ind w:left="1080" w:hanging="630"/>
        <w:jc w:val="both"/>
        <w:rPr>
          <w:rFonts w:cs="Arial"/>
          <w:lang w:val="pt-BR"/>
        </w:rPr>
      </w:pPr>
      <w:r w:rsidRPr="00764C98">
        <w:rPr>
          <w:rFonts w:cs="Arial"/>
          <w:lang w:val="pt-BR"/>
        </w:rPr>
        <w:t>Os vermes adultos provocam febre e inflamação de gânglios e vasos linfáticos, com consequente obstrução e dilatação irreversível dos vasos linfáticos.</w:t>
      </w:r>
    </w:p>
    <w:p w:rsidR="00702601" w:rsidRPr="00764C98" w:rsidRDefault="00702601" w:rsidP="00C52E09">
      <w:pPr>
        <w:numPr>
          <w:ilvl w:val="0"/>
          <w:numId w:val="125"/>
        </w:numPr>
        <w:spacing w:before="120" w:after="0"/>
        <w:ind w:left="1080" w:hanging="630"/>
        <w:jc w:val="both"/>
        <w:rPr>
          <w:rFonts w:cs="Arial"/>
          <w:lang w:val="pt-BR"/>
        </w:rPr>
      </w:pPr>
      <w:r w:rsidRPr="00764C98">
        <w:rPr>
          <w:rFonts w:cs="Arial"/>
          <w:lang w:val="pt-BR"/>
        </w:rPr>
        <w:t>As manifestações clínicas da infecção crónica dependem do local onde se produz a dilatação. São típicas a elefantíase de membros inferiores e o hidrocele (acumulação de líquido na pele do escroto).</w:t>
      </w:r>
    </w:p>
    <w:p w:rsidR="00702601" w:rsidRPr="00764C98" w:rsidRDefault="00702601" w:rsidP="00C52E09">
      <w:pPr>
        <w:numPr>
          <w:ilvl w:val="0"/>
          <w:numId w:val="125"/>
        </w:numPr>
        <w:spacing w:before="120" w:after="0"/>
        <w:ind w:left="1080" w:hanging="630"/>
        <w:jc w:val="both"/>
        <w:rPr>
          <w:rFonts w:cs="Arial"/>
          <w:lang w:val="pt-BR"/>
        </w:rPr>
      </w:pPr>
      <w:r w:rsidRPr="00764C98">
        <w:rPr>
          <w:rFonts w:cs="Arial"/>
          <w:lang w:val="pt-BR"/>
        </w:rPr>
        <w:t>O diagnóstico é feito pela visualização de larvas (microfilárias) no sangue periférico, particularmente na infecção aguda.</w:t>
      </w:r>
    </w:p>
    <w:p w:rsidR="00702601" w:rsidRPr="00764C98" w:rsidRDefault="00702601" w:rsidP="00702601">
      <w:pPr>
        <w:spacing w:before="120"/>
        <w:ind w:left="1080"/>
        <w:jc w:val="both"/>
        <w:rPr>
          <w:rFonts w:cs="Arial"/>
          <w:lang w:val="pt-BR"/>
        </w:rPr>
      </w:pPr>
      <w:r>
        <w:rPr>
          <w:rFonts w:cs="Arial"/>
          <w:noProof/>
          <w:lang w:val="en-ZW" w:eastAsia="en-ZW"/>
        </w:rPr>
        <w:drawing>
          <wp:inline distT="0" distB="0" distL="0" distR="0" wp14:anchorId="1FA56027" wp14:editId="26668678">
            <wp:extent cx="4018280" cy="1884459"/>
            <wp:effectExtent l="19050" t="0" r="1270" b="0"/>
            <wp:docPr id="157" name="Object 24"/>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762500" cy="3414573"/>
                      <a:chOff x="1259632" y="1340768"/>
                      <a:chExt cx="4762500" cy="3414573"/>
                    </a:xfrm>
                  </a:grpSpPr>
                  <a:grpSp>
                    <a:nvGrpSpPr>
                      <a:cNvPr id="4" name="Group 3"/>
                      <a:cNvGrpSpPr/>
                    </a:nvGrpSpPr>
                    <a:grpSpPr>
                      <a:xfrm>
                        <a:off x="1259632" y="1340768"/>
                        <a:ext cx="4762500" cy="3414573"/>
                        <a:chOff x="1259632" y="1340768"/>
                        <a:chExt cx="4762500" cy="3414573"/>
                      </a:xfrm>
                    </a:grpSpPr>
                    <a:pic>
                      <a:nvPicPr>
                        <a:cNvPr id="53250" name="Picture 2" descr="http://farm4.static.flickr.com/3158/2777439175_6a1a54ae33.jpg"/>
                        <a:cNvPicPr>
                          <a:picLocks noChangeAspect="1" noChangeArrowheads="1"/>
                        </a:cNvPicPr>
                      </a:nvPicPr>
                      <a:blipFill>
                        <a:blip r:embed="rId125"/>
                        <a:srcRect/>
                        <a:stretch>
                          <a:fillRect/>
                        </a:stretch>
                      </a:blipFill>
                      <a:spPr bwMode="auto">
                        <a:xfrm>
                          <a:off x="1259632" y="1340768"/>
                          <a:ext cx="4762500" cy="3209925"/>
                        </a:xfrm>
                        <a:prstGeom prst="rect">
                          <a:avLst/>
                        </a:prstGeom>
                        <a:noFill/>
                      </a:spPr>
                    </a:pic>
                    <a:sp>
                      <a:nvSpPr>
                        <a:cNvPr id="3" name="Rectangle 2"/>
                        <a:cNvSpPr/>
                      </a:nvSpPr>
                      <a:spPr>
                        <a:xfrm>
                          <a:off x="1259632" y="4509120"/>
                          <a:ext cx="4572000" cy="246221"/>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000" dirty="0" smtClean="0"/>
                              <a:t>http://farm4.static.flickr.com/3158/2777439175_6a1a54ae33.jpg</a:t>
                            </a:r>
                            <a:endParaRPr lang="en-GB" sz="1000" dirty="0"/>
                          </a:p>
                        </a:txBody>
                        <a:useSpRect/>
                      </a:txSp>
                    </a:sp>
                  </a:grpSp>
                </lc:lockedCanvas>
              </a:graphicData>
            </a:graphic>
          </wp:inline>
        </w:drawing>
      </w:r>
    </w:p>
    <w:p w:rsidR="00702601" w:rsidRPr="00764C98" w:rsidRDefault="00C46A1F" w:rsidP="00702601">
      <w:pPr>
        <w:pStyle w:val="TM-3"/>
        <w:ind w:left="1418" w:right="567" w:firstLine="0"/>
        <w:jc w:val="center"/>
      </w:pPr>
      <w:r w:rsidRPr="00C46A1F">
        <w:rPr>
          <w:b/>
        </w:rPr>
        <w:t>Figura 13:</w:t>
      </w:r>
      <w:r w:rsidR="00702601" w:rsidRPr="00764C98">
        <w:t xml:space="preserve"> Imagem de larvas de </w:t>
      </w:r>
      <w:r w:rsidR="00702601" w:rsidRPr="00764C98">
        <w:rPr>
          <w:i/>
        </w:rPr>
        <w:t>Wuchereria bancrofti</w:t>
      </w:r>
      <w:r w:rsidR="00702601" w:rsidRPr="00764C98">
        <w:t xml:space="preserve"> em sangue</w:t>
      </w:r>
    </w:p>
    <w:p w:rsidR="00702601" w:rsidRPr="00721151" w:rsidRDefault="00702601" w:rsidP="00C52E09">
      <w:pPr>
        <w:numPr>
          <w:ilvl w:val="0"/>
          <w:numId w:val="121"/>
        </w:numPr>
        <w:spacing w:before="120" w:after="0"/>
        <w:ind w:left="450" w:hanging="450"/>
        <w:jc w:val="both"/>
        <w:rPr>
          <w:rFonts w:cs="Arial"/>
          <w:b/>
          <w:lang w:val="pt-BR"/>
        </w:rPr>
      </w:pPr>
      <w:r w:rsidRPr="00721151">
        <w:rPr>
          <w:rFonts w:cs="Arial"/>
          <w:b/>
          <w:i/>
          <w:lang w:val="pt-BR"/>
        </w:rPr>
        <w:lastRenderedPageBreak/>
        <w:t>Trichinella spiralis</w:t>
      </w:r>
      <w:r w:rsidRPr="00721151">
        <w:rPr>
          <w:rFonts w:cs="Arial"/>
          <w:b/>
          <w:lang w:val="pt-BR"/>
        </w:rPr>
        <w:t>. Responsável pela triquinose.</w:t>
      </w:r>
    </w:p>
    <w:p w:rsidR="00702601" w:rsidRPr="00702601" w:rsidRDefault="00702601" w:rsidP="00C52E09">
      <w:pPr>
        <w:numPr>
          <w:ilvl w:val="0"/>
          <w:numId w:val="126"/>
        </w:numPr>
        <w:spacing w:before="120" w:after="0"/>
        <w:ind w:left="1080" w:hanging="630"/>
        <w:jc w:val="both"/>
        <w:rPr>
          <w:rFonts w:cs="Arial"/>
          <w:lang w:val="pt-BR"/>
        </w:rPr>
      </w:pPr>
      <w:r w:rsidRPr="00702601">
        <w:rPr>
          <w:rFonts w:cs="Arial"/>
          <w:lang w:val="pt-BR"/>
        </w:rPr>
        <w:t>A infecção é transmitida quando ocorrer a ingestão de carne de porco e de alguns carnívoros selvagens infectados pelo parasita.</w:t>
      </w:r>
    </w:p>
    <w:p w:rsidR="00702601" w:rsidRPr="00764C98" w:rsidRDefault="00702601" w:rsidP="00C52E09">
      <w:pPr>
        <w:numPr>
          <w:ilvl w:val="0"/>
          <w:numId w:val="126"/>
        </w:numPr>
        <w:spacing w:before="120" w:after="0"/>
        <w:ind w:left="1080" w:hanging="630"/>
        <w:jc w:val="both"/>
        <w:rPr>
          <w:rFonts w:cs="Arial"/>
          <w:lang w:val="pt-BR"/>
        </w:rPr>
      </w:pPr>
      <w:r w:rsidRPr="00764C98">
        <w:rPr>
          <w:rFonts w:cs="Arial"/>
          <w:lang w:val="pt-BR"/>
        </w:rPr>
        <w:t>As larvas se desenvolvem a formas de adulto no intestino, e após reprodução, dão lugar a novas larvas, que atravessam a parede intestinal e através do sistema circulatório chegam até os músculos, onde se enquistam (formam cistos).</w:t>
      </w:r>
    </w:p>
    <w:p w:rsidR="00702601" w:rsidRPr="00764C98" w:rsidRDefault="00702601" w:rsidP="00C52E09">
      <w:pPr>
        <w:numPr>
          <w:ilvl w:val="0"/>
          <w:numId w:val="126"/>
        </w:numPr>
        <w:spacing w:before="120" w:after="0"/>
        <w:ind w:left="1080" w:hanging="630"/>
        <w:jc w:val="both"/>
        <w:rPr>
          <w:rFonts w:cs="Arial"/>
          <w:lang w:val="pt-BR"/>
        </w:rPr>
      </w:pPr>
      <w:r w:rsidRPr="00764C98">
        <w:rPr>
          <w:rFonts w:cs="Arial"/>
          <w:lang w:val="pt-BR"/>
        </w:rPr>
        <w:t>As manifestações clínicas da infecção dependem da resposta imunológica perante a presença de larvas, resumidamente, ocorre náuseas, vómitos, sudação, diarreia, e febre.</w:t>
      </w:r>
    </w:p>
    <w:p w:rsidR="00702601" w:rsidRPr="00702601" w:rsidRDefault="00702601" w:rsidP="00C52E09">
      <w:pPr>
        <w:numPr>
          <w:ilvl w:val="0"/>
          <w:numId w:val="126"/>
        </w:numPr>
        <w:spacing w:before="120" w:after="0"/>
        <w:ind w:left="1080" w:hanging="630"/>
        <w:jc w:val="both"/>
        <w:rPr>
          <w:rFonts w:cs="Arial"/>
          <w:lang w:val="pt-BR"/>
        </w:rPr>
      </w:pPr>
      <w:r w:rsidRPr="00764C98">
        <w:rPr>
          <w:rFonts w:cs="Arial"/>
          <w:lang w:val="pt-BR"/>
        </w:rPr>
        <w:t>O diagnóstico realiza-se por observação de larvas enquistadas em biopsias de músculo.</w:t>
      </w:r>
    </w:p>
    <w:p w:rsidR="00702601" w:rsidRPr="00702601" w:rsidRDefault="00702601" w:rsidP="00702601">
      <w:pPr>
        <w:spacing w:before="120"/>
        <w:ind w:left="1080"/>
        <w:jc w:val="both"/>
        <w:rPr>
          <w:rFonts w:cs="Arial"/>
          <w:lang w:val="pt-BR"/>
        </w:rPr>
      </w:pPr>
    </w:p>
    <w:p w:rsidR="00702601" w:rsidRPr="00764C98" w:rsidRDefault="00702601" w:rsidP="00702601">
      <w:pPr>
        <w:shd w:val="clear" w:color="auto" w:fill="B8CCE4"/>
        <w:tabs>
          <w:tab w:val="left" w:pos="1276"/>
          <w:tab w:val="right" w:pos="8550"/>
        </w:tabs>
        <w:spacing w:before="120" w:after="120"/>
        <w:ind w:right="2"/>
        <w:jc w:val="both"/>
        <w:rPr>
          <w:rFonts w:eastAsia="Calibri" w:cs="Arial"/>
          <w:b/>
        </w:rPr>
      </w:pPr>
      <w:r w:rsidRPr="00764C98">
        <w:rPr>
          <w:rFonts w:eastAsia="Calibri" w:cs="Arial"/>
          <w:b/>
        </w:rPr>
        <w:t>BLOCO 5: PONTOS-CHAVE</w:t>
      </w:r>
    </w:p>
    <w:p w:rsidR="00702601" w:rsidRPr="00764C98" w:rsidRDefault="00702601" w:rsidP="00C52E09">
      <w:pPr>
        <w:pStyle w:val="TM-4n"/>
        <w:numPr>
          <w:ilvl w:val="0"/>
          <w:numId w:val="127"/>
        </w:numPr>
        <w:tabs>
          <w:tab w:val="clear" w:pos="1134"/>
        </w:tabs>
        <w:spacing w:before="120" w:after="0" w:line="276" w:lineRule="auto"/>
        <w:ind w:left="446" w:hanging="446"/>
      </w:pPr>
      <w:r w:rsidRPr="00764C98">
        <w:t>Os helmintos, ou vermes parasitas, são endoparasitas multicelulares.</w:t>
      </w:r>
    </w:p>
    <w:p w:rsidR="00702601" w:rsidRPr="00764C98" w:rsidRDefault="00702601" w:rsidP="00C52E09">
      <w:pPr>
        <w:pStyle w:val="TM-4n"/>
        <w:numPr>
          <w:ilvl w:val="0"/>
          <w:numId w:val="127"/>
        </w:numPr>
        <w:tabs>
          <w:tab w:val="clear" w:pos="1134"/>
        </w:tabs>
        <w:spacing w:before="120" w:after="0" w:line="276" w:lineRule="auto"/>
        <w:ind w:left="446" w:hanging="446"/>
      </w:pPr>
      <w:r w:rsidRPr="00764C98">
        <w:t>As principais vias de transmissão são: ingestão de carne contaminada mal cozinhada, água contaminada, fezes, e picada de mosquitos.</w:t>
      </w:r>
    </w:p>
    <w:p w:rsidR="00702601" w:rsidRPr="00764C98" w:rsidRDefault="00702601" w:rsidP="00C52E09">
      <w:pPr>
        <w:pStyle w:val="TM-4n"/>
        <w:numPr>
          <w:ilvl w:val="0"/>
          <w:numId w:val="127"/>
        </w:numPr>
        <w:tabs>
          <w:tab w:val="clear" w:pos="1134"/>
        </w:tabs>
        <w:spacing w:before="120" w:after="0" w:line="276" w:lineRule="auto"/>
        <w:ind w:left="446" w:hanging="446"/>
        <w:rPr>
          <w:i/>
        </w:rPr>
      </w:pPr>
      <w:r w:rsidRPr="00764C98">
        <w:t xml:space="preserve">A maior parte das infecções por helmintos afecta o intestino, como: </w:t>
      </w:r>
      <w:r w:rsidRPr="00764C98">
        <w:rPr>
          <w:i/>
        </w:rPr>
        <w:t>Ancylostoma duodenale, Ascaris lumbricoides, Strongyloides stercoralis, Trichuris trichuria, e Enterobius vermicularis.</w:t>
      </w:r>
    </w:p>
    <w:p w:rsidR="00702601" w:rsidRPr="00764C98" w:rsidRDefault="00702601" w:rsidP="00C52E09">
      <w:pPr>
        <w:pStyle w:val="TM-4n"/>
        <w:numPr>
          <w:ilvl w:val="0"/>
          <w:numId w:val="127"/>
        </w:numPr>
        <w:tabs>
          <w:tab w:val="clear" w:pos="1134"/>
        </w:tabs>
        <w:spacing w:before="120" w:after="0" w:line="276" w:lineRule="auto"/>
        <w:ind w:left="446" w:hanging="446"/>
      </w:pPr>
      <w:r w:rsidRPr="00764C98">
        <w:t xml:space="preserve">Outros helmintos tem capacidade invasiva, e afectam outros órgãos, como </w:t>
      </w:r>
      <w:r w:rsidRPr="00764C98">
        <w:rPr>
          <w:i/>
        </w:rPr>
        <w:t>Taenia solium, Schistosoma haematobium, Onchocerca volvulus, Wuchereria bancrofti, e Trichinella spiralis</w:t>
      </w:r>
      <w:r w:rsidRPr="00764C98">
        <w:t>.</w:t>
      </w:r>
    </w:p>
    <w:p w:rsidR="00702601" w:rsidRPr="00764C98" w:rsidRDefault="00702601" w:rsidP="00C52E09">
      <w:pPr>
        <w:pStyle w:val="TM-4n"/>
        <w:numPr>
          <w:ilvl w:val="0"/>
          <w:numId w:val="127"/>
        </w:numPr>
        <w:tabs>
          <w:tab w:val="clear" w:pos="1134"/>
        </w:tabs>
        <w:spacing w:before="120" w:after="0" w:line="276" w:lineRule="auto"/>
        <w:ind w:left="446" w:hanging="446"/>
      </w:pPr>
      <w:r w:rsidRPr="00764C98">
        <w:t xml:space="preserve">O </w:t>
      </w:r>
      <w:r w:rsidRPr="00764C98">
        <w:rPr>
          <w:i/>
        </w:rPr>
        <w:t>ascaris lumbricoides, trichiuris trichiura, shcistosoma haematobium e Ancylostoma duodenale/Necator americanus são os helmintos mais frequentes em crianças em idade escolar dos 7 aos 22 anos em Moçambique (estudo efectuado entre 2005 a 2007).</w:t>
      </w:r>
    </w:p>
    <w:p w:rsidR="00702601" w:rsidRPr="00702601" w:rsidRDefault="00702601" w:rsidP="00702601">
      <w:pPr>
        <w:tabs>
          <w:tab w:val="left" w:pos="1134"/>
        </w:tabs>
        <w:rPr>
          <w:rFonts w:cs="Arial"/>
          <w:b/>
          <w:bCs/>
          <w:lang w:val="pt-BR"/>
        </w:rPr>
      </w:pPr>
    </w:p>
    <w:p w:rsidR="00702601" w:rsidRDefault="00702601">
      <w:pPr>
        <w:rPr>
          <w:lang w:val="pt-BR"/>
        </w:rPr>
      </w:pPr>
      <w:r>
        <w:rPr>
          <w:lang w:val="pt-BR"/>
        </w:rPr>
        <w:br w:type="page"/>
      </w:r>
    </w:p>
    <w:tbl>
      <w:tblPr>
        <w:tblW w:w="10060" w:type="dxa"/>
        <w:tblLayout w:type="fixed"/>
        <w:tblCellMar>
          <w:left w:w="70" w:type="dxa"/>
          <w:right w:w="70" w:type="dxa"/>
        </w:tblCellMar>
        <w:tblLook w:val="0020" w:firstRow="1" w:lastRow="0" w:firstColumn="0" w:lastColumn="0" w:noHBand="0" w:noVBand="0"/>
      </w:tblPr>
      <w:tblGrid>
        <w:gridCol w:w="1418"/>
        <w:gridCol w:w="5492"/>
        <w:gridCol w:w="1440"/>
        <w:gridCol w:w="1710"/>
      </w:tblGrid>
      <w:tr w:rsidR="00702601" w:rsidRPr="005C6F16" w:rsidTr="00702601">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702601" w:rsidRPr="005C6F16" w:rsidRDefault="00702601" w:rsidP="00702601">
            <w:pPr>
              <w:spacing w:line="240" w:lineRule="auto"/>
              <w:rPr>
                <w:rFonts w:eastAsia="Calibri" w:cs="Arial"/>
                <w:b/>
              </w:rPr>
            </w:pPr>
            <w:r w:rsidRPr="005C6F16">
              <w:rPr>
                <w:rFonts w:eastAsia="Calibri" w:cs="Arial"/>
                <w:b/>
              </w:rPr>
              <w:lastRenderedPageBreak/>
              <w:t>Disciplina</w:t>
            </w:r>
          </w:p>
        </w:tc>
        <w:tc>
          <w:tcPr>
            <w:tcW w:w="5492" w:type="dxa"/>
            <w:tcBorders>
              <w:top w:val="single" w:sz="6" w:space="0" w:color="000000"/>
              <w:left w:val="single" w:sz="6" w:space="0" w:color="000000"/>
              <w:bottom w:val="single" w:sz="6" w:space="0" w:color="000000"/>
              <w:right w:val="single" w:sz="6" w:space="0" w:color="000000"/>
            </w:tcBorders>
            <w:vAlign w:val="center"/>
          </w:tcPr>
          <w:p w:rsidR="00702601" w:rsidRPr="005C6F16" w:rsidRDefault="00702601" w:rsidP="00702601">
            <w:pPr>
              <w:spacing w:line="240" w:lineRule="auto"/>
              <w:rPr>
                <w:rFonts w:eastAsia="Calibri" w:cs="Arial"/>
              </w:rPr>
            </w:pPr>
            <w:r w:rsidRPr="005C6F16">
              <w:rPr>
                <w:rFonts w:eastAsia="Calibri" w:cs="Arial"/>
              </w:rPr>
              <w:t>Introdução às Ciências Médicas</w:t>
            </w:r>
          </w:p>
        </w:tc>
        <w:tc>
          <w:tcPr>
            <w:tcW w:w="1440" w:type="dxa"/>
            <w:tcBorders>
              <w:top w:val="single" w:sz="6" w:space="0" w:color="000000"/>
              <w:left w:val="single" w:sz="6" w:space="0" w:color="000000"/>
              <w:bottom w:val="single" w:sz="6" w:space="0" w:color="000000"/>
              <w:right w:val="single" w:sz="6" w:space="0" w:color="000000"/>
            </w:tcBorders>
            <w:vAlign w:val="center"/>
          </w:tcPr>
          <w:p w:rsidR="00702601" w:rsidRPr="005C6F16" w:rsidRDefault="00702601" w:rsidP="00702601">
            <w:pPr>
              <w:spacing w:line="240" w:lineRule="auto"/>
              <w:rPr>
                <w:rFonts w:eastAsia="Calibri" w:cs="Arial"/>
                <w:b/>
              </w:rPr>
            </w:pPr>
            <w:r w:rsidRPr="005C6F16">
              <w:rPr>
                <w:rFonts w:eastAsia="Calibri" w:cs="Arial"/>
                <w:b/>
              </w:rPr>
              <w:t xml:space="preserve">N° da Aula </w:t>
            </w:r>
          </w:p>
        </w:tc>
        <w:tc>
          <w:tcPr>
            <w:tcW w:w="1710" w:type="dxa"/>
            <w:tcBorders>
              <w:top w:val="single" w:sz="6" w:space="0" w:color="000000"/>
              <w:left w:val="single" w:sz="6" w:space="0" w:color="000000"/>
              <w:bottom w:val="single" w:sz="6" w:space="0" w:color="000000"/>
              <w:right w:val="single" w:sz="6" w:space="0" w:color="000000"/>
            </w:tcBorders>
            <w:vAlign w:val="center"/>
          </w:tcPr>
          <w:p w:rsidR="00702601" w:rsidRPr="00AA18FA" w:rsidRDefault="00702601" w:rsidP="00702601">
            <w:pPr>
              <w:spacing w:line="240" w:lineRule="auto"/>
              <w:jc w:val="center"/>
              <w:rPr>
                <w:rFonts w:eastAsia="Calibri" w:cs="Arial"/>
              </w:rPr>
            </w:pPr>
            <w:r w:rsidRPr="00AA18FA">
              <w:rPr>
                <w:rFonts w:eastAsia="Calibri" w:cs="Arial"/>
              </w:rPr>
              <w:t>14</w:t>
            </w:r>
          </w:p>
        </w:tc>
      </w:tr>
      <w:tr w:rsidR="00702601" w:rsidRPr="005C6F16" w:rsidTr="00702601">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702601" w:rsidRPr="005C6F16" w:rsidRDefault="00702601" w:rsidP="00702601">
            <w:pPr>
              <w:spacing w:line="240" w:lineRule="auto"/>
              <w:rPr>
                <w:rFonts w:eastAsia="Calibri" w:cs="Arial"/>
                <w:b/>
              </w:rPr>
            </w:pPr>
            <w:r w:rsidRPr="005C6F16">
              <w:rPr>
                <w:rFonts w:eastAsia="Calibri" w:cs="Arial"/>
                <w:b/>
              </w:rPr>
              <w:t>Tópico</w:t>
            </w:r>
          </w:p>
        </w:tc>
        <w:tc>
          <w:tcPr>
            <w:tcW w:w="5492" w:type="dxa"/>
            <w:tcBorders>
              <w:top w:val="single" w:sz="6" w:space="0" w:color="000000"/>
              <w:left w:val="single" w:sz="6" w:space="0" w:color="000000"/>
              <w:bottom w:val="single" w:sz="6" w:space="0" w:color="000000"/>
              <w:right w:val="single" w:sz="6" w:space="0" w:color="000000"/>
            </w:tcBorders>
            <w:vAlign w:val="center"/>
          </w:tcPr>
          <w:p w:rsidR="00702601" w:rsidRPr="005C6F16" w:rsidRDefault="00702601" w:rsidP="00702601">
            <w:pPr>
              <w:spacing w:line="240" w:lineRule="auto"/>
              <w:rPr>
                <w:rFonts w:eastAsia="Calibri" w:cs="Arial"/>
              </w:rPr>
            </w:pPr>
            <w:r w:rsidRPr="005C6F16">
              <w:rPr>
                <w:rFonts w:eastAsia="Calibri" w:cs="Arial"/>
              </w:rPr>
              <w:t>Parasitologia</w:t>
            </w:r>
          </w:p>
        </w:tc>
        <w:tc>
          <w:tcPr>
            <w:tcW w:w="1440" w:type="dxa"/>
            <w:tcBorders>
              <w:top w:val="single" w:sz="6" w:space="0" w:color="000000"/>
              <w:left w:val="single" w:sz="6" w:space="0" w:color="000000"/>
              <w:bottom w:val="single" w:sz="6" w:space="0" w:color="000000"/>
              <w:right w:val="single" w:sz="6" w:space="0" w:color="000000"/>
            </w:tcBorders>
            <w:vAlign w:val="center"/>
          </w:tcPr>
          <w:p w:rsidR="00702601" w:rsidRPr="005C6F16" w:rsidRDefault="00702601" w:rsidP="00702601">
            <w:pPr>
              <w:spacing w:line="240" w:lineRule="auto"/>
              <w:rPr>
                <w:rFonts w:eastAsia="Calibri" w:cs="Arial"/>
                <w:b/>
              </w:rPr>
            </w:pPr>
            <w:r w:rsidRPr="005C6F16">
              <w:rPr>
                <w:rFonts w:eastAsia="Calibri" w:cs="Arial"/>
                <w:b/>
              </w:rPr>
              <w:t xml:space="preserve">Tipo </w:t>
            </w:r>
          </w:p>
        </w:tc>
        <w:tc>
          <w:tcPr>
            <w:tcW w:w="1710" w:type="dxa"/>
            <w:tcBorders>
              <w:top w:val="single" w:sz="6" w:space="0" w:color="000000"/>
              <w:left w:val="single" w:sz="6" w:space="0" w:color="000000"/>
              <w:bottom w:val="single" w:sz="6" w:space="0" w:color="000000"/>
              <w:right w:val="single" w:sz="6" w:space="0" w:color="000000"/>
            </w:tcBorders>
            <w:vAlign w:val="center"/>
          </w:tcPr>
          <w:p w:rsidR="00702601" w:rsidRPr="00AA18FA" w:rsidRDefault="00702601" w:rsidP="00702601">
            <w:pPr>
              <w:spacing w:line="240" w:lineRule="auto"/>
              <w:jc w:val="center"/>
              <w:rPr>
                <w:rFonts w:eastAsia="Calibri" w:cs="Arial"/>
              </w:rPr>
            </w:pPr>
            <w:r w:rsidRPr="00AA18FA">
              <w:rPr>
                <w:rFonts w:eastAsia="Calibri" w:cs="Arial"/>
              </w:rPr>
              <w:t>Teórica</w:t>
            </w:r>
          </w:p>
        </w:tc>
      </w:tr>
      <w:tr w:rsidR="00702601" w:rsidRPr="005C6F16" w:rsidTr="00702601">
        <w:trPr>
          <w:cantSplit/>
          <w:trHeight w:val="414"/>
        </w:trPr>
        <w:tc>
          <w:tcPr>
            <w:tcW w:w="1418" w:type="dxa"/>
            <w:tcBorders>
              <w:top w:val="single" w:sz="6" w:space="0" w:color="000000"/>
              <w:left w:val="single" w:sz="6" w:space="0" w:color="000000"/>
              <w:bottom w:val="single" w:sz="6" w:space="0" w:color="000000"/>
              <w:right w:val="single" w:sz="6" w:space="0" w:color="000000"/>
            </w:tcBorders>
            <w:vAlign w:val="center"/>
          </w:tcPr>
          <w:p w:rsidR="00702601" w:rsidRPr="005C6F16" w:rsidRDefault="00702601" w:rsidP="00702601">
            <w:pPr>
              <w:spacing w:line="240" w:lineRule="auto"/>
              <w:rPr>
                <w:rFonts w:eastAsia="Calibri" w:cs="Arial"/>
                <w:b/>
              </w:rPr>
            </w:pPr>
            <w:r w:rsidRPr="005C6F16">
              <w:rPr>
                <w:rFonts w:eastAsia="Calibri" w:cs="Arial"/>
                <w:b/>
              </w:rPr>
              <w:t>Conteúdos</w:t>
            </w:r>
          </w:p>
        </w:tc>
        <w:tc>
          <w:tcPr>
            <w:tcW w:w="5492" w:type="dxa"/>
            <w:tcBorders>
              <w:top w:val="single" w:sz="6" w:space="0" w:color="000000"/>
              <w:left w:val="single" w:sz="6" w:space="0" w:color="000000"/>
              <w:bottom w:val="single" w:sz="6" w:space="0" w:color="000000"/>
              <w:right w:val="single" w:sz="6" w:space="0" w:color="000000"/>
            </w:tcBorders>
            <w:vAlign w:val="center"/>
          </w:tcPr>
          <w:p w:rsidR="00702601" w:rsidRPr="007438CC" w:rsidRDefault="00702601" w:rsidP="00702601">
            <w:pPr>
              <w:pStyle w:val="Heading1"/>
              <w:rPr>
                <w:rFonts w:eastAsia="Calibri"/>
                <w:b w:val="0"/>
                <w:sz w:val="22"/>
                <w:szCs w:val="22"/>
                <w:lang w:val="pt-BR"/>
              </w:rPr>
            </w:pPr>
            <w:bookmarkStart w:id="19" w:name="_Toc329099762"/>
            <w:r w:rsidRPr="007438CC">
              <w:rPr>
                <w:rFonts w:eastAsia="Calibri"/>
                <w:b w:val="0"/>
                <w:sz w:val="22"/>
                <w:szCs w:val="22"/>
                <w:lang w:val="pt-BR"/>
              </w:rPr>
              <w:t>Artrópodes - Ectoparasitas</w:t>
            </w:r>
            <w:bookmarkEnd w:id="19"/>
          </w:p>
        </w:tc>
        <w:tc>
          <w:tcPr>
            <w:tcW w:w="1440" w:type="dxa"/>
            <w:tcBorders>
              <w:top w:val="single" w:sz="6" w:space="0" w:color="000000"/>
              <w:left w:val="single" w:sz="6" w:space="0" w:color="000000"/>
              <w:bottom w:val="single" w:sz="6" w:space="0" w:color="000000"/>
              <w:right w:val="single" w:sz="6" w:space="0" w:color="000000"/>
            </w:tcBorders>
            <w:vAlign w:val="center"/>
          </w:tcPr>
          <w:p w:rsidR="00702601" w:rsidRPr="005C6F16" w:rsidRDefault="00702601" w:rsidP="00702601">
            <w:pPr>
              <w:spacing w:line="240" w:lineRule="auto"/>
              <w:rPr>
                <w:rFonts w:eastAsia="Calibri" w:cs="Arial"/>
                <w:b/>
              </w:rPr>
            </w:pPr>
            <w:r w:rsidRPr="005C6F16">
              <w:rPr>
                <w:rFonts w:eastAsia="Calibri" w:cs="Arial"/>
                <w:b/>
              </w:rPr>
              <w:t>Duração</w:t>
            </w:r>
          </w:p>
        </w:tc>
        <w:tc>
          <w:tcPr>
            <w:tcW w:w="1710" w:type="dxa"/>
            <w:tcBorders>
              <w:top w:val="single" w:sz="6" w:space="0" w:color="000000"/>
              <w:left w:val="single" w:sz="6" w:space="0" w:color="000000"/>
              <w:bottom w:val="single" w:sz="6" w:space="0" w:color="000000"/>
              <w:right w:val="single" w:sz="6" w:space="0" w:color="000000"/>
            </w:tcBorders>
            <w:vAlign w:val="center"/>
          </w:tcPr>
          <w:p w:rsidR="00702601" w:rsidRPr="00AA18FA" w:rsidRDefault="00702601" w:rsidP="00702601">
            <w:pPr>
              <w:spacing w:line="240" w:lineRule="auto"/>
              <w:jc w:val="center"/>
              <w:rPr>
                <w:rFonts w:eastAsia="Calibri" w:cs="Arial"/>
              </w:rPr>
            </w:pPr>
            <w:r w:rsidRPr="00AA18FA">
              <w:rPr>
                <w:rFonts w:eastAsia="Calibri" w:cs="Arial"/>
              </w:rPr>
              <w:t>2 h</w:t>
            </w:r>
          </w:p>
        </w:tc>
      </w:tr>
    </w:tbl>
    <w:p w:rsidR="00702601" w:rsidRPr="005C6F16" w:rsidRDefault="00702601" w:rsidP="00C46A1F">
      <w:pPr>
        <w:spacing w:line="240" w:lineRule="auto"/>
        <w:outlineLvl w:val="0"/>
        <w:rPr>
          <w:rFonts w:cs="Arial"/>
          <w:b/>
          <w:bCs/>
        </w:rPr>
      </w:pPr>
    </w:p>
    <w:p w:rsidR="00702601" w:rsidRPr="0052785B" w:rsidRDefault="00702601" w:rsidP="0052785B">
      <w:pPr>
        <w:rPr>
          <w:b/>
        </w:rPr>
      </w:pPr>
      <w:r w:rsidRPr="0052785B">
        <w:rPr>
          <w:b/>
        </w:rPr>
        <w:t>Objectivos de Aprendizagem:</w:t>
      </w:r>
    </w:p>
    <w:p w:rsidR="00702601" w:rsidRPr="00702601" w:rsidRDefault="00702601" w:rsidP="00702601">
      <w:pPr>
        <w:rPr>
          <w:rFonts w:cs="Arial"/>
          <w:lang w:val="pt-BR"/>
        </w:rPr>
      </w:pPr>
      <w:r w:rsidRPr="00702601">
        <w:rPr>
          <w:rFonts w:cs="Arial"/>
          <w:lang w:val="pt-BR"/>
        </w:rPr>
        <w:t>Até ao fim da aula os alunos devem ser capazes de:</w:t>
      </w:r>
    </w:p>
    <w:p w:rsidR="00702601" w:rsidRPr="00702601" w:rsidRDefault="00702601" w:rsidP="00C52E09">
      <w:pPr>
        <w:numPr>
          <w:ilvl w:val="1"/>
          <w:numId w:val="253"/>
        </w:numPr>
        <w:spacing w:after="0"/>
        <w:rPr>
          <w:rFonts w:cs="Arial"/>
          <w:lang w:val="pt-BR"/>
        </w:rPr>
      </w:pPr>
      <w:r w:rsidRPr="00702601">
        <w:rPr>
          <w:rFonts w:cs="Arial"/>
          <w:lang w:val="pt-BR"/>
        </w:rPr>
        <w:t>Explicar as características básicas dos ectoparasitas;</w:t>
      </w:r>
    </w:p>
    <w:p w:rsidR="00702601" w:rsidRPr="00702601" w:rsidRDefault="00702601" w:rsidP="00C52E09">
      <w:pPr>
        <w:pStyle w:val="ListParagraph"/>
        <w:numPr>
          <w:ilvl w:val="1"/>
          <w:numId w:val="253"/>
        </w:numPr>
        <w:spacing w:after="0"/>
        <w:contextualSpacing w:val="0"/>
        <w:rPr>
          <w:rFonts w:cs="Arial"/>
          <w:lang w:val="pt-BR"/>
        </w:rPr>
      </w:pPr>
      <w:r w:rsidRPr="00702601">
        <w:rPr>
          <w:rFonts w:cs="Arial"/>
          <w:lang w:val="pt-BR"/>
        </w:rPr>
        <w:t>Listar os tratamentos das principais infestações por ectoparasitas;</w:t>
      </w:r>
    </w:p>
    <w:p w:rsidR="00702601" w:rsidRPr="00702601" w:rsidRDefault="00702601" w:rsidP="00C52E09">
      <w:pPr>
        <w:pStyle w:val="ListParagraph"/>
        <w:numPr>
          <w:ilvl w:val="1"/>
          <w:numId w:val="253"/>
        </w:numPr>
        <w:spacing w:after="0"/>
        <w:contextualSpacing w:val="0"/>
        <w:rPr>
          <w:rFonts w:cs="Arial"/>
          <w:lang w:val="pt-BR"/>
        </w:rPr>
      </w:pPr>
      <w:r w:rsidRPr="00702601">
        <w:rPr>
          <w:rFonts w:cs="Arial"/>
          <w:lang w:val="pt-BR"/>
        </w:rPr>
        <w:t>Identificar as lesões cutâneas causadas por ectoparasitas.</w:t>
      </w:r>
    </w:p>
    <w:p w:rsidR="00702601" w:rsidRPr="00702601" w:rsidRDefault="00702601" w:rsidP="00702601">
      <w:pPr>
        <w:tabs>
          <w:tab w:val="left" w:pos="244"/>
        </w:tabs>
        <w:rPr>
          <w:rFonts w:cs="Arial"/>
          <w:lang w:val="pt-BR"/>
        </w:rPr>
      </w:pPr>
    </w:p>
    <w:p w:rsidR="00702601" w:rsidRPr="0052785B" w:rsidRDefault="00702601" w:rsidP="0052785B">
      <w:pPr>
        <w:rPr>
          <w:b/>
        </w:rPr>
      </w:pPr>
      <w:r w:rsidRPr="0052785B">
        <w:rPr>
          <w:b/>
        </w:rPr>
        <w:t>Estrutura da Aula</w:t>
      </w:r>
    </w:p>
    <w:tbl>
      <w:tblPr>
        <w:tblW w:w="10098" w:type="dxa"/>
        <w:tblBorders>
          <w:top w:val="single" w:sz="18" w:space="0" w:color="auto"/>
          <w:bottom w:val="single" w:sz="18" w:space="0" w:color="auto"/>
        </w:tblBorders>
        <w:tblLayout w:type="fixed"/>
        <w:tblLook w:val="0400" w:firstRow="0" w:lastRow="0" w:firstColumn="0" w:lastColumn="0" w:noHBand="0" w:noVBand="1"/>
      </w:tblPr>
      <w:tblGrid>
        <w:gridCol w:w="738"/>
        <w:gridCol w:w="3690"/>
        <w:gridCol w:w="3960"/>
        <w:gridCol w:w="1710"/>
      </w:tblGrid>
      <w:tr w:rsidR="00702601" w:rsidRPr="005C6F16" w:rsidTr="00702601">
        <w:trPr>
          <w:trHeight w:val="432"/>
        </w:trPr>
        <w:tc>
          <w:tcPr>
            <w:tcW w:w="738" w:type="dxa"/>
            <w:tcBorders>
              <w:top w:val="single" w:sz="18" w:space="0" w:color="auto"/>
              <w:bottom w:val="single" w:sz="18" w:space="0" w:color="auto"/>
              <w:right w:val="single" w:sz="4" w:space="0" w:color="auto"/>
            </w:tcBorders>
            <w:shd w:val="clear" w:color="auto" w:fill="B8CCE4"/>
          </w:tcPr>
          <w:p w:rsidR="00702601" w:rsidRPr="005C6F16" w:rsidRDefault="00702601" w:rsidP="00702601">
            <w:pPr>
              <w:spacing w:before="60" w:line="240" w:lineRule="auto"/>
              <w:ind w:left="-110" w:right="-108"/>
              <w:jc w:val="center"/>
              <w:rPr>
                <w:rFonts w:cs="Arial"/>
                <w:b/>
              </w:rPr>
            </w:pPr>
            <w:r w:rsidRPr="005C6F16">
              <w:rPr>
                <w:rFonts w:cs="Arial"/>
                <w:b/>
              </w:rPr>
              <w:t>Bloco</w:t>
            </w:r>
          </w:p>
        </w:tc>
        <w:tc>
          <w:tcPr>
            <w:tcW w:w="3690" w:type="dxa"/>
            <w:tcBorders>
              <w:top w:val="single" w:sz="18" w:space="0" w:color="auto"/>
              <w:left w:val="single" w:sz="4" w:space="0" w:color="auto"/>
              <w:bottom w:val="single" w:sz="18" w:space="0" w:color="auto"/>
              <w:right w:val="single" w:sz="4" w:space="0" w:color="auto"/>
            </w:tcBorders>
            <w:shd w:val="clear" w:color="auto" w:fill="B8CCE4"/>
          </w:tcPr>
          <w:p w:rsidR="00702601" w:rsidRPr="005C6F16" w:rsidRDefault="00702601" w:rsidP="00702601">
            <w:pPr>
              <w:spacing w:before="60" w:line="240" w:lineRule="auto"/>
              <w:jc w:val="center"/>
              <w:rPr>
                <w:rFonts w:cs="Arial"/>
                <w:b/>
              </w:rPr>
            </w:pPr>
            <w:r w:rsidRPr="005C6F16">
              <w:rPr>
                <w:rFonts w:cs="Arial"/>
                <w:b/>
              </w:rPr>
              <w:t>Título do Bloco</w:t>
            </w:r>
          </w:p>
        </w:tc>
        <w:tc>
          <w:tcPr>
            <w:tcW w:w="3960" w:type="dxa"/>
            <w:tcBorders>
              <w:top w:val="single" w:sz="18" w:space="0" w:color="auto"/>
              <w:left w:val="single" w:sz="4" w:space="0" w:color="auto"/>
              <w:bottom w:val="single" w:sz="18" w:space="0" w:color="auto"/>
              <w:right w:val="single" w:sz="4" w:space="0" w:color="auto"/>
            </w:tcBorders>
            <w:shd w:val="clear" w:color="auto" w:fill="B8CCE4"/>
          </w:tcPr>
          <w:p w:rsidR="00702601" w:rsidRPr="005C6F16" w:rsidRDefault="00702601" w:rsidP="00702601">
            <w:pPr>
              <w:tabs>
                <w:tab w:val="left" w:pos="244"/>
              </w:tabs>
              <w:spacing w:before="60" w:line="240" w:lineRule="auto"/>
              <w:jc w:val="center"/>
              <w:rPr>
                <w:rFonts w:cs="Arial"/>
                <w:b/>
                <w:lang w:val="pt-BR"/>
              </w:rPr>
            </w:pPr>
            <w:r w:rsidRPr="005C6F16">
              <w:rPr>
                <w:rFonts w:cs="Arial"/>
                <w:b/>
              </w:rPr>
              <w:t>M</w:t>
            </w:r>
            <w:r w:rsidRPr="005C6F16">
              <w:rPr>
                <w:rFonts w:cs="Arial"/>
                <w:b/>
                <w:lang w:val="pt-BR"/>
              </w:rPr>
              <w:t>étodo de Ensino</w:t>
            </w:r>
          </w:p>
        </w:tc>
        <w:tc>
          <w:tcPr>
            <w:tcW w:w="1710" w:type="dxa"/>
            <w:tcBorders>
              <w:top w:val="single" w:sz="18" w:space="0" w:color="auto"/>
              <w:left w:val="single" w:sz="4" w:space="0" w:color="auto"/>
              <w:bottom w:val="single" w:sz="18" w:space="0" w:color="auto"/>
            </w:tcBorders>
            <w:shd w:val="clear" w:color="auto" w:fill="B8CCE4"/>
          </w:tcPr>
          <w:p w:rsidR="00702601" w:rsidRPr="005C6F16" w:rsidRDefault="00702601" w:rsidP="00702601">
            <w:pPr>
              <w:tabs>
                <w:tab w:val="left" w:pos="244"/>
              </w:tabs>
              <w:spacing w:before="60" w:line="240" w:lineRule="auto"/>
              <w:jc w:val="center"/>
              <w:rPr>
                <w:rFonts w:cs="Arial"/>
                <w:b/>
                <w:lang w:val="pt-BR"/>
              </w:rPr>
            </w:pPr>
            <w:r w:rsidRPr="005C6F16">
              <w:rPr>
                <w:rFonts w:cs="Arial"/>
                <w:b/>
              </w:rPr>
              <w:t>Duração</w:t>
            </w:r>
          </w:p>
        </w:tc>
      </w:tr>
      <w:tr w:rsidR="00702601" w:rsidRPr="005C6F16" w:rsidTr="00702601">
        <w:tc>
          <w:tcPr>
            <w:tcW w:w="738" w:type="dxa"/>
            <w:tcBorders>
              <w:top w:val="single" w:sz="18" w:space="0" w:color="auto"/>
              <w:bottom w:val="single" w:sz="4" w:space="0" w:color="auto"/>
              <w:right w:val="single" w:sz="4" w:space="0" w:color="auto"/>
            </w:tcBorders>
          </w:tcPr>
          <w:p w:rsidR="00702601" w:rsidRPr="005C6F16" w:rsidRDefault="00702601" w:rsidP="00702601">
            <w:pPr>
              <w:spacing w:before="60" w:after="60" w:line="360" w:lineRule="auto"/>
              <w:ind w:left="-110" w:right="-108"/>
              <w:jc w:val="center"/>
              <w:rPr>
                <w:rFonts w:cs="Arial"/>
              </w:rPr>
            </w:pPr>
            <w:r w:rsidRPr="005C6F16">
              <w:rPr>
                <w:rFonts w:cs="Arial"/>
              </w:rPr>
              <w:t>1</w:t>
            </w:r>
          </w:p>
        </w:tc>
        <w:tc>
          <w:tcPr>
            <w:tcW w:w="3690" w:type="dxa"/>
            <w:tcBorders>
              <w:top w:val="single" w:sz="18" w:space="0" w:color="auto"/>
              <w:left w:val="single" w:sz="4" w:space="0" w:color="auto"/>
              <w:bottom w:val="single" w:sz="4" w:space="0" w:color="auto"/>
              <w:right w:val="single" w:sz="4" w:space="0" w:color="auto"/>
            </w:tcBorders>
          </w:tcPr>
          <w:p w:rsidR="00702601" w:rsidRPr="005C6F16" w:rsidRDefault="00702601" w:rsidP="00702601">
            <w:pPr>
              <w:tabs>
                <w:tab w:val="left" w:pos="244"/>
              </w:tabs>
              <w:spacing w:before="60" w:after="60" w:line="360" w:lineRule="auto"/>
              <w:rPr>
                <w:rFonts w:cs="Arial"/>
              </w:rPr>
            </w:pPr>
            <w:r w:rsidRPr="005C6F16">
              <w:rPr>
                <w:rFonts w:cs="Arial"/>
              </w:rPr>
              <w:t>Introdução à Aula</w:t>
            </w:r>
          </w:p>
          <w:p w:rsidR="00702601" w:rsidRPr="005C6F16" w:rsidRDefault="00702601" w:rsidP="00702601">
            <w:pPr>
              <w:tabs>
                <w:tab w:val="left" w:pos="244"/>
              </w:tabs>
              <w:spacing w:before="60" w:after="60" w:line="360" w:lineRule="auto"/>
              <w:rPr>
                <w:rFonts w:cs="Arial"/>
              </w:rPr>
            </w:pPr>
          </w:p>
        </w:tc>
        <w:tc>
          <w:tcPr>
            <w:tcW w:w="3960" w:type="dxa"/>
            <w:tcBorders>
              <w:top w:val="single" w:sz="18" w:space="0" w:color="auto"/>
              <w:left w:val="single" w:sz="4" w:space="0" w:color="auto"/>
              <w:bottom w:val="single" w:sz="4" w:space="0" w:color="auto"/>
              <w:right w:val="single" w:sz="4" w:space="0" w:color="auto"/>
            </w:tcBorders>
          </w:tcPr>
          <w:p w:rsidR="00702601" w:rsidRPr="005C6F16" w:rsidRDefault="00702601" w:rsidP="00702601">
            <w:pPr>
              <w:tabs>
                <w:tab w:val="left" w:pos="244"/>
              </w:tabs>
              <w:spacing w:before="60" w:after="60" w:line="360" w:lineRule="auto"/>
              <w:rPr>
                <w:rFonts w:cs="Arial"/>
              </w:rPr>
            </w:pPr>
          </w:p>
        </w:tc>
        <w:tc>
          <w:tcPr>
            <w:tcW w:w="1710" w:type="dxa"/>
            <w:tcBorders>
              <w:top w:val="single" w:sz="18" w:space="0" w:color="auto"/>
              <w:left w:val="single" w:sz="4" w:space="0" w:color="auto"/>
              <w:bottom w:val="single" w:sz="4" w:space="0" w:color="auto"/>
            </w:tcBorders>
          </w:tcPr>
          <w:p w:rsidR="00702601" w:rsidRPr="005C6F16" w:rsidRDefault="00702601" w:rsidP="00702601">
            <w:pPr>
              <w:tabs>
                <w:tab w:val="left" w:pos="244"/>
              </w:tabs>
              <w:spacing w:before="60" w:after="60" w:line="360" w:lineRule="auto"/>
              <w:jc w:val="right"/>
              <w:rPr>
                <w:rFonts w:cs="Arial"/>
              </w:rPr>
            </w:pPr>
          </w:p>
        </w:tc>
      </w:tr>
      <w:tr w:rsidR="00702601" w:rsidRPr="005C6F16" w:rsidTr="00702601">
        <w:tc>
          <w:tcPr>
            <w:tcW w:w="738" w:type="dxa"/>
            <w:tcBorders>
              <w:top w:val="single" w:sz="4" w:space="0" w:color="auto"/>
              <w:bottom w:val="single" w:sz="4" w:space="0" w:color="auto"/>
              <w:right w:val="single" w:sz="4" w:space="0" w:color="auto"/>
            </w:tcBorders>
            <w:shd w:val="clear" w:color="auto" w:fill="D9D9D9"/>
          </w:tcPr>
          <w:p w:rsidR="00702601" w:rsidRPr="005C6F16" w:rsidRDefault="00702601" w:rsidP="00702601">
            <w:pPr>
              <w:spacing w:before="60" w:after="60" w:line="360" w:lineRule="auto"/>
              <w:ind w:left="-110" w:right="-108"/>
              <w:jc w:val="center"/>
              <w:rPr>
                <w:rFonts w:cs="Arial"/>
              </w:rPr>
            </w:pPr>
            <w:r w:rsidRPr="005C6F16">
              <w:rPr>
                <w:rFonts w:cs="Arial"/>
              </w:rPr>
              <w:t>2</w:t>
            </w:r>
          </w:p>
        </w:tc>
        <w:tc>
          <w:tcPr>
            <w:tcW w:w="3690" w:type="dxa"/>
            <w:tcBorders>
              <w:top w:val="single" w:sz="4" w:space="0" w:color="auto"/>
              <w:left w:val="single" w:sz="4" w:space="0" w:color="auto"/>
              <w:bottom w:val="single" w:sz="4" w:space="0" w:color="auto"/>
              <w:right w:val="single" w:sz="4" w:space="0" w:color="auto"/>
            </w:tcBorders>
            <w:shd w:val="clear" w:color="auto" w:fill="D9D9D9"/>
          </w:tcPr>
          <w:p w:rsidR="00702601" w:rsidRPr="005C6F16" w:rsidRDefault="00702601" w:rsidP="00702601">
            <w:pPr>
              <w:tabs>
                <w:tab w:val="left" w:pos="244"/>
              </w:tabs>
              <w:spacing w:before="60" w:after="60" w:line="360" w:lineRule="auto"/>
              <w:rPr>
                <w:rFonts w:cs="Arial"/>
              </w:rPr>
            </w:pPr>
            <w:r w:rsidRPr="005C6F16">
              <w:rPr>
                <w:rFonts w:cs="Arial"/>
              </w:rPr>
              <w:t xml:space="preserve">Características Básicas dos </w:t>
            </w:r>
          </w:p>
          <w:p w:rsidR="00702601" w:rsidRPr="005C6F16" w:rsidRDefault="00702601" w:rsidP="00702601">
            <w:pPr>
              <w:tabs>
                <w:tab w:val="left" w:pos="244"/>
              </w:tabs>
              <w:spacing w:before="60" w:after="60" w:line="360" w:lineRule="auto"/>
              <w:rPr>
                <w:rFonts w:cs="Arial"/>
              </w:rPr>
            </w:pPr>
            <w:r w:rsidRPr="005C6F16">
              <w:rPr>
                <w:rFonts w:cs="Arial"/>
              </w:rPr>
              <w:t>Ectoparasitas</w:t>
            </w:r>
          </w:p>
        </w:tc>
        <w:tc>
          <w:tcPr>
            <w:tcW w:w="3960" w:type="dxa"/>
            <w:tcBorders>
              <w:top w:val="single" w:sz="4" w:space="0" w:color="auto"/>
              <w:left w:val="single" w:sz="4" w:space="0" w:color="auto"/>
              <w:bottom w:val="single" w:sz="4" w:space="0" w:color="auto"/>
              <w:right w:val="single" w:sz="4" w:space="0" w:color="auto"/>
            </w:tcBorders>
            <w:shd w:val="clear" w:color="auto" w:fill="D9D9D9"/>
          </w:tcPr>
          <w:p w:rsidR="00702601" w:rsidRPr="005C6F16" w:rsidRDefault="00702601" w:rsidP="00702601">
            <w:pPr>
              <w:tabs>
                <w:tab w:val="left" w:pos="244"/>
              </w:tabs>
              <w:spacing w:before="60" w:after="60" w:line="360" w:lineRule="auto"/>
              <w:rPr>
                <w:rFonts w:cs="Arial"/>
                <w:lang w:val="pt-BR"/>
              </w:rPr>
            </w:pPr>
          </w:p>
        </w:tc>
        <w:tc>
          <w:tcPr>
            <w:tcW w:w="1710" w:type="dxa"/>
            <w:tcBorders>
              <w:top w:val="single" w:sz="4" w:space="0" w:color="auto"/>
              <w:left w:val="single" w:sz="4" w:space="0" w:color="auto"/>
              <w:bottom w:val="single" w:sz="4" w:space="0" w:color="auto"/>
            </w:tcBorders>
            <w:shd w:val="clear" w:color="auto" w:fill="D9D9D9"/>
          </w:tcPr>
          <w:p w:rsidR="00702601" w:rsidRPr="005C6F16" w:rsidRDefault="00702601" w:rsidP="00702601">
            <w:pPr>
              <w:tabs>
                <w:tab w:val="left" w:pos="244"/>
              </w:tabs>
              <w:spacing w:before="60" w:after="60" w:line="360" w:lineRule="auto"/>
              <w:jc w:val="right"/>
              <w:rPr>
                <w:rFonts w:cs="Arial"/>
                <w:lang w:val="pt-BR"/>
              </w:rPr>
            </w:pPr>
          </w:p>
        </w:tc>
      </w:tr>
      <w:tr w:rsidR="00702601" w:rsidRPr="00FC6E81" w:rsidTr="00702601">
        <w:tc>
          <w:tcPr>
            <w:tcW w:w="738" w:type="dxa"/>
            <w:tcBorders>
              <w:top w:val="single" w:sz="4" w:space="0" w:color="auto"/>
              <w:bottom w:val="single" w:sz="4" w:space="0" w:color="auto"/>
              <w:right w:val="single" w:sz="4" w:space="0" w:color="auto"/>
            </w:tcBorders>
          </w:tcPr>
          <w:p w:rsidR="00702601" w:rsidRPr="005C6F16" w:rsidRDefault="00702601" w:rsidP="00702601">
            <w:pPr>
              <w:spacing w:before="60" w:after="60" w:line="360" w:lineRule="auto"/>
              <w:ind w:left="-110" w:right="-108"/>
              <w:jc w:val="center"/>
              <w:rPr>
                <w:rFonts w:cs="Arial"/>
              </w:rPr>
            </w:pPr>
            <w:r w:rsidRPr="005C6F16">
              <w:rPr>
                <w:rFonts w:cs="Arial"/>
              </w:rPr>
              <w:t>3</w:t>
            </w:r>
          </w:p>
        </w:tc>
        <w:tc>
          <w:tcPr>
            <w:tcW w:w="3690" w:type="dxa"/>
            <w:tcBorders>
              <w:top w:val="single" w:sz="4" w:space="0" w:color="auto"/>
              <w:left w:val="single" w:sz="4" w:space="0" w:color="auto"/>
              <w:bottom w:val="single" w:sz="4" w:space="0" w:color="auto"/>
              <w:right w:val="single" w:sz="4" w:space="0" w:color="auto"/>
            </w:tcBorders>
          </w:tcPr>
          <w:p w:rsidR="00702601" w:rsidRPr="00702601" w:rsidRDefault="00702601" w:rsidP="00702601">
            <w:pPr>
              <w:tabs>
                <w:tab w:val="left" w:pos="244"/>
              </w:tabs>
              <w:spacing w:before="60" w:after="60" w:line="360" w:lineRule="auto"/>
              <w:rPr>
                <w:rFonts w:cs="Arial"/>
                <w:iCs/>
                <w:lang w:val="pt-BR"/>
              </w:rPr>
            </w:pPr>
            <w:r w:rsidRPr="00702601">
              <w:rPr>
                <w:rFonts w:cs="Arial"/>
                <w:iCs/>
                <w:lang w:val="pt-BR"/>
              </w:rPr>
              <w:t xml:space="preserve">Principais Doenças Causadas por </w:t>
            </w:r>
          </w:p>
          <w:p w:rsidR="00702601" w:rsidRPr="00702601" w:rsidRDefault="00702601" w:rsidP="00702601">
            <w:pPr>
              <w:tabs>
                <w:tab w:val="left" w:pos="244"/>
              </w:tabs>
              <w:spacing w:before="60" w:after="60" w:line="360" w:lineRule="auto"/>
              <w:rPr>
                <w:rFonts w:cs="Arial"/>
                <w:iCs/>
                <w:lang w:val="pt-BR"/>
              </w:rPr>
            </w:pPr>
            <w:r w:rsidRPr="00702601">
              <w:rPr>
                <w:rFonts w:cs="Arial"/>
                <w:iCs/>
                <w:lang w:val="pt-BR"/>
              </w:rPr>
              <w:t>Aracnídeos</w:t>
            </w:r>
          </w:p>
        </w:tc>
        <w:tc>
          <w:tcPr>
            <w:tcW w:w="3960" w:type="dxa"/>
            <w:tcBorders>
              <w:top w:val="single" w:sz="4" w:space="0" w:color="auto"/>
              <w:left w:val="single" w:sz="4" w:space="0" w:color="auto"/>
              <w:bottom w:val="single" w:sz="4" w:space="0" w:color="auto"/>
              <w:right w:val="single" w:sz="4" w:space="0" w:color="auto"/>
            </w:tcBorders>
          </w:tcPr>
          <w:p w:rsidR="00702601" w:rsidRPr="005C6F16" w:rsidRDefault="00702601" w:rsidP="00702601">
            <w:pPr>
              <w:spacing w:before="60" w:after="60" w:line="360" w:lineRule="auto"/>
              <w:ind w:left="-18" w:firstLine="18"/>
              <w:rPr>
                <w:rFonts w:cs="Arial"/>
                <w:lang w:val="pt-BR"/>
              </w:rPr>
            </w:pPr>
          </w:p>
        </w:tc>
        <w:tc>
          <w:tcPr>
            <w:tcW w:w="1710" w:type="dxa"/>
            <w:tcBorders>
              <w:top w:val="single" w:sz="4" w:space="0" w:color="auto"/>
              <w:left w:val="single" w:sz="4" w:space="0" w:color="auto"/>
              <w:bottom w:val="single" w:sz="4" w:space="0" w:color="auto"/>
            </w:tcBorders>
          </w:tcPr>
          <w:p w:rsidR="00702601" w:rsidRPr="005C6F16" w:rsidRDefault="00702601" w:rsidP="00702601">
            <w:pPr>
              <w:spacing w:before="60" w:after="60" w:line="360" w:lineRule="auto"/>
              <w:ind w:left="-18" w:firstLine="18"/>
              <w:jc w:val="right"/>
              <w:rPr>
                <w:rFonts w:cs="Arial"/>
                <w:lang w:val="pt-BR"/>
              </w:rPr>
            </w:pPr>
          </w:p>
        </w:tc>
      </w:tr>
      <w:tr w:rsidR="00702601" w:rsidRPr="00FC6E81" w:rsidTr="00702601">
        <w:tc>
          <w:tcPr>
            <w:tcW w:w="738" w:type="dxa"/>
            <w:tcBorders>
              <w:top w:val="single" w:sz="4" w:space="0" w:color="auto"/>
              <w:bottom w:val="single" w:sz="4" w:space="0" w:color="auto"/>
              <w:right w:val="single" w:sz="4" w:space="0" w:color="auto"/>
            </w:tcBorders>
            <w:shd w:val="clear" w:color="auto" w:fill="D9D9D9"/>
          </w:tcPr>
          <w:p w:rsidR="00702601" w:rsidRPr="005C6F16" w:rsidRDefault="00702601" w:rsidP="00702601">
            <w:pPr>
              <w:spacing w:before="60" w:after="60" w:line="360" w:lineRule="auto"/>
              <w:ind w:left="-110" w:right="-108"/>
              <w:jc w:val="center"/>
              <w:rPr>
                <w:rFonts w:cs="Arial"/>
              </w:rPr>
            </w:pPr>
            <w:r w:rsidRPr="005C6F16">
              <w:rPr>
                <w:rFonts w:cs="Arial"/>
              </w:rPr>
              <w:t>4</w:t>
            </w:r>
          </w:p>
        </w:tc>
        <w:tc>
          <w:tcPr>
            <w:tcW w:w="3690" w:type="dxa"/>
            <w:tcBorders>
              <w:top w:val="single" w:sz="4" w:space="0" w:color="auto"/>
              <w:left w:val="single" w:sz="4" w:space="0" w:color="auto"/>
              <w:bottom w:val="single" w:sz="4" w:space="0" w:color="auto"/>
              <w:right w:val="single" w:sz="4" w:space="0" w:color="auto"/>
            </w:tcBorders>
            <w:shd w:val="clear" w:color="auto" w:fill="D9D9D9"/>
          </w:tcPr>
          <w:p w:rsidR="00702601" w:rsidRPr="00702601" w:rsidRDefault="00702601" w:rsidP="00702601">
            <w:pPr>
              <w:tabs>
                <w:tab w:val="left" w:pos="244"/>
              </w:tabs>
              <w:spacing w:before="60" w:after="60" w:line="360" w:lineRule="auto"/>
              <w:rPr>
                <w:rFonts w:cs="Arial"/>
                <w:iCs/>
                <w:lang w:val="pt-BR"/>
              </w:rPr>
            </w:pPr>
            <w:r w:rsidRPr="00702601">
              <w:rPr>
                <w:rFonts w:cs="Arial"/>
                <w:iCs/>
                <w:lang w:val="pt-BR"/>
              </w:rPr>
              <w:t xml:space="preserve">Principais Doenças Causadas por </w:t>
            </w:r>
          </w:p>
          <w:p w:rsidR="00702601" w:rsidRPr="00702601" w:rsidRDefault="00702601" w:rsidP="00702601">
            <w:pPr>
              <w:tabs>
                <w:tab w:val="left" w:pos="244"/>
              </w:tabs>
              <w:spacing w:before="60" w:after="60" w:line="360" w:lineRule="auto"/>
              <w:rPr>
                <w:rFonts w:cs="Arial"/>
                <w:iCs/>
                <w:lang w:val="pt-BR"/>
              </w:rPr>
            </w:pPr>
            <w:r w:rsidRPr="00702601">
              <w:rPr>
                <w:rFonts w:cs="Arial"/>
                <w:iCs/>
                <w:lang w:val="pt-BR"/>
              </w:rPr>
              <w:t>Insectos</w:t>
            </w:r>
          </w:p>
        </w:tc>
        <w:tc>
          <w:tcPr>
            <w:tcW w:w="3960" w:type="dxa"/>
            <w:tcBorders>
              <w:top w:val="single" w:sz="4" w:space="0" w:color="auto"/>
              <w:left w:val="single" w:sz="4" w:space="0" w:color="auto"/>
              <w:bottom w:val="single" w:sz="4" w:space="0" w:color="auto"/>
              <w:right w:val="single" w:sz="4" w:space="0" w:color="auto"/>
            </w:tcBorders>
            <w:shd w:val="clear" w:color="auto" w:fill="D9D9D9"/>
          </w:tcPr>
          <w:p w:rsidR="00702601" w:rsidRPr="00702601" w:rsidRDefault="00702601" w:rsidP="00702601">
            <w:pPr>
              <w:spacing w:before="60" w:after="60" w:line="360" w:lineRule="auto"/>
              <w:ind w:left="-18" w:firstLine="18"/>
              <w:rPr>
                <w:rFonts w:cs="Arial"/>
                <w:lang w:val="pt-BR"/>
              </w:rPr>
            </w:pPr>
          </w:p>
        </w:tc>
        <w:tc>
          <w:tcPr>
            <w:tcW w:w="1710" w:type="dxa"/>
            <w:tcBorders>
              <w:top w:val="single" w:sz="4" w:space="0" w:color="auto"/>
              <w:left w:val="single" w:sz="4" w:space="0" w:color="auto"/>
              <w:bottom w:val="single" w:sz="4" w:space="0" w:color="auto"/>
            </w:tcBorders>
            <w:shd w:val="clear" w:color="auto" w:fill="D9D9D9"/>
          </w:tcPr>
          <w:p w:rsidR="00702601" w:rsidRPr="00702601" w:rsidRDefault="00702601" w:rsidP="00702601">
            <w:pPr>
              <w:spacing w:before="60" w:after="60" w:line="360" w:lineRule="auto"/>
              <w:ind w:left="-18" w:firstLine="18"/>
              <w:jc w:val="right"/>
              <w:rPr>
                <w:rFonts w:cs="Arial"/>
                <w:lang w:val="pt-BR"/>
              </w:rPr>
            </w:pPr>
          </w:p>
        </w:tc>
      </w:tr>
      <w:tr w:rsidR="00702601" w:rsidRPr="005C6F16" w:rsidTr="00702601">
        <w:tc>
          <w:tcPr>
            <w:tcW w:w="738" w:type="dxa"/>
            <w:tcBorders>
              <w:top w:val="single" w:sz="4" w:space="0" w:color="auto"/>
              <w:bottom w:val="single" w:sz="18" w:space="0" w:color="auto"/>
              <w:right w:val="single" w:sz="4" w:space="0" w:color="auto"/>
            </w:tcBorders>
            <w:shd w:val="clear" w:color="auto" w:fill="FFFFFF"/>
          </w:tcPr>
          <w:p w:rsidR="00702601" w:rsidRPr="005C6F16" w:rsidRDefault="00702601" w:rsidP="00702601">
            <w:pPr>
              <w:spacing w:before="60" w:after="60" w:line="360" w:lineRule="auto"/>
              <w:ind w:left="-110" w:right="-108"/>
              <w:jc w:val="center"/>
              <w:rPr>
                <w:rFonts w:cs="Arial"/>
              </w:rPr>
            </w:pPr>
            <w:r w:rsidRPr="005C6F16">
              <w:rPr>
                <w:rFonts w:cs="Arial"/>
              </w:rPr>
              <w:t>5</w:t>
            </w:r>
          </w:p>
        </w:tc>
        <w:tc>
          <w:tcPr>
            <w:tcW w:w="3690" w:type="dxa"/>
            <w:tcBorders>
              <w:top w:val="single" w:sz="4" w:space="0" w:color="auto"/>
              <w:left w:val="single" w:sz="4" w:space="0" w:color="auto"/>
              <w:bottom w:val="single" w:sz="18" w:space="0" w:color="auto"/>
              <w:right w:val="single" w:sz="4" w:space="0" w:color="auto"/>
            </w:tcBorders>
            <w:shd w:val="clear" w:color="auto" w:fill="FFFFFF"/>
          </w:tcPr>
          <w:p w:rsidR="00702601" w:rsidRPr="005C6F16" w:rsidRDefault="00702601" w:rsidP="00702601">
            <w:pPr>
              <w:tabs>
                <w:tab w:val="left" w:pos="244"/>
              </w:tabs>
              <w:spacing w:before="60" w:after="60" w:line="360" w:lineRule="auto"/>
              <w:rPr>
                <w:rFonts w:cs="Arial"/>
              </w:rPr>
            </w:pPr>
            <w:r w:rsidRPr="005C6F16">
              <w:rPr>
                <w:rFonts w:cs="Arial"/>
              </w:rPr>
              <w:t>Pontos-chave</w:t>
            </w:r>
          </w:p>
          <w:p w:rsidR="00702601" w:rsidRPr="005C6F16" w:rsidRDefault="00702601" w:rsidP="00702601">
            <w:pPr>
              <w:tabs>
                <w:tab w:val="left" w:pos="244"/>
              </w:tabs>
              <w:spacing w:before="60" w:after="60" w:line="360" w:lineRule="auto"/>
              <w:rPr>
                <w:rFonts w:cs="Arial"/>
                <w:i/>
                <w:iCs/>
              </w:rPr>
            </w:pPr>
          </w:p>
        </w:tc>
        <w:tc>
          <w:tcPr>
            <w:tcW w:w="3960" w:type="dxa"/>
            <w:tcBorders>
              <w:top w:val="single" w:sz="4" w:space="0" w:color="auto"/>
              <w:left w:val="single" w:sz="4" w:space="0" w:color="auto"/>
              <w:bottom w:val="single" w:sz="18" w:space="0" w:color="auto"/>
              <w:right w:val="single" w:sz="4" w:space="0" w:color="auto"/>
            </w:tcBorders>
            <w:shd w:val="clear" w:color="auto" w:fill="FFFFFF"/>
          </w:tcPr>
          <w:p w:rsidR="00702601" w:rsidRPr="005C6F16" w:rsidRDefault="00702601" w:rsidP="00702601">
            <w:pPr>
              <w:spacing w:before="60" w:after="60" w:line="360" w:lineRule="auto"/>
              <w:ind w:left="-18" w:firstLine="18"/>
              <w:rPr>
                <w:rFonts w:cs="Arial"/>
              </w:rPr>
            </w:pPr>
          </w:p>
        </w:tc>
        <w:tc>
          <w:tcPr>
            <w:tcW w:w="1710" w:type="dxa"/>
            <w:tcBorders>
              <w:top w:val="single" w:sz="4" w:space="0" w:color="auto"/>
              <w:left w:val="single" w:sz="4" w:space="0" w:color="auto"/>
              <w:bottom w:val="single" w:sz="18" w:space="0" w:color="auto"/>
            </w:tcBorders>
            <w:shd w:val="clear" w:color="auto" w:fill="FFFFFF"/>
          </w:tcPr>
          <w:p w:rsidR="00702601" w:rsidRPr="005C6F16" w:rsidRDefault="00702601" w:rsidP="00702601">
            <w:pPr>
              <w:spacing w:before="60" w:after="60" w:line="360" w:lineRule="auto"/>
              <w:ind w:left="-18" w:firstLine="18"/>
              <w:jc w:val="right"/>
              <w:rPr>
                <w:rFonts w:cs="Arial"/>
              </w:rPr>
            </w:pPr>
          </w:p>
        </w:tc>
      </w:tr>
    </w:tbl>
    <w:p w:rsidR="00702601" w:rsidRPr="005C6F16" w:rsidRDefault="00702601" w:rsidP="00702601">
      <w:pPr>
        <w:tabs>
          <w:tab w:val="left" w:pos="424"/>
        </w:tabs>
        <w:spacing w:before="60"/>
        <w:jc w:val="both"/>
        <w:rPr>
          <w:rFonts w:cs="Arial"/>
          <w:b/>
          <w:lang w:val="pt-BR"/>
        </w:rPr>
      </w:pPr>
      <w:r w:rsidRPr="005C6F16">
        <w:rPr>
          <w:rFonts w:cs="Arial"/>
          <w:b/>
          <w:lang w:val="pt-BR"/>
        </w:rPr>
        <w:t>Equipamentos e meios audiovisuais necessários:</w:t>
      </w:r>
    </w:p>
    <w:p w:rsidR="00702601" w:rsidRDefault="00702601" w:rsidP="00702601">
      <w:pPr>
        <w:tabs>
          <w:tab w:val="left" w:pos="424"/>
        </w:tabs>
        <w:jc w:val="both"/>
        <w:rPr>
          <w:rFonts w:cs="Arial"/>
          <w:lang w:val="pt-BR"/>
        </w:rPr>
      </w:pPr>
    </w:p>
    <w:p w:rsidR="00702601" w:rsidRPr="005C6F16" w:rsidRDefault="00702601" w:rsidP="00702601">
      <w:pPr>
        <w:tabs>
          <w:tab w:val="left" w:pos="424"/>
        </w:tabs>
        <w:jc w:val="both"/>
        <w:rPr>
          <w:rFonts w:cs="Arial"/>
          <w:lang w:val="pt-BR"/>
        </w:rPr>
      </w:pPr>
      <w:r w:rsidRPr="005C6F16">
        <w:rPr>
          <w:rFonts w:cs="Arial"/>
          <w:b/>
          <w:lang w:val="pt-BR"/>
        </w:rPr>
        <w:t>Trabalhos para casa (TPC), exercícios e textos para leitura – incluir data a ser entregue:</w:t>
      </w:r>
      <w:r w:rsidRPr="005C6F16">
        <w:rPr>
          <w:rFonts w:cs="Arial"/>
          <w:lang w:val="pt-BR"/>
        </w:rPr>
        <w:t xml:space="preserve"> </w:t>
      </w:r>
    </w:p>
    <w:p w:rsidR="00702601" w:rsidRPr="005C6F16" w:rsidRDefault="00702601" w:rsidP="00702601">
      <w:pPr>
        <w:tabs>
          <w:tab w:val="left" w:pos="424"/>
        </w:tabs>
        <w:jc w:val="both"/>
        <w:rPr>
          <w:rFonts w:cs="Arial"/>
          <w:lang w:val="pt-BR"/>
        </w:rPr>
      </w:pPr>
    </w:p>
    <w:p w:rsidR="00702601" w:rsidRPr="005C6F16" w:rsidRDefault="00702601" w:rsidP="00702601">
      <w:pPr>
        <w:tabs>
          <w:tab w:val="left" w:pos="424"/>
        </w:tabs>
        <w:jc w:val="both"/>
        <w:rPr>
          <w:rFonts w:cs="Arial"/>
          <w:lang w:val="pt-BR"/>
        </w:rPr>
      </w:pPr>
    </w:p>
    <w:p w:rsidR="00702601" w:rsidRDefault="00702601" w:rsidP="00702601">
      <w:pPr>
        <w:tabs>
          <w:tab w:val="left" w:pos="424"/>
        </w:tabs>
        <w:jc w:val="both"/>
        <w:rPr>
          <w:rFonts w:cs="Arial"/>
          <w:lang w:val="pt-BR"/>
        </w:rPr>
      </w:pPr>
    </w:p>
    <w:p w:rsidR="00702601" w:rsidRPr="00927EAF" w:rsidRDefault="00702601" w:rsidP="00927EAF">
      <w:pPr>
        <w:rPr>
          <w:b/>
          <w:lang w:val="pt-BR"/>
        </w:rPr>
      </w:pPr>
      <w:r w:rsidRPr="00927EAF">
        <w:rPr>
          <w:b/>
          <w:lang w:val="pt-BR"/>
        </w:rPr>
        <w:t>Bibliografia (referências usadas para o desenvolvimento do conteúdo):</w:t>
      </w:r>
    </w:p>
    <w:p w:rsidR="00702601" w:rsidRPr="005C6F16" w:rsidRDefault="00702601" w:rsidP="002A6D9A">
      <w:pPr>
        <w:rPr>
          <w:lang w:val="pt-BR"/>
        </w:rPr>
      </w:pPr>
      <w:r w:rsidRPr="005C6F16">
        <w:rPr>
          <w:lang w:val="pt-BR"/>
        </w:rPr>
        <w:t xml:space="preserve">Engelkirk, P.G. Gwendolyn, B. Microbiologia para as Ciências da Saúde. 7ª. Ed. Guanabara Koogan. </w:t>
      </w:r>
    </w:p>
    <w:p w:rsidR="00702601" w:rsidRPr="00F47FAF" w:rsidRDefault="00702601" w:rsidP="002A6D9A">
      <w:pPr>
        <w:rPr>
          <w:lang w:val="pt-BR"/>
        </w:rPr>
      </w:pPr>
      <w:r w:rsidRPr="00702601">
        <w:rPr>
          <w:lang w:val="pt-BR"/>
        </w:rPr>
        <w:t xml:space="preserve">Jawetz, M. Adelberg. Microbiologia Médica. </w:t>
      </w:r>
      <w:r w:rsidRPr="00F47FAF">
        <w:rPr>
          <w:lang w:val="pt-BR"/>
        </w:rPr>
        <w:t>22ª. Ed. McGraw Hill, 2004.</w:t>
      </w:r>
    </w:p>
    <w:p w:rsidR="00702601" w:rsidRPr="00F47FAF" w:rsidRDefault="00702601" w:rsidP="00702601">
      <w:pPr>
        <w:shd w:val="clear" w:color="auto" w:fill="B8CCE4"/>
        <w:tabs>
          <w:tab w:val="left" w:pos="1276"/>
          <w:tab w:val="right" w:pos="8550"/>
        </w:tabs>
        <w:spacing w:before="120" w:after="120"/>
        <w:ind w:right="2"/>
        <w:jc w:val="both"/>
        <w:rPr>
          <w:rFonts w:cs="Arial"/>
          <w:b/>
          <w:lang w:val="pt-BR"/>
        </w:rPr>
      </w:pPr>
      <w:r w:rsidRPr="00F47FAF">
        <w:rPr>
          <w:rFonts w:cs="Arial"/>
          <w:b/>
          <w:lang w:val="pt-BR"/>
        </w:rPr>
        <w:lastRenderedPageBreak/>
        <w:t>BLOCO 1: INTRODUÇÃO À AULA</w:t>
      </w:r>
    </w:p>
    <w:p w:rsidR="002A6D9A" w:rsidRDefault="00702601" w:rsidP="00C52E09">
      <w:pPr>
        <w:pStyle w:val="ListParagraph"/>
        <w:numPr>
          <w:ilvl w:val="1"/>
          <w:numId w:val="144"/>
        </w:numPr>
        <w:spacing w:before="120" w:after="0"/>
        <w:ind w:right="2"/>
        <w:jc w:val="both"/>
        <w:rPr>
          <w:rFonts w:cs="Arial"/>
          <w:lang w:val="pt-BR"/>
        </w:rPr>
      </w:pPr>
      <w:r w:rsidRPr="002A6D9A">
        <w:rPr>
          <w:rFonts w:cs="Arial"/>
          <w:lang w:val="pt-BR"/>
        </w:rPr>
        <w:t>Apresentação do tópico, conteúdos e objectivos de aprendizagem.</w:t>
      </w:r>
    </w:p>
    <w:p w:rsidR="002A6D9A" w:rsidRDefault="00702601" w:rsidP="00C52E09">
      <w:pPr>
        <w:pStyle w:val="ListParagraph"/>
        <w:numPr>
          <w:ilvl w:val="1"/>
          <w:numId w:val="144"/>
        </w:numPr>
        <w:spacing w:before="120" w:after="0"/>
        <w:ind w:right="2"/>
        <w:jc w:val="both"/>
        <w:rPr>
          <w:rFonts w:cs="Arial"/>
          <w:lang w:val="pt-BR"/>
        </w:rPr>
      </w:pPr>
      <w:r w:rsidRPr="002A6D9A">
        <w:rPr>
          <w:rFonts w:cs="Arial"/>
          <w:lang w:val="pt-BR"/>
        </w:rPr>
        <w:t>Apresentação da estrutura da aula.</w:t>
      </w:r>
    </w:p>
    <w:p w:rsidR="00702601" w:rsidRPr="002A6D9A" w:rsidRDefault="00702601" w:rsidP="00C52E09">
      <w:pPr>
        <w:pStyle w:val="ListParagraph"/>
        <w:numPr>
          <w:ilvl w:val="1"/>
          <w:numId w:val="144"/>
        </w:numPr>
        <w:spacing w:before="120" w:after="0"/>
        <w:ind w:right="2"/>
        <w:jc w:val="both"/>
        <w:rPr>
          <w:rFonts w:cs="Arial"/>
          <w:lang w:val="pt-BR"/>
        </w:rPr>
      </w:pPr>
      <w:r w:rsidRPr="002A6D9A">
        <w:rPr>
          <w:rFonts w:cs="Arial"/>
          <w:lang w:val="pt-BR"/>
        </w:rPr>
        <w:t>Apresentação da bibliografia que o aluno deverá manejar para ampliar os conhecimentos.</w:t>
      </w:r>
    </w:p>
    <w:p w:rsidR="00702601" w:rsidRPr="005C6F16" w:rsidRDefault="00702601" w:rsidP="00C46A1F">
      <w:pPr>
        <w:pStyle w:val="TM-0"/>
      </w:pPr>
    </w:p>
    <w:p w:rsidR="00702601" w:rsidRPr="005C6F16" w:rsidRDefault="00702601" w:rsidP="00702601">
      <w:pPr>
        <w:shd w:val="clear" w:color="auto" w:fill="B8CCE4"/>
        <w:tabs>
          <w:tab w:val="left" w:pos="1276"/>
          <w:tab w:val="right" w:pos="8550"/>
        </w:tabs>
        <w:spacing w:before="120" w:after="120"/>
        <w:ind w:right="2"/>
        <w:jc w:val="both"/>
        <w:rPr>
          <w:rFonts w:eastAsia="Calibri" w:cs="Arial"/>
          <w:b/>
        </w:rPr>
      </w:pPr>
      <w:r w:rsidRPr="005C6F16">
        <w:rPr>
          <w:rFonts w:eastAsia="Calibri" w:cs="Arial"/>
          <w:b/>
        </w:rPr>
        <w:t>BLOCO 2: CARACTERÍSTICAS BÁSICAS DOS ECTOPARASITAS</w:t>
      </w:r>
    </w:p>
    <w:p w:rsidR="00702601" w:rsidRPr="005C6F16" w:rsidRDefault="00702601" w:rsidP="00C52E09">
      <w:pPr>
        <w:numPr>
          <w:ilvl w:val="0"/>
          <w:numId w:val="130"/>
        </w:numPr>
        <w:spacing w:before="120" w:after="0"/>
        <w:ind w:hanging="450"/>
        <w:jc w:val="both"/>
        <w:rPr>
          <w:rFonts w:cs="Arial"/>
          <w:lang w:val="pt-BR"/>
        </w:rPr>
      </w:pPr>
      <w:r w:rsidRPr="005C6F16">
        <w:rPr>
          <w:rFonts w:cs="Arial"/>
          <w:lang w:val="pt-BR"/>
        </w:rPr>
        <w:t>Os ectoparasitas ou parasitas externos são aqueles parasitas que vivem na superfície do hospedeiro. Praticamente, todos os ectoparasitas de importância clínica são artrópodes, como pulgas, piolhos ou ácaros.</w:t>
      </w:r>
    </w:p>
    <w:p w:rsidR="00702601" w:rsidRPr="005C6F16" w:rsidRDefault="00702601" w:rsidP="00702601">
      <w:pPr>
        <w:spacing w:before="120"/>
        <w:ind w:left="450"/>
        <w:jc w:val="both"/>
        <w:rPr>
          <w:rFonts w:cs="Arial"/>
          <w:lang w:val="pt-BR"/>
        </w:rPr>
      </w:pPr>
      <w:r>
        <w:rPr>
          <w:rFonts w:cs="Arial"/>
          <w:noProof/>
          <w:lang w:val="en-ZW" w:eastAsia="en-ZW"/>
        </w:rPr>
        <w:drawing>
          <wp:inline distT="0" distB="0" distL="0" distR="0" wp14:anchorId="46417C51" wp14:editId="594AF748">
            <wp:extent cx="5945116" cy="2567940"/>
            <wp:effectExtent l="6104" t="0" r="0" b="0"/>
            <wp:docPr id="199" name="Object 1"/>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272808" cy="3146866"/>
                      <a:chOff x="1331640" y="908720"/>
                      <a:chExt cx="7272808" cy="3146866"/>
                    </a:xfrm>
                  </a:grpSpPr>
                  <a:grpSp>
                    <a:nvGrpSpPr>
                      <a:cNvPr id="6" name="Group 5"/>
                      <a:cNvGrpSpPr/>
                    </a:nvGrpSpPr>
                    <a:grpSpPr>
                      <a:xfrm>
                        <a:off x="1331640" y="908720"/>
                        <a:ext cx="7272808" cy="3146866"/>
                        <a:chOff x="1331640" y="908720"/>
                        <a:chExt cx="7272808" cy="3146866"/>
                      </a:xfrm>
                    </a:grpSpPr>
                    <a:pic>
                      <a:nvPicPr>
                        <a:cNvPr id="43010" name="Picture 2" descr="http://www2.cedarcrest.edu/academic/bio/hale/bioT_EID/lectures/malaria-Anopheles-mosquito.jpg"/>
                        <a:cNvPicPr>
                          <a:picLocks noChangeAspect="1" noChangeArrowheads="1"/>
                        </a:cNvPicPr>
                      </a:nvPicPr>
                      <a:blipFill>
                        <a:blip r:embed="rId126"/>
                        <a:srcRect/>
                        <a:stretch>
                          <a:fillRect/>
                        </a:stretch>
                      </a:blipFill>
                      <a:spPr bwMode="auto">
                        <a:xfrm>
                          <a:off x="1331640" y="908720"/>
                          <a:ext cx="2695575" cy="2743200"/>
                        </a:xfrm>
                        <a:prstGeom prst="rect">
                          <a:avLst/>
                        </a:prstGeom>
                        <a:noFill/>
                      </a:spPr>
                    </a:pic>
                    <a:sp>
                      <a:nvSpPr>
                        <a:cNvPr id="3" name="Rectangle 2"/>
                        <a:cNvSpPr/>
                      </a:nvSpPr>
                      <a:spPr>
                        <a:xfrm>
                          <a:off x="1331640" y="3717032"/>
                          <a:ext cx="2736304" cy="338554"/>
                        </a:xfrm>
                        <a:prstGeom prst="rect">
                          <a:avLst/>
                        </a:prstGeom>
                      </a:spPr>
                      <a:txSp>
                        <a:txBody>
                          <a:bodyPr wrap="square">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800" dirty="0" smtClean="0"/>
                              <a:t>http://www2.cedarcrest.edu/academic/bio/hale/bioT_EID/lectures/malaria-Anopheles-mosquito.jpg</a:t>
                            </a:r>
                            <a:endParaRPr lang="en-GB" sz="800" dirty="0"/>
                          </a:p>
                        </a:txBody>
                        <a:useSpRect/>
                      </a:txSp>
                    </a:sp>
                    <a:pic>
                      <a:nvPicPr>
                        <a:cNvPr id="43012" name="Picture 4" descr="http://www.stanford.edu/class/humbio103/ParaSites2006/Scabies/Morphology2_files/image001.gif"/>
                        <a:cNvPicPr>
                          <a:picLocks noChangeAspect="1" noChangeArrowheads="1"/>
                        </a:cNvPicPr>
                      </a:nvPicPr>
                      <a:blipFill>
                        <a:blip r:embed="rId127"/>
                        <a:srcRect/>
                        <a:stretch>
                          <a:fillRect/>
                        </a:stretch>
                      </a:blipFill>
                      <a:spPr bwMode="auto">
                        <a:xfrm>
                          <a:off x="4860032" y="908720"/>
                          <a:ext cx="3429000" cy="2736304"/>
                        </a:xfrm>
                        <a:prstGeom prst="rect">
                          <a:avLst/>
                        </a:prstGeom>
                        <a:noFill/>
                      </a:spPr>
                    </a:pic>
                    <a:sp>
                      <a:nvSpPr>
                        <a:cNvPr id="5" name="Rectangle 4"/>
                        <a:cNvSpPr/>
                      </a:nvSpPr>
                      <a:spPr>
                        <a:xfrm>
                          <a:off x="4932040" y="3717032"/>
                          <a:ext cx="3672408" cy="338554"/>
                        </a:xfrm>
                        <a:prstGeom prst="rect">
                          <a:avLst/>
                        </a:prstGeom>
                      </a:spPr>
                      <a:txSp>
                        <a:txBody>
                          <a:bodyPr wrap="square">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800" dirty="0" smtClean="0"/>
                              <a:t>http://www.stanford.edu/class/humbio103/ParaSites2006/Scabies/Morphology2_files/image001.gif</a:t>
                            </a:r>
                            <a:endParaRPr lang="en-GB" sz="800" dirty="0"/>
                          </a:p>
                        </a:txBody>
                        <a:useSpRect/>
                      </a:txSp>
                    </a:sp>
                  </a:grpSp>
                </lc:lockedCanvas>
              </a:graphicData>
            </a:graphic>
          </wp:inline>
        </w:drawing>
      </w:r>
    </w:p>
    <w:p w:rsidR="00702601" w:rsidRPr="005C6F16" w:rsidRDefault="00702601" w:rsidP="00702601">
      <w:pPr>
        <w:pStyle w:val="TM-3"/>
        <w:ind w:left="1418" w:right="567" w:firstLine="0"/>
        <w:jc w:val="center"/>
      </w:pPr>
      <w:r w:rsidRPr="00C46A1F">
        <w:rPr>
          <w:b/>
        </w:rPr>
        <w:t>Figur</w:t>
      </w:r>
      <w:r w:rsidR="00C46A1F" w:rsidRPr="00C46A1F">
        <w:rPr>
          <w:b/>
        </w:rPr>
        <w:t>a 1:</w:t>
      </w:r>
      <w:r w:rsidRPr="005C6F16">
        <w:t xml:space="preserve"> Imagens dos ectoparasitas: Artrópode insecto (mosquito) à esquerda e artrópode aracnídeo (</w:t>
      </w:r>
      <w:r w:rsidRPr="005C6F16">
        <w:rPr>
          <w:i/>
        </w:rPr>
        <w:t>Sarcoptes scabiei)</w:t>
      </w:r>
      <w:r w:rsidRPr="005C6F16">
        <w:t xml:space="preserve"> à direita</w:t>
      </w:r>
    </w:p>
    <w:p w:rsidR="00702601" w:rsidRPr="005C6F16" w:rsidRDefault="00702601" w:rsidP="00C52E09">
      <w:pPr>
        <w:numPr>
          <w:ilvl w:val="0"/>
          <w:numId w:val="130"/>
        </w:numPr>
        <w:spacing w:before="120" w:after="0"/>
        <w:ind w:hanging="450"/>
        <w:jc w:val="both"/>
        <w:rPr>
          <w:rFonts w:cs="Arial"/>
          <w:lang w:val="pt-BR"/>
        </w:rPr>
      </w:pPr>
      <w:r w:rsidRPr="005C6F16">
        <w:rPr>
          <w:rFonts w:cs="Arial"/>
          <w:lang w:val="pt-BR"/>
        </w:rPr>
        <w:t>Os artrópodes são animais invertebrados com esqueleto externo (exoesqueleto) e corpo dividido em segmentos. São o grupo mais numeroso de animais na natureza. Porém, os ectoparasitas pertencem só a duas classes de artrópodes: insectos e aracnídeos.</w:t>
      </w:r>
    </w:p>
    <w:p w:rsidR="00702601" w:rsidRPr="005C6F16" w:rsidRDefault="00702601" w:rsidP="00C52E09">
      <w:pPr>
        <w:numPr>
          <w:ilvl w:val="0"/>
          <w:numId w:val="130"/>
        </w:numPr>
        <w:spacing w:before="120" w:after="0"/>
        <w:ind w:hanging="450"/>
        <w:jc w:val="both"/>
        <w:rPr>
          <w:rFonts w:cs="Arial"/>
          <w:lang w:val="pt-BR"/>
        </w:rPr>
      </w:pPr>
      <w:r w:rsidRPr="005C6F16">
        <w:rPr>
          <w:rFonts w:cs="Arial"/>
          <w:lang w:val="pt-BR"/>
        </w:rPr>
        <w:t>Os artrópodes podem provocar doenças no ser humano de quatro maneiras diferentes:</w:t>
      </w:r>
    </w:p>
    <w:p w:rsidR="00702601" w:rsidRPr="005C6F16" w:rsidRDefault="00702601" w:rsidP="00C52E09">
      <w:pPr>
        <w:numPr>
          <w:ilvl w:val="0"/>
          <w:numId w:val="131"/>
        </w:numPr>
        <w:spacing w:before="120" w:after="0"/>
        <w:ind w:left="1080" w:hanging="630"/>
        <w:jc w:val="both"/>
        <w:rPr>
          <w:rFonts w:cs="Arial"/>
          <w:lang w:val="pt-BR"/>
        </w:rPr>
      </w:pPr>
      <w:r w:rsidRPr="00702601">
        <w:rPr>
          <w:rFonts w:cs="Arial"/>
          <w:lang w:val="pt-BR"/>
        </w:rPr>
        <w:t xml:space="preserve">artrópode é a causa directa da doença. </w:t>
      </w:r>
      <w:r w:rsidRPr="005C6F16">
        <w:rPr>
          <w:rFonts w:cs="Arial"/>
          <w:lang w:val="pt-BR"/>
        </w:rPr>
        <w:t>Por exemplo, a escabiose ou sarna (</w:t>
      </w:r>
      <w:r w:rsidRPr="005C6F16">
        <w:rPr>
          <w:rFonts w:cs="Arial"/>
          <w:i/>
          <w:lang w:val="pt-BR"/>
        </w:rPr>
        <w:t>sarcoptes scabiei)</w:t>
      </w:r>
      <w:r w:rsidRPr="005C6F16">
        <w:rPr>
          <w:rFonts w:cs="Arial"/>
          <w:lang w:val="pt-BR"/>
        </w:rPr>
        <w:t>.</w:t>
      </w:r>
    </w:p>
    <w:p w:rsidR="00702601" w:rsidRPr="005C6F16" w:rsidRDefault="00702601" w:rsidP="00C52E09">
      <w:pPr>
        <w:numPr>
          <w:ilvl w:val="0"/>
          <w:numId w:val="131"/>
        </w:numPr>
        <w:spacing w:before="120" w:after="0"/>
        <w:ind w:left="1080" w:hanging="630"/>
        <w:jc w:val="both"/>
        <w:rPr>
          <w:rFonts w:cs="Arial"/>
          <w:lang w:val="pt-BR"/>
        </w:rPr>
      </w:pPr>
      <w:r w:rsidRPr="005C6F16">
        <w:rPr>
          <w:rFonts w:cs="Arial"/>
          <w:lang w:val="pt-BR"/>
        </w:rPr>
        <w:t>O artrópode serve como hospedeiro intermediário no ciclo de vida de outro parasita. Por exemplo, a mosca tsé-tsé na tripanossomíase, ou a mosca preta na oncocercose.</w:t>
      </w:r>
    </w:p>
    <w:p w:rsidR="00702601" w:rsidRPr="005C6F16" w:rsidRDefault="00702601" w:rsidP="00C52E09">
      <w:pPr>
        <w:numPr>
          <w:ilvl w:val="0"/>
          <w:numId w:val="131"/>
        </w:numPr>
        <w:spacing w:before="120" w:after="0"/>
        <w:ind w:left="1080" w:hanging="630"/>
        <w:jc w:val="both"/>
        <w:rPr>
          <w:rFonts w:cs="Arial"/>
        </w:rPr>
      </w:pPr>
      <w:r w:rsidRPr="005C6F16">
        <w:rPr>
          <w:rFonts w:cs="Arial"/>
          <w:lang w:val="pt-BR"/>
        </w:rPr>
        <w:t xml:space="preserve">O artrópode serve como hospedeiro definitivo no ciclo de vida de outro parasita. </w:t>
      </w:r>
      <w:r w:rsidRPr="005C6F16">
        <w:rPr>
          <w:rFonts w:cs="Arial"/>
        </w:rPr>
        <w:t xml:space="preserve">Por exemplo, os mosquitos Anopheles </w:t>
      </w:r>
      <w:proofErr w:type="gramStart"/>
      <w:r w:rsidRPr="005C6F16">
        <w:rPr>
          <w:rFonts w:cs="Arial"/>
        </w:rPr>
        <w:t>na</w:t>
      </w:r>
      <w:proofErr w:type="gramEnd"/>
      <w:r w:rsidRPr="005C6F16">
        <w:rPr>
          <w:rFonts w:cs="Arial"/>
        </w:rPr>
        <w:t xml:space="preserve"> malária.</w:t>
      </w:r>
    </w:p>
    <w:p w:rsidR="00702601" w:rsidRDefault="00702601" w:rsidP="00C52E09">
      <w:pPr>
        <w:numPr>
          <w:ilvl w:val="0"/>
          <w:numId w:val="131"/>
        </w:numPr>
        <w:spacing w:before="120" w:after="0"/>
        <w:ind w:left="1080" w:hanging="630"/>
        <w:jc w:val="both"/>
        <w:rPr>
          <w:rFonts w:cs="Arial"/>
          <w:lang w:val="pt-BR"/>
        </w:rPr>
      </w:pPr>
      <w:r w:rsidRPr="005C6F16">
        <w:rPr>
          <w:rFonts w:cs="Arial"/>
          <w:lang w:val="pt-BR"/>
        </w:rPr>
        <w:t>O artrópode serve como vector na transmissão de uma doença infecciosa. Por exemplo, a pulga do rato na peste bubónica, ou o piolho no tifo epidémico.</w:t>
      </w:r>
    </w:p>
    <w:p w:rsidR="00702601" w:rsidRPr="005C6F16" w:rsidRDefault="00702601" w:rsidP="00702601">
      <w:pPr>
        <w:pStyle w:val="TM-0"/>
      </w:pPr>
    </w:p>
    <w:p w:rsidR="00702601" w:rsidRPr="00702601" w:rsidRDefault="00702601" w:rsidP="00702601">
      <w:pPr>
        <w:shd w:val="clear" w:color="auto" w:fill="B8CCE4"/>
        <w:tabs>
          <w:tab w:val="left" w:pos="1276"/>
          <w:tab w:val="right" w:pos="8550"/>
        </w:tabs>
        <w:spacing w:before="120" w:after="120"/>
        <w:ind w:right="2"/>
        <w:jc w:val="both"/>
        <w:rPr>
          <w:rFonts w:eastAsia="Calibri" w:cs="Arial"/>
          <w:b/>
          <w:lang w:val="pt-BR"/>
        </w:rPr>
      </w:pPr>
      <w:r w:rsidRPr="00702601">
        <w:rPr>
          <w:rFonts w:eastAsia="Calibri" w:cs="Arial"/>
          <w:b/>
          <w:lang w:val="pt-BR"/>
        </w:rPr>
        <w:t>BLOCO 3: PRINCIPAIS DOENÇAS CAUSADAS POR ARACNÍDEOS</w:t>
      </w:r>
    </w:p>
    <w:p w:rsidR="00702601" w:rsidRPr="00704E7F" w:rsidRDefault="00702601" w:rsidP="00C52E09">
      <w:pPr>
        <w:numPr>
          <w:ilvl w:val="0"/>
          <w:numId w:val="132"/>
        </w:numPr>
        <w:spacing w:before="120" w:after="0"/>
        <w:ind w:left="450" w:hanging="450"/>
        <w:jc w:val="both"/>
        <w:rPr>
          <w:rFonts w:cs="Arial"/>
          <w:b/>
          <w:i/>
        </w:rPr>
      </w:pPr>
      <w:r w:rsidRPr="00704E7F">
        <w:rPr>
          <w:rFonts w:cs="Arial"/>
          <w:b/>
          <w:i/>
        </w:rPr>
        <w:t>Sarcoptes scabiei.</w:t>
      </w:r>
    </w:p>
    <w:p w:rsidR="00702601" w:rsidRPr="005C6F16" w:rsidRDefault="00702601" w:rsidP="00C52E09">
      <w:pPr>
        <w:numPr>
          <w:ilvl w:val="0"/>
          <w:numId w:val="133"/>
        </w:numPr>
        <w:spacing w:before="120" w:after="0"/>
        <w:ind w:left="1080" w:hanging="630"/>
        <w:jc w:val="both"/>
        <w:rPr>
          <w:rFonts w:cs="Arial"/>
          <w:lang w:val="pt-BR"/>
        </w:rPr>
      </w:pPr>
      <w:r w:rsidRPr="005C6F16">
        <w:rPr>
          <w:rFonts w:cs="Arial"/>
          <w:lang w:val="pt-BR"/>
        </w:rPr>
        <w:t>Artrópodo que parasita animais e seres humanos. É responsável directo pela sarna ou escabiose.</w:t>
      </w:r>
    </w:p>
    <w:p w:rsidR="00702601" w:rsidRPr="005C6F16" w:rsidRDefault="00702601" w:rsidP="00702601">
      <w:pPr>
        <w:spacing w:before="120"/>
        <w:ind w:left="1080"/>
        <w:jc w:val="center"/>
        <w:rPr>
          <w:rFonts w:cs="Arial"/>
          <w:lang w:val="pt-BR"/>
        </w:rPr>
      </w:pPr>
      <w:r>
        <w:rPr>
          <w:rFonts w:cs="Arial"/>
          <w:noProof/>
          <w:lang w:val="en-ZW" w:eastAsia="en-ZW"/>
        </w:rPr>
        <w:lastRenderedPageBreak/>
        <w:drawing>
          <wp:inline distT="0" distB="0" distL="0" distR="0" wp14:anchorId="2BFD666A" wp14:editId="334EC182">
            <wp:extent cx="3286493" cy="2247900"/>
            <wp:effectExtent l="5347" t="0" r="0" b="0"/>
            <wp:docPr id="198" name="Object 2"/>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744416" cy="3146866"/>
                      <a:chOff x="4860032" y="908720"/>
                      <a:chExt cx="3744416" cy="3146866"/>
                    </a:xfrm>
                  </a:grpSpPr>
                  <a:grpSp>
                    <a:nvGrpSpPr>
                      <a:cNvPr id="7" name="Group 6"/>
                      <a:cNvGrpSpPr/>
                    </a:nvGrpSpPr>
                    <a:grpSpPr>
                      <a:xfrm>
                        <a:off x="4860032" y="908720"/>
                        <a:ext cx="3744416" cy="3146866"/>
                        <a:chOff x="4860032" y="908720"/>
                        <a:chExt cx="3744416" cy="3146866"/>
                      </a:xfrm>
                    </a:grpSpPr>
                    <a:pic>
                      <a:nvPicPr>
                        <a:cNvPr id="43012" name="Picture 4" descr="http://www.stanford.edu/class/humbio103/ParaSites2006/Scabies/Morphology2_files/image001.gif"/>
                        <a:cNvPicPr>
                          <a:picLocks noChangeAspect="1" noChangeArrowheads="1"/>
                        </a:cNvPicPr>
                      </a:nvPicPr>
                      <a:blipFill>
                        <a:blip r:embed="rId127"/>
                        <a:srcRect/>
                        <a:stretch>
                          <a:fillRect/>
                        </a:stretch>
                      </a:blipFill>
                      <a:spPr bwMode="auto">
                        <a:xfrm>
                          <a:off x="4860032" y="908720"/>
                          <a:ext cx="3429000" cy="2736304"/>
                        </a:xfrm>
                        <a:prstGeom prst="rect">
                          <a:avLst/>
                        </a:prstGeom>
                        <a:noFill/>
                      </a:spPr>
                    </a:pic>
                    <a:sp>
                      <a:nvSpPr>
                        <a:cNvPr id="5" name="Rectangle 4"/>
                        <a:cNvSpPr/>
                      </a:nvSpPr>
                      <a:spPr>
                        <a:xfrm>
                          <a:off x="4932040" y="3717032"/>
                          <a:ext cx="3672408" cy="338554"/>
                        </a:xfrm>
                        <a:prstGeom prst="rect">
                          <a:avLst/>
                        </a:prstGeom>
                      </a:spPr>
                      <a:txSp>
                        <a:txBody>
                          <a:bodyPr wrap="square">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800" dirty="0" smtClean="0"/>
                              <a:t>http://www.stanford.edu/class/humbio103/ParaSites2006/Scabies/Morphology2_files/image001.gif</a:t>
                            </a:r>
                            <a:endParaRPr lang="en-GB" sz="800" dirty="0"/>
                          </a:p>
                        </a:txBody>
                        <a:useSpRect/>
                      </a:txSp>
                    </a:sp>
                  </a:grpSp>
                </lc:lockedCanvas>
              </a:graphicData>
            </a:graphic>
          </wp:inline>
        </w:drawing>
      </w:r>
    </w:p>
    <w:p w:rsidR="00702601" w:rsidRPr="005C6F16" w:rsidRDefault="00702601" w:rsidP="00702601">
      <w:pPr>
        <w:pStyle w:val="TM-3"/>
        <w:ind w:left="1418" w:right="567" w:firstLine="0"/>
        <w:jc w:val="center"/>
        <w:rPr>
          <w:i/>
        </w:rPr>
      </w:pPr>
      <w:r w:rsidRPr="00C46A1F">
        <w:rPr>
          <w:b/>
        </w:rPr>
        <w:t>Figura 2</w:t>
      </w:r>
      <w:r w:rsidR="00C46A1F" w:rsidRPr="00C46A1F">
        <w:rPr>
          <w:b/>
        </w:rPr>
        <w:t>:</w:t>
      </w:r>
      <w:r w:rsidRPr="005C6F16">
        <w:t xml:space="preserve"> Imagem de adulto de </w:t>
      </w:r>
      <w:r w:rsidRPr="005C6F16">
        <w:rPr>
          <w:i/>
        </w:rPr>
        <w:t>Sarcoptes scabiei</w:t>
      </w:r>
    </w:p>
    <w:p w:rsidR="00702601" w:rsidRPr="005C6F16" w:rsidRDefault="00702601" w:rsidP="00C52E09">
      <w:pPr>
        <w:numPr>
          <w:ilvl w:val="0"/>
          <w:numId w:val="133"/>
        </w:numPr>
        <w:spacing w:before="120" w:after="0"/>
        <w:ind w:left="1080" w:hanging="630"/>
        <w:jc w:val="both"/>
        <w:rPr>
          <w:rFonts w:cs="Arial"/>
          <w:lang w:val="pt-BR"/>
        </w:rPr>
      </w:pPr>
      <w:r w:rsidRPr="005C6F16">
        <w:rPr>
          <w:rFonts w:cs="Arial"/>
          <w:lang w:val="pt-BR"/>
        </w:rPr>
        <w:t>Tem um corpo pequeno e globoso, com 4 pares de patas curtas, algumas delas dotadas de ventosas para melhorar a sua fixação.</w:t>
      </w:r>
    </w:p>
    <w:p w:rsidR="00702601" w:rsidRPr="005C6F16" w:rsidRDefault="00702601" w:rsidP="00C52E09">
      <w:pPr>
        <w:numPr>
          <w:ilvl w:val="0"/>
          <w:numId w:val="133"/>
        </w:numPr>
        <w:spacing w:before="120" w:after="0"/>
        <w:ind w:left="1080" w:hanging="630"/>
        <w:jc w:val="both"/>
        <w:rPr>
          <w:rFonts w:cs="Arial"/>
          <w:lang w:val="pt-BR"/>
        </w:rPr>
      </w:pPr>
      <w:r w:rsidRPr="005C6F16">
        <w:rPr>
          <w:rFonts w:cs="Arial"/>
          <w:lang w:val="pt-BR"/>
        </w:rPr>
        <w:t>É transmitida por contacto directo entre pessoas e uso compartilhado de roupas.</w:t>
      </w:r>
    </w:p>
    <w:p w:rsidR="00702601" w:rsidRPr="005C6F16" w:rsidRDefault="00702601" w:rsidP="00C52E09">
      <w:pPr>
        <w:numPr>
          <w:ilvl w:val="0"/>
          <w:numId w:val="133"/>
        </w:numPr>
        <w:spacing w:before="120" w:after="0"/>
        <w:ind w:left="1080" w:hanging="630"/>
        <w:jc w:val="both"/>
        <w:rPr>
          <w:rFonts w:cs="Arial"/>
          <w:lang w:val="pt-BR"/>
        </w:rPr>
      </w:pPr>
      <w:r w:rsidRPr="005C6F16">
        <w:rPr>
          <w:rFonts w:cs="Arial"/>
          <w:lang w:val="pt-BR"/>
        </w:rPr>
        <w:t>A escabiose/sarna é uma doença contagiosa da pele, que se caracteriza pelos túneis escavados pelo ácaro na epiderme, que produzem prurido (comichão) intenso, particularmente à noite.</w:t>
      </w:r>
    </w:p>
    <w:p w:rsidR="00702601" w:rsidRPr="005C6F16" w:rsidRDefault="00702601" w:rsidP="00C52E09">
      <w:pPr>
        <w:numPr>
          <w:ilvl w:val="0"/>
          <w:numId w:val="133"/>
        </w:numPr>
        <w:spacing w:before="120" w:after="0"/>
        <w:ind w:left="1080" w:hanging="630"/>
        <w:jc w:val="both"/>
        <w:rPr>
          <w:rFonts w:cs="Arial"/>
          <w:lang w:val="pt-BR"/>
        </w:rPr>
      </w:pPr>
      <w:r w:rsidRPr="005C6F16">
        <w:rPr>
          <w:rFonts w:cs="Arial"/>
          <w:lang w:val="pt-BR"/>
        </w:rPr>
        <w:t>O prurido é acompanhado por eritema, pústulas, crostas e descamação.</w:t>
      </w:r>
    </w:p>
    <w:p w:rsidR="00702601" w:rsidRPr="005C6F16" w:rsidRDefault="00702601" w:rsidP="00C52E09">
      <w:pPr>
        <w:numPr>
          <w:ilvl w:val="0"/>
          <w:numId w:val="133"/>
        </w:numPr>
        <w:spacing w:before="120" w:after="0"/>
        <w:ind w:left="1080" w:hanging="630"/>
        <w:jc w:val="both"/>
        <w:rPr>
          <w:rFonts w:cs="Arial"/>
        </w:rPr>
      </w:pPr>
      <w:r w:rsidRPr="005C6F16">
        <w:rPr>
          <w:rFonts w:cs="Arial"/>
          <w:lang w:val="pt-BR"/>
        </w:rPr>
        <w:t xml:space="preserve">As lesões são mais frequentes nas mãos, punhos, axilas, região genital e nádegas. </w:t>
      </w:r>
      <w:r w:rsidRPr="005C6F16">
        <w:rPr>
          <w:rFonts w:cs="Arial"/>
        </w:rPr>
        <w:t>Nas crianças, a cabeça e pescoço são frequentemente afectados.</w:t>
      </w:r>
    </w:p>
    <w:p w:rsidR="00702601" w:rsidRPr="005C6F16" w:rsidRDefault="00702601" w:rsidP="00C52E09">
      <w:pPr>
        <w:numPr>
          <w:ilvl w:val="0"/>
          <w:numId w:val="133"/>
        </w:numPr>
        <w:spacing w:before="120" w:after="0"/>
        <w:ind w:left="1080" w:hanging="630"/>
        <w:jc w:val="both"/>
        <w:rPr>
          <w:rFonts w:cs="Arial"/>
          <w:lang w:val="pt-BR"/>
        </w:rPr>
      </w:pPr>
      <w:r w:rsidRPr="005C6F16">
        <w:rPr>
          <w:rFonts w:cs="Arial"/>
          <w:lang w:val="pt-BR"/>
        </w:rPr>
        <w:t>Em indivíduos imunodeprimidos, a escabiose pode adoptar formas muito extensas e graves, chamadas sarna norueguesa. Igualmente, estes pacientes têm um risco elevado de complicações infecciosas nas lesões de escabiose.</w:t>
      </w:r>
    </w:p>
    <w:p w:rsidR="00702601" w:rsidRPr="00704E7F" w:rsidRDefault="00702601" w:rsidP="00C52E09">
      <w:pPr>
        <w:numPr>
          <w:ilvl w:val="0"/>
          <w:numId w:val="133"/>
        </w:numPr>
        <w:spacing w:before="120" w:after="0"/>
        <w:ind w:left="1080" w:hanging="630"/>
        <w:jc w:val="both"/>
        <w:rPr>
          <w:rFonts w:cs="Arial"/>
          <w:lang w:val="pt-BR"/>
        </w:rPr>
      </w:pPr>
      <w:r w:rsidRPr="005C6F16">
        <w:rPr>
          <w:rFonts w:cs="Arial"/>
          <w:lang w:val="pt-BR"/>
        </w:rPr>
        <w:t>É comum nos seres humanos e não está necessariamente associada à falta de higiene. Porém, é mais frequente em locais com aglomerações e com húmidade.</w:t>
      </w:r>
    </w:p>
    <w:p w:rsidR="00702601" w:rsidRPr="00704E7F" w:rsidRDefault="00702601" w:rsidP="00C52E09">
      <w:pPr>
        <w:numPr>
          <w:ilvl w:val="0"/>
          <w:numId w:val="132"/>
        </w:numPr>
        <w:spacing w:before="120" w:after="0"/>
        <w:ind w:left="450" w:hanging="450"/>
        <w:jc w:val="both"/>
        <w:rPr>
          <w:rFonts w:cs="Arial"/>
          <w:b/>
        </w:rPr>
      </w:pPr>
      <w:r w:rsidRPr="00704E7F">
        <w:rPr>
          <w:rFonts w:cs="Arial"/>
          <w:b/>
        </w:rPr>
        <w:t>Carraças.</w:t>
      </w:r>
    </w:p>
    <w:p w:rsidR="00702601" w:rsidRPr="005C6F16" w:rsidRDefault="00702601" w:rsidP="00C52E09">
      <w:pPr>
        <w:numPr>
          <w:ilvl w:val="0"/>
          <w:numId w:val="134"/>
        </w:numPr>
        <w:spacing w:before="120" w:after="0"/>
        <w:ind w:left="1080" w:hanging="630"/>
        <w:jc w:val="both"/>
        <w:rPr>
          <w:rFonts w:cs="Arial"/>
          <w:lang w:val="pt-BR"/>
        </w:rPr>
      </w:pPr>
      <w:r w:rsidRPr="005C6F16">
        <w:rPr>
          <w:rFonts w:cs="Arial"/>
          <w:lang w:val="pt-BR"/>
        </w:rPr>
        <w:t>São artrópodos arácnidos de pequeno tamanho, que se alimentam do sangue dos mamíferos (entre eles o ser humano)</w:t>
      </w:r>
      <w:r w:rsidRPr="005C6F16" w:rsidDel="00E837C5">
        <w:rPr>
          <w:rFonts w:cs="Arial"/>
          <w:lang w:val="pt-BR"/>
        </w:rPr>
        <w:t xml:space="preserve"> </w:t>
      </w:r>
      <w:r w:rsidRPr="005C6F16">
        <w:rPr>
          <w:rFonts w:cs="Arial"/>
          <w:lang w:val="pt-BR"/>
        </w:rPr>
        <w:t>que parasitam.</w:t>
      </w:r>
    </w:p>
    <w:p w:rsidR="00702601" w:rsidRPr="005C6F16" w:rsidRDefault="00702601" w:rsidP="00702601">
      <w:pPr>
        <w:spacing w:before="120"/>
        <w:ind w:left="1080"/>
        <w:jc w:val="center"/>
        <w:rPr>
          <w:rFonts w:cs="Arial"/>
          <w:lang w:val="pt-BR"/>
        </w:rPr>
      </w:pPr>
      <w:r>
        <w:rPr>
          <w:rFonts w:cs="Arial"/>
          <w:noProof/>
          <w:lang w:val="en-ZW" w:eastAsia="en-ZW"/>
        </w:rPr>
        <w:drawing>
          <wp:inline distT="0" distB="0" distL="0" distR="0" wp14:anchorId="6F625943" wp14:editId="2B0752A8">
            <wp:extent cx="4201160" cy="2250219"/>
            <wp:effectExtent l="19050" t="0" r="8890" b="0"/>
            <wp:docPr id="197" name="Object 3"/>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5025726" cy="3702605"/>
                      <a:chOff x="1835696" y="1196752"/>
                      <a:chExt cx="5025726" cy="3702605"/>
                    </a:xfrm>
                  </a:grpSpPr>
                  <a:grpSp>
                    <a:nvGrpSpPr>
                      <a:cNvPr id="4" name="Group 3"/>
                      <a:cNvGrpSpPr/>
                    </a:nvGrpSpPr>
                    <a:grpSpPr>
                      <a:xfrm>
                        <a:off x="1835696" y="1196752"/>
                        <a:ext cx="5025726" cy="3702605"/>
                        <a:chOff x="1835696" y="1196752"/>
                        <a:chExt cx="5025726" cy="3702605"/>
                      </a:xfrm>
                    </a:grpSpPr>
                    <a:pic>
                      <a:nvPicPr>
                        <a:cNvPr id="55298" name="Picture 2" descr="http://pathmicro.med.sc.edu/lyme.jpg"/>
                        <a:cNvPicPr>
                          <a:picLocks noChangeAspect="1" noChangeArrowheads="1"/>
                        </a:cNvPicPr>
                      </a:nvPicPr>
                      <a:blipFill>
                        <a:blip r:embed="rId128"/>
                        <a:srcRect/>
                        <a:stretch>
                          <a:fillRect/>
                        </a:stretch>
                      </a:blipFill>
                      <a:spPr bwMode="auto">
                        <a:xfrm>
                          <a:off x="1835696" y="1196752"/>
                          <a:ext cx="5025726" cy="3384376"/>
                        </a:xfrm>
                        <a:prstGeom prst="rect">
                          <a:avLst/>
                        </a:prstGeom>
                        <a:noFill/>
                      </a:spPr>
                    </a:pic>
                    <a:sp>
                      <a:nvSpPr>
                        <a:cNvPr id="3" name="Rectangle 2"/>
                        <a:cNvSpPr/>
                      </a:nvSpPr>
                      <a:spPr>
                        <a:xfrm>
                          <a:off x="3419872" y="4653136"/>
                          <a:ext cx="2268570" cy="246221"/>
                        </a:xfrm>
                        <a:prstGeom prst="rect">
                          <a:avLst/>
                        </a:prstGeom>
                      </a:spPr>
                      <a:txSp>
                        <a:txBody>
                          <a:bodyPr wrap="none">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000" dirty="0" smtClean="0"/>
                              <a:t>http://pathmicro.med.sc.edu/lyme.jpg</a:t>
                            </a:r>
                            <a:endParaRPr lang="en-GB" sz="1000" dirty="0"/>
                          </a:p>
                        </a:txBody>
                        <a:useSpRect/>
                      </a:txSp>
                    </a:sp>
                  </a:grpSp>
                </lc:lockedCanvas>
              </a:graphicData>
            </a:graphic>
          </wp:inline>
        </w:drawing>
      </w:r>
    </w:p>
    <w:p w:rsidR="00702601" w:rsidRPr="005C6F16" w:rsidRDefault="00C46A1F" w:rsidP="00702601">
      <w:pPr>
        <w:pStyle w:val="TM-3"/>
        <w:ind w:left="1418" w:right="567" w:firstLine="0"/>
        <w:jc w:val="center"/>
      </w:pPr>
      <w:r w:rsidRPr="00C46A1F">
        <w:rPr>
          <w:b/>
        </w:rPr>
        <w:t>Figura 3:</w:t>
      </w:r>
      <w:r w:rsidR="00702601" w:rsidRPr="005C6F16">
        <w:t xml:space="preserve"> Imagem de um adulto de carraça</w:t>
      </w:r>
    </w:p>
    <w:p w:rsidR="00702601" w:rsidRPr="005C6F16" w:rsidRDefault="00702601" w:rsidP="00C52E09">
      <w:pPr>
        <w:numPr>
          <w:ilvl w:val="0"/>
          <w:numId w:val="134"/>
        </w:numPr>
        <w:spacing w:before="120" w:after="0"/>
        <w:ind w:left="1080" w:hanging="630"/>
        <w:jc w:val="both"/>
        <w:rPr>
          <w:rFonts w:cs="Arial"/>
        </w:rPr>
      </w:pPr>
      <w:r w:rsidRPr="005C6F16">
        <w:rPr>
          <w:rFonts w:cs="Arial"/>
          <w:lang w:val="pt-BR"/>
        </w:rPr>
        <w:lastRenderedPageBreak/>
        <w:t xml:space="preserve">As carraças servem como vectores a uma grande quantidade de doenças causadas por diferentes microrganismos. </w:t>
      </w:r>
      <w:r w:rsidRPr="005C6F16">
        <w:rPr>
          <w:rFonts w:cs="Arial"/>
        </w:rPr>
        <w:t>Entre elas, podem-se indicar as seguintes:</w:t>
      </w:r>
    </w:p>
    <w:p w:rsidR="00702601" w:rsidRPr="005C6F16" w:rsidRDefault="00702601" w:rsidP="00702601">
      <w:pPr>
        <w:pStyle w:val="TM-4n"/>
        <w:tabs>
          <w:tab w:val="clear" w:pos="458"/>
          <w:tab w:val="clear" w:pos="1134"/>
        </w:tabs>
        <w:spacing w:before="120" w:after="0" w:line="276" w:lineRule="auto"/>
        <w:ind w:left="1440"/>
      </w:pPr>
      <w:r w:rsidRPr="005C6F16">
        <w:t>Bactérias Febre recorrente por mordedura de carraça</w:t>
      </w:r>
    </w:p>
    <w:p w:rsidR="00702601" w:rsidRPr="005C6F16" w:rsidRDefault="00702601" w:rsidP="00702601">
      <w:pPr>
        <w:pStyle w:val="TM-4n"/>
        <w:tabs>
          <w:tab w:val="clear" w:pos="458"/>
          <w:tab w:val="clear" w:pos="1134"/>
        </w:tabs>
        <w:spacing w:before="120" w:after="0" w:line="276" w:lineRule="auto"/>
        <w:ind w:left="1440"/>
      </w:pPr>
      <w:r w:rsidRPr="005C6F16">
        <w:t>Vírus. Meningoencefalite</w:t>
      </w:r>
    </w:p>
    <w:p w:rsidR="00702601" w:rsidRPr="005C6F16" w:rsidRDefault="00702601" w:rsidP="00702601">
      <w:pPr>
        <w:pStyle w:val="TM-4n"/>
        <w:tabs>
          <w:tab w:val="clear" w:pos="458"/>
          <w:tab w:val="clear" w:pos="1134"/>
        </w:tabs>
        <w:spacing w:before="120" w:after="0" w:line="276" w:lineRule="auto"/>
        <w:ind w:left="1440"/>
      </w:pPr>
      <w:r w:rsidRPr="005C6F16">
        <w:t>Protozoários. Babesiose</w:t>
      </w:r>
    </w:p>
    <w:p w:rsidR="00702601" w:rsidRDefault="00702601" w:rsidP="00C52E09">
      <w:pPr>
        <w:numPr>
          <w:ilvl w:val="0"/>
          <w:numId w:val="134"/>
        </w:numPr>
        <w:spacing w:before="120" w:after="0"/>
        <w:ind w:left="1080" w:hanging="630"/>
        <w:jc w:val="both"/>
        <w:rPr>
          <w:rFonts w:cs="Arial"/>
          <w:lang w:val="pt-BR"/>
        </w:rPr>
      </w:pPr>
      <w:r w:rsidRPr="005C6F16">
        <w:rPr>
          <w:rFonts w:cs="Arial"/>
          <w:lang w:val="pt-BR"/>
        </w:rPr>
        <w:t>As medidas de controlo das carraças estão associadas as medidas de controlo sanitário de animais domésticos.</w:t>
      </w:r>
    </w:p>
    <w:p w:rsidR="007438CC" w:rsidRPr="00704E7F" w:rsidRDefault="007438CC" w:rsidP="007438CC">
      <w:pPr>
        <w:spacing w:before="120" w:after="0"/>
        <w:ind w:left="1080"/>
        <w:jc w:val="both"/>
        <w:rPr>
          <w:rFonts w:cs="Arial"/>
          <w:lang w:val="pt-BR"/>
        </w:rPr>
      </w:pPr>
    </w:p>
    <w:p w:rsidR="00702601" w:rsidRPr="00702601" w:rsidRDefault="00702601" w:rsidP="00702601">
      <w:pPr>
        <w:shd w:val="clear" w:color="auto" w:fill="B8CCE4"/>
        <w:tabs>
          <w:tab w:val="left" w:pos="1276"/>
          <w:tab w:val="right" w:pos="8550"/>
        </w:tabs>
        <w:spacing w:before="120" w:after="120"/>
        <w:ind w:right="2"/>
        <w:jc w:val="both"/>
        <w:rPr>
          <w:rFonts w:eastAsia="Calibri" w:cs="Arial"/>
          <w:b/>
          <w:lang w:val="pt-BR"/>
        </w:rPr>
      </w:pPr>
      <w:r w:rsidRPr="00702601">
        <w:rPr>
          <w:rFonts w:eastAsia="Calibri" w:cs="Arial"/>
          <w:b/>
          <w:lang w:val="pt-BR"/>
        </w:rPr>
        <w:t>BLOCO 4: PRINCIPAIS DOENÇAS CAUSADAS POR INSECTOS</w:t>
      </w:r>
    </w:p>
    <w:p w:rsidR="00702601" w:rsidRPr="00704E7F" w:rsidRDefault="00702601" w:rsidP="00C52E09">
      <w:pPr>
        <w:numPr>
          <w:ilvl w:val="0"/>
          <w:numId w:val="135"/>
        </w:numPr>
        <w:spacing w:before="120" w:after="0"/>
        <w:ind w:left="450" w:hanging="450"/>
        <w:jc w:val="both"/>
        <w:rPr>
          <w:rFonts w:cs="Arial"/>
          <w:b/>
          <w:i/>
        </w:rPr>
      </w:pPr>
      <w:r w:rsidRPr="00704E7F">
        <w:rPr>
          <w:rFonts w:cs="Arial"/>
          <w:b/>
          <w:i/>
        </w:rPr>
        <w:t>Anopheles spp.</w:t>
      </w:r>
    </w:p>
    <w:p w:rsidR="00702601" w:rsidRPr="005C6F16" w:rsidRDefault="00702601" w:rsidP="00C52E09">
      <w:pPr>
        <w:numPr>
          <w:ilvl w:val="0"/>
          <w:numId w:val="136"/>
        </w:numPr>
        <w:spacing w:before="120" w:after="0"/>
        <w:ind w:left="1080" w:hanging="630"/>
        <w:jc w:val="both"/>
        <w:rPr>
          <w:rFonts w:cs="Arial"/>
          <w:lang w:val="pt-BR"/>
        </w:rPr>
      </w:pPr>
      <w:r w:rsidRPr="005C6F16">
        <w:rPr>
          <w:rFonts w:cs="Arial"/>
          <w:lang w:val="pt-BR"/>
        </w:rPr>
        <w:t>Mosquito vector da malária, que alberga a fase sexuada do ciclo do plasmódio.</w:t>
      </w:r>
    </w:p>
    <w:p w:rsidR="00702601" w:rsidRPr="005C6F16" w:rsidRDefault="00702601" w:rsidP="00702601">
      <w:pPr>
        <w:spacing w:before="120"/>
        <w:ind w:left="1080"/>
        <w:jc w:val="center"/>
        <w:rPr>
          <w:rFonts w:cs="Arial"/>
          <w:lang w:val="pt-BR"/>
        </w:rPr>
      </w:pPr>
      <w:r>
        <w:rPr>
          <w:rFonts w:cs="Arial"/>
          <w:noProof/>
          <w:lang w:val="en-ZW" w:eastAsia="en-ZW"/>
        </w:rPr>
        <w:drawing>
          <wp:inline distT="0" distB="0" distL="0" distR="0" wp14:anchorId="52FABF7C" wp14:editId="7890EAAF">
            <wp:extent cx="3066028" cy="1653871"/>
            <wp:effectExtent l="19050" t="0" r="1022" b="0"/>
            <wp:docPr id="196" name="Object 4"/>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953000" cy="3831232"/>
                      <a:chOff x="1763688" y="692696"/>
                      <a:chExt cx="4953000" cy="3831232"/>
                    </a:xfrm>
                  </a:grpSpPr>
                  <a:grpSp>
                    <a:nvGrpSpPr>
                      <a:cNvPr id="4" name="Group 3"/>
                      <a:cNvGrpSpPr/>
                    </a:nvGrpSpPr>
                    <a:grpSpPr>
                      <a:xfrm>
                        <a:off x="1763688" y="692696"/>
                        <a:ext cx="4953000" cy="3831232"/>
                        <a:chOff x="1763688" y="692696"/>
                        <a:chExt cx="4953000" cy="3831232"/>
                      </a:xfrm>
                    </a:grpSpPr>
                    <a:pic>
                      <a:nvPicPr>
                        <a:cNvPr id="56322" name="Picture 2" descr="http://colli239.fts.educ.msu.edu/wp-content/uploads/2009/05/kenya2006cc.jpg"/>
                        <a:cNvPicPr>
                          <a:picLocks noChangeAspect="1" noChangeArrowheads="1"/>
                        </a:cNvPicPr>
                      </a:nvPicPr>
                      <a:blipFill>
                        <a:blip r:embed="rId129"/>
                        <a:srcRect/>
                        <a:stretch>
                          <a:fillRect/>
                        </a:stretch>
                      </a:blipFill>
                      <a:spPr bwMode="auto">
                        <a:xfrm>
                          <a:off x="1763688" y="692696"/>
                          <a:ext cx="4953000" cy="3810000"/>
                        </a:xfrm>
                        <a:prstGeom prst="rect">
                          <a:avLst/>
                        </a:prstGeom>
                        <a:noFill/>
                      </a:spPr>
                    </a:pic>
                    <a:sp>
                      <a:nvSpPr>
                        <a:cNvPr id="3" name="Rectangle 2"/>
                        <a:cNvSpPr/>
                      </a:nvSpPr>
                      <a:spPr>
                        <a:xfrm>
                          <a:off x="1907704" y="4293096"/>
                          <a:ext cx="4572000" cy="230832"/>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900" dirty="0" smtClean="0"/>
                              <a:t>http://colli239.fts.educ.msu.edu/wp-content/uploads/2009/05/kenya2006cc.jpg</a:t>
                            </a:r>
                            <a:endParaRPr lang="en-GB" sz="900" dirty="0"/>
                          </a:p>
                        </a:txBody>
                        <a:useSpRect/>
                      </a:txSp>
                    </a:sp>
                  </a:grpSp>
                </lc:lockedCanvas>
              </a:graphicData>
            </a:graphic>
          </wp:inline>
        </w:drawing>
      </w:r>
    </w:p>
    <w:p w:rsidR="00702601" w:rsidRPr="005C6F16" w:rsidRDefault="00C46A1F" w:rsidP="00702601">
      <w:pPr>
        <w:pStyle w:val="TM-3"/>
        <w:ind w:left="1418" w:right="567" w:firstLine="0"/>
        <w:jc w:val="center"/>
      </w:pPr>
      <w:r w:rsidRPr="00C46A1F">
        <w:rPr>
          <w:b/>
        </w:rPr>
        <w:t>Figura 4:</w:t>
      </w:r>
      <w:r w:rsidR="00702601" w:rsidRPr="005C6F16">
        <w:t xml:space="preserve"> Imagem de um mosquito Anopheles picando um ser humano</w:t>
      </w:r>
    </w:p>
    <w:p w:rsidR="00702601" w:rsidRPr="005C6F16" w:rsidRDefault="00702601" w:rsidP="00C52E09">
      <w:pPr>
        <w:numPr>
          <w:ilvl w:val="0"/>
          <w:numId w:val="136"/>
        </w:numPr>
        <w:spacing w:before="120" w:after="0"/>
        <w:ind w:left="1080" w:hanging="630"/>
        <w:jc w:val="both"/>
        <w:rPr>
          <w:rFonts w:cs="Arial"/>
        </w:rPr>
      </w:pPr>
      <w:r w:rsidRPr="005C6F16">
        <w:rPr>
          <w:rFonts w:cs="Arial"/>
        </w:rPr>
        <w:t>Tem hábitos principalmente nocturnos.</w:t>
      </w:r>
    </w:p>
    <w:p w:rsidR="00702601" w:rsidRPr="005C6F16" w:rsidRDefault="00702601" w:rsidP="00C52E09">
      <w:pPr>
        <w:numPr>
          <w:ilvl w:val="0"/>
          <w:numId w:val="136"/>
        </w:numPr>
        <w:spacing w:before="120" w:after="0"/>
        <w:ind w:left="1080" w:hanging="630"/>
        <w:jc w:val="both"/>
        <w:rPr>
          <w:rFonts w:cs="Arial"/>
          <w:lang w:val="pt-BR"/>
        </w:rPr>
      </w:pPr>
      <w:r w:rsidRPr="005C6F16">
        <w:rPr>
          <w:rFonts w:cs="Arial"/>
          <w:lang w:val="pt-BR"/>
        </w:rPr>
        <w:t>As fêmeas são hematófagas (alimentam-se de sangue), e transmitem a malária quando picam o ser humano, injectando os plasmódios (sporozoitos) localizados nas suas glândulas salivares. Tem a particularidade de que ao picar o ser humano adopta a posição oblíqua do seu corpo.</w:t>
      </w:r>
    </w:p>
    <w:p w:rsidR="00702601" w:rsidRPr="005C6F16" w:rsidRDefault="00702601" w:rsidP="00C52E09">
      <w:pPr>
        <w:numPr>
          <w:ilvl w:val="0"/>
          <w:numId w:val="136"/>
        </w:numPr>
        <w:spacing w:before="120" w:after="0"/>
        <w:ind w:left="1080" w:hanging="630"/>
        <w:jc w:val="both"/>
        <w:rPr>
          <w:rFonts w:cs="Arial"/>
          <w:lang w:val="pt-BR"/>
        </w:rPr>
      </w:pPr>
      <w:r w:rsidRPr="005C6F16">
        <w:rPr>
          <w:rFonts w:cs="Arial"/>
          <w:lang w:val="pt-BR"/>
        </w:rPr>
        <w:t>O desenvolvimento do mosquito adulto ocorre nas águas com sal ou doces, limpas, pouco turvas e parcialmente sombreadas.</w:t>
      </w:r>
    </w:p>
    <w:p w:rsidR="00702601" w:rsidRPr="00704E7F" w:rsidRDefault="00702601" w:rsidP="00C52E09">
      <w:pPr>
        <w:numPr>
          <w:ilvl w:val="0"/>
          <w:numId w:val="135"/>
        </w:numPr>
        <w:spacing w:before="120" w:after="0"/>
        <w:ind w:left="450" w:hanging="450"/>
        <w:jc w:val="both"/>
        <w:rPr>
          <w:rFonts w:cs="Arial"/>
          <w:b/>
          <w:i/>
        </w:rPr>
      </w:pPr>
      <w:r w:rsidRPr="00704E7F">
        <w:rPr>
          <w:rFonts w:cs="Arial"/>
          <w:b/>
          <w:i/>
        </w:rPr>
        <w:t>Aedes aegyptis.</w:t>
      </w:r>
    </w:p>
    <w:p w:rsidR="00702601" w:rsidRPr="005C6F16" w:rsidRDefault="00702601" w:rsidP="00C52E09">
      <w:pPr>
        <w:numPr>
          <w:ilvl w:val="0"/>
          <w:numId w:val="137"/>
        </w:numPr>
        <w:spacing w:before="120" w:after="0"/>
        <w:ind w:left="1080" w:hanging="630"/>
        <w:jc w:val="both"/>
        <w:rPr>
          <w:rFonts w:cs="Arial"/>
          <w:lang w:val="pt-BR"/>
        </w:rPr>
      </w:pPr>
      <w:r w:rsidRPr="005C6F16">
        <w:rPr>
          <w:rFonts w:cs="Arial"/>
          <w:lang w:val="pt-BR"/>
        </w:rPr>
        <w:t>Mosquito vector de febre amarela e dengue.</w:t>
      </w:r>
    </w:p>
    <w:p w:rsidR="00702601" w:rsidRPr="005C6F16" w:rsidRDefault="00702601" w:rsidP="00702601">
      <w:pPr>
        <w:spacing w:before="120"/>
        <w:ind w:left="1080"/>
        <w:jc w:val="center"/>
        <w:rPr>
          <w:rFonts w:cs="Arial"/>
          <w:lang w:val="pt-BR"/>
        </w:rPr>
      </w:pPr>
      <w:r>
        <w:rPr>
          <w:rFonts w:cs="Arial"/>
          <w:noProof/>
          <w:lang w:val="en-ZW" w:eastAsia="en-ZW"/>
        </w:rPr>
        <w:drawing>
          <wp:inline distT="0" distB="0" distL="0" distR="0" wp14:anchorId="6A883854" wp14:editId="06E5D8FE">
            <wp:extent cx="3338319" cy="1981200"/>
            <wp:effectExtent l="6099" t="0" r="762" b="0"/>
            <wp:docPr id="195" name="Object 5"/>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333750" cy="2478469"/>
                      <a:chOff x="2051720" y="1124744"/>
                      <a:chExt cx="3333750" cy="2478469"/>
                    </a:xfrm>
                  </a:grpSpPr>
                  <a:grpSp>
                    <a:nvGrpSpPr>
                      <a:cNvPr id="4" name="Group 3"/>
                      <a:cNvGrpSpPr/>
                    </a:nvGrpSpPr>
                    <a:grpSpPr>
                      <a:xfrm>
                        <a:off x="2051720" y="1124744"/>
                        <a:ext cx="3333750" cy="2478469"/>
                        <a:chOff x="2051720" y="1124744"/>
                        <a:chExt cx="3333750" cy="2478469"/>
                      </a:xfrm>
                    </a:grpSpPr>
                    <a:pic>
                      <a:nvPicPr>
                        <a:cNvPr id="57346" name="Picture 2" descr="http://nd.edu/~dseverso/Aedesaegypti_adb3.jpg"/>
                        <a:cNvPicPr>
                          <a:picLocks noChangeAspect="1" noChangeArrowheads="1"/>
                        </a:cNvPicPr>
                      </a:nvPicPr>
                      <a:blipFill>
                        <a:blip r:embed="rId130"/>
                        <a:srcRect/>
                        <a:stretch>
                          <a:fillRect/>
                        </a:stretch>
                      </a:blipFill>
                      <a:spPr bwMode="auto">
                        <a:xfrm>
                          <a:off x="2051720" y="1124744"/>
                          <a:ext cx="3333750" cy="2209800"/>
                        </a:xfrm>
                        <a:prstGeom prst="rect">
                          <a:avLst/>
                        </a:prstGeom>
                        <a:noFill/>
                      </a:spPr>
                    </a:pic>
                    <a:sp>
                      <a:nvSpPr>
                        <a:cNvPr id="3" name="Rectangle 2"/>
                        <a:cNvSpPr/>
                      </a:nvSpPr>
                      <a:spPr>
                        <a:xfrm>
                          <a:off x="2195736" y="3356992"/>
                          <a:ext cx="3168352" cy="246221"/>
                        </a:xfrm>
                        <a:prstGeom prst="rect">
                          <a:avLst/>
                        </a:prstGeom>
                      </a:spPr>
                      <a:txSp>
                        <a:txBody>
                          <a:bodyPr wrap="square">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000" dirty="0" smtClean="0"/>
                              <a:t>http://nd.edu/~dseverso/Aedesaegypti_adb3.jpg</a:t>
                            </a:r>
                            <a:endParaRPr lang="en-GB" sz="1000" dirty="0"/>
                          </a:p>
                        </a:txBody>
                        <a:useSpRect/>
                      </a:txSp>
                    </a:sp>
                  </a:grpSp>
                </lc:lockedCanvas>
              </a:graphicData>
            </a:graphic>
          </wp:inline>
        </w:drawing>
      </w:r>
    </w:p>
    <w:p w:rsidR="00702601" w:rsidRDefault="00702601" w:rsidP="00702601">
      <w:pPr>
        <w:pStyle w:val="TM-3"/>
        <w:ind w:left="1418" w:right="567" w:firstLine="0"/>
        <w:jc w:val="center"/>
      </w:pPr>
      <w:r w:rsidRPr="00C46A1F">
        <w:rPr>
          <w:b/>
        </w:rPr>
        <w:t>Figura 5</w:t>
      </w:r>
      <w:r w:rsidR="00C46A1F" w:rsidRPr="00C46A1F">
        <w:rPr>
          <w:b/>
        </w:rPr>
        <w:t>:</w:t>
      </w:r>
      <w:r w:rsidRPr="005C6F16">
        <w:t xml:space="preserve"> Imagem de um mosquito Aedes picando um ser humano</w:t>
      </w:r>
    </w:p>
    <w:p w:rsidR="00702601" w:rsidRPr="005C6F16" w:rsidRDefault="00702601" w:rsidP="00C52E09">
      <w:pPr>
        <w:numPr>
          <w:ilvl w:val="0"/>
          <w:numId w:val="137"/>
        </w:numPr>
        <w:spacing w:before="120" w:after="0"/>
        <w:ind w:left="1080" w:hanging="630"/>
        <w:jc w:val="both"/>
        <w:rPr>
          <w:rFonts w:cs="Arial"/>
          <w:lang w:val="pt-BR"/>
        </w:rPr>
      </w:pPr>
      <w:r w:rsidRPr="005C6F16">
        <w:rPr>
          <w:rFonts w:cs="Arial"/>
          <w:lang w:val="pt-BR"/>
        </w:rPr>
        <w:lastRenderedPageBreak/>
        <w:t>Tem alta afinidade pelo ser humano, e está presente em praticamente todo o mundo.</w:t>
      </w:r>
    </w:p>
    <w:p w:rsidR="00702601" w:rsidRPr="005C6F16" w:rsidRDefault="00702601" w:rsidP="00C52E09">
      <w:pPr>
        <w:numPr>
          <w:ilvl w:val="0"/>
          <w:numId w:val="137"/>
        </w:numPr>
        <w:spacing w:before="120" w:after="0"/>
        <w:ind w:left="1080" w:hanging="630"/>
        <w:jc w:val="both"/>
        <w:rPr>
          <w:rFonts w:cs="Arial"/>
          <w:lang w:val="pt-BR"/>
        </w:rPr>
      </w:pPr>
      <w:r w:rsidRPr="005C6F16">
        <w:rPr>
          <w:rFonts w:cs="Arial"/>
          <w:lang w:val="pt-BR"/>
        </w:rPr>
        <w:t>Pode picar em qualquer momento do dia, especialmente ao amanhecer e ao cair da tarde.</w:t>
      </w:r>
    </w:p>
    <w:p w:rsidR="00702601" w:rsidRPr="005C6F16" w:rsidRDefault="00702601" w:rsidP="00C52E09">
      <w:pPr>
        <w:numPr>
          <w:ilvl w:val="0"/>
          <w:numId w:val="137"/>
        </w:numPr>
        <w:spacing w:before="120" w:after="0"/>
        <w:ind w:left="1080" w:hanging="630"/>
        <w:jc w:val="both"/>
        <w:rPr>
          <w:rFonts w:cs="Arial"/>
        </w:rPr>
      </w:pPr>
      <w:r w:rsidRPr="005C6F16">
        <w:rPr>
          <w:rFonts w:cs="Arial"/>
        </w:rPr>
        <w:t>Não é frequente em Moçambique</w:t>
      </w:r>
    </w:p>
    <w:p w:rsidR="00702601" w:rsidRPr="00704E7F" w:rsidRDefault="00702601" w:rsidP="00C52E09">
      <w:pPr>
        <w:numPr>
          <w:ilvl w:val="0"/>
          <w:numId w:val="135"/>
        </w:numPr>
        <w:spacing w:before="120" w:after="0"/>
        <w:ind w:left="450" w:hanging="450"/>
        <w:jc w:val="both"/>
        <w:rPr>
          <w:rFonts w:cs="Arial"/>
          <w:b/>
          <w:i/>
        </w:rPr>
      </w:pPr>
      <w:r w:rsidRPr="00704E7F">
        <w:rPr>
          <w:rFonts w:cs="Arial"/>
          <w:b/>
          <w:i/>
        </w:rPr>
        <w:t>Culex spp.</w:t>
      </w:r>
    </w:p>
    <w:p w:rsidR="00702601" w:rsidRPr="005C6F16" w:rsidRDefault="00702601" w:rsidP="00C52E09">
      <w:pPr>
        <w:numPr>
          <w:ilvl w:val="0"/>
          <w:numId w:val="138"/>
        </w:numPr>
        <w:spacing w:before="120" w:after="0"/>
        <w:ind w:left="1080" w:hanging="630"/>
        <w:jc w:val="both"/>
        <w:rPr>
          <w:rFonts w:cs="Arial"/>
          <w:lang w:val="pt-BR"/>
        </w:rPr>
      </w:pPr>
      <w:r w:rsidRPr="005C6F16">
        <w:rPr>
          <w:rFonts w:cs="Arial"/>
          <w:lang w:val="pt-BR"/>
        </w:rPr>
        <w:t>Mosquito vector da filaríase linfática.</w:t>
      </w:r>
    </w:p>
    <w:p w:rsidR="00702601" w:rsidRPr="005C6F16" w:rsidRDefault="00702601" w:rsidP="00702601">
      <w:pPr>
        <w:spacing w:before="120"/>
        <w:ind w:left="1080"/>
        <w:jc w:val="both"/>
        <w:rPr>
          <w:rFonts w:cs="Arial"/>
          <w:lang w:val="pt-BR"/>
        </w:rPr>
      </w:pPr>
      <w:r>
        <w:rPr>
          <w:rFonts w:cs="Arial"/>
          <w:noProof/>
          <w:lang w:val="en-ZW" w:eastAsia="en-ZW"/>
        </w:rPr>
        <w:drawing>
          <wp:inline distT="0" distB="0" distL="0" distR="0" wp14:anchorId="3AC24005" wp14:editId="491EDF0D">
            <wp:extent cx="3794760" cy="1973580"/>
            <wp:effectExtent l="0" t="0" r="0" b="0"/>
            <wp:docPr id="194" name="Object 6"/>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572000" cy="2879740"/>
                      <a:chOff x="4067944" y="404664"/>
                      <a:chExt cx="4572000" cy="2879740"/>
                    </a:xfrm>
                  </a:grpSpPr>
                  <a:grpSp>
                    <a:nvGrpSpPr>
                      <a:cNvPr id="7" name="Group 6"/>
                      <a:cNvGrpSpPr/>
                    </a:nvGrpSpPr>
                    <a:grpSpPr>
                      <a:xfrm>
                        <a:off x="4067944" y="404664"/>
                        <a:ext cx="4572000" cy="2879740"/>
                        <a:chOff x="4067944" y="404664"/>
                        <a:chExt cx="4572000" cy="2879740"/>
                      </a:xfrm>
                    </a:grpSpPr>
                    <a:pic>
                      <a:nvPicPr>
                        <a:cNvPr id="57348" name="Picture 4" descr="http://extension.entm.purdue.edu/publichealth/images/mosquito/popups/mosquito03.jpg"/>
                        <a:cNvPicPr>
                          <a:picLocks noChangeAspect="1" noChangeArrowheads="1"/>
                        </a:cNvPicPr>
                      </a:nvPicPr>
                      <a:blipFill>
                        <a:blip r:embed="rId131"/>
                        <a:srcRect/>
                        <a:stretch>
                          <a:fillRect/>
                        </a:stretch>
                      </a:blipFill>
                      <a:spPr bwMode="auto">
                        <a:xfrm>
                          <a:off x="4427984" y="404664"/>
                          <a:ext cx="3787180" cy="2623975"/>
                        </a:xfrm>
                        <a:prstGeom prst="rect">
                          <a:avLst/>
                        </a:prstGeom>
                        <a:noFill/>
                      </a:spPr>
                    </a:pic>
                    <a:sp>
                      <a:nvSpPr>
                        <a:cNvPr id="6" name="Rectangle 5"/>
                        <a:cNvSpPr/>
                      </a:nvSpPr>
                      <a:spPr>
                        <a:xfrm>
                          <a:off x="4067944" y="3068960"/>
                          <a:ext cx="4572000" cy="215444"/>
                        </a:xfrm>
                        <a:prstGeom prst="rect">
                          <a:avLst/>
                        </a:prstGeom>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800" dirty="0" smtClean="0"/>
                              <a:t>http://extension.entm.purdue.edu/publichealth/images/mosquito/popups/mosquito03.jpg</a:t>
                            </a:r>
                            <a:endParaRPr lang="en-GB" sz="800" dirty="0"/>
                          </a:p>
                        </a:txBody>
                        <a:useSpRect/>
                      </a:txSp>
                    </a:sp>
                  </a:grpSp>
                </lc:lockedCanvas>
              </a:graphicData>
            </a:graphic>
          </wp:inline>
        </w:drawing>
      </w:r>
    </w:p>
    <w:p w:rsidR="00702601" w:rsidRPr="005C6F16" w:rsidRDefault="00702601" w:rsidP="00702601">
      <w:pPr>
        <w:pStyle w:val="TM-3"/>
        <w:ind w:left="1418" w:right="567" w:firstLine="0"/>
        <w:jc w:val="center"/>
      </w:pPr>
      <w:r w:rsidRPr="00C46A1F">
        <w:rPr>
          <w:b/>
        </w:rPr>
        <w:t>Figura 6</w:t>
      </w:r>
      <w:r w:rsidR="00C46A1F" w:rsidRPr="00C46A1F">
        <w:rPr>
          <w:b/>
        </w:rPr>
        <w:t>:</w:t>
      </w:r>
      <w:r w:rsidRPr="005C6F16">
        <w:t xml:space="preserve"> Imagem de um mosquito Culex picando um ser humano</w:t>
      </w:r>
    </w:p>
    <w:p w:rsidR="00702601" w:rsidRPr="005C6F16" w:rsidRDefault="00702601" w:rsidP="00C52E09">
      <w:pPr>
        <w:numPr>
          <w:ilvl w:val="0"/>
          <w:numId w:val="138"/>
        </w:numPr>
        <w:spacing w:before="120" w:after="0"/>
        <w:ind w:left="1080" w:hanging="630"/>
        <w:jc w:val="both"/>
        <w:rPr>
          <w:rFonts w:cs="Arial"/>
          <w:lang w:val="pt-BR"/>
        </w:rPr>
      </w:pPr>
      <w:r w:rsidRPr="005C6F16">
        <w:rPr>
          <w:rFonts w:cs="Arial"/>
          <w:lang w:val="pt-BR"/>
        </w:rPr>
        <w:t>As larvas se desenvolvem em águas estagnadas, muito frequentemente em recipientes artificiais.</w:t>
      </w:r>
    </w:p>
    <w:p w:rsidR="00702601" w:rsidRPr="005C6F16" w:rsidRDefault="00702601" w:rsidP="00C52E09">
      <w:pPr>
        <w:numPr>
          <w:ilvl w:val="0"/>
          <w:numId w:val="138"/>
        </w:numPr>
        <w:spacing w:before="120" w:after="0"/>
        <w:ind w:left="1080" w:hanging="630"/>
        <w:jc w:val="both"/>
        <w:rPr>
          <w:rFonts w:cs="Arial"/>
          <w:lang w:val="pt-BR"/>
        </w:rPr>
      </w:pPr>
      <w:r w:rsidRPr="005C6F16">
        <w:rPr>
          <w:rFonts w:cs="Arial"/>
          <w:lang w:val="pt-BR"/>
        </w:rPr>
        <w:t>Tem alta afinidade pelo ser humano, e por tanto, está considerado como um insecto doméstico.</w:t>
      </w:r>
    </w:p>
    <w:p w:rsidR="00702601" w:rsidRPr="00704E7F" w:rsidRDefault="00702601" w:rsidP="00C52E09">
      <w:pPr>
        <w:numPr>
          <w:ilvl w:val="0"/>
          <w:numId w:val="135"/>
        </w:numPr>
        <w:spacing w:before="120" w:after="0"/>
        <w:ind w:left="450" w:hanging="450"/>
        <w:jc w:val="both"/>
        <w:rPr>
          <w:rFonts w:cs="Arial"/>
          <w:b/>
          <w:i/>
        </w:rPr>
      </w:pPr>
      <w:r w:rsidRPr="00704E7F">
        <w:rPr>
          <w:rFonts w:cs="Arial"/>
          <w:b/>
          <w:i/>
        </w:rPr>
        <w:t>Pediculus humanus.</w:t>
      </w:r>
    </w:p>
    <w:p w:rsidR="00702601" w:rsidRPr="005C6F16" w:rsidRDefault="00702601" w:rsidP="00C52E09">
      <w:pPr>
        <w:numPr>
          <w:ilvl w:val="0"/>
          <w:numId w:val="139"/>
        </w:numPr>
        <w:spacing w:before="120" w:after="0"/>
        <w:ind w:left="1080" w:hanging="630"/>
        <w:jc w:val="both"/>
        <w:rPr>
          <w:rFonts w:cs="Arial"/>
          <w:lang w:val="pt-BR"/>
        </w:rPr>
      </w:pPr>
      <w:r w:rsidRPr="005C6F16">
        <w:rPr>
          <w:rFonts w:cs="Arial"/>
          <w:lang w:val="pt-BR"/>
        </w:rPr>
        <w:t>São insectos sem asas, responsáveis pela pediculose, comumente conhecido por  piolho.</w:t>
      </w:r>
    </w:p>
    <w:p w:rsidR="00702601" w:rsidRPr="005C6F16" w:rsidRDefault="00702601" w:rsidP="00702601">
      <w:pPr>
        <w:spacing w:before="120"/>
        <w:ind w:left="1080"/>
        <w:jc w:val="center"/>
        <w:rPr>
          <w:rFonts w:cs="Arial"/>
          <w:lang w:val="pt-BR"/>
        </w:rPr>
      </w:pPr>
      <w:r>
        <w:rPr>
          <w:rFonts w:cs="Arial"/>
          <w:noProof/>
          <w:lang w:val="en-ZW" w:eastAsia="en-ZW"/>
        </w:rPr>
        <w:drawing>
          <wp:inline distT="0" distB="0" distL="0" distR="0" wp14:anchorId="405FCA64" wp14:editId="35E441E9">
            <wp:extent cx="4448285" cy="2417197"/>
            <wp:effectExtent l="19050" t="0" r="9415" b="0"/>
            <wp:docPr id="193" name="Object 7"/>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704855" cy="3615208"/>
                      <a:chOff x="611561" y="476672"/>
                      <a:chExt cx="7704855" cy="3615208"/>
                    </a:xfrm>
                  </a:grpSpPr>
                  <a:grpSp>
                    <a:nvGrpSpPr>
                      <a:cNvPr id="8" name="Group 7"/>
                      <a:cNvGrpSpPr/>
                    </a:nvGrpSpPr>
                    <a:grpSpPr>
                      <a:xfrm>
                        <a:off x="611561" y="476672"/>
                        <a:ext cx="7704855" cy="3615208"/>
                        <a:chOff x="611561" y="476672"/>
                        <a:chExt cx="7704855" cy="3615208"/>
                      </a:xfrm>
                    </a:grpSpPr>
                    <a:pic>
                      <a:nvPicPr>
                        <a:cNvPr id="58370" name="Picture 2" descr="http://pathmicro.med.sc.edu/parasitology/lice5.jpg"/>
                        <a:cNvPicPr>
                          <a:picLocks noChangeAspect="1" noChangeArrowheads="1"/>
                        </a:cNvPicPr>
                      </a:nvPicPr>
                      <a:blipFill>
                        <a:blip r:embed="rId132"/>
                        <a:srcRect/>
                        <a:stretch>
                          <a:fillRect/>
                        </a:stretch>
                      </a:blipFill>
                      <a:spPr bwMode="auto">
                        <a:xfrm>
                          <a:off x="611561" y="476673"/>
                          <a:ext cx="3528391" cy="3312368"/>
                        </a:xfrm>
                        <a:prstGeom prst="rect">
                          <a:avLst/>
                        </a:prstGeom>
                        <a:noFill/>
                      </a:spPr>
                    </a:pic>
                    <a:sp>
                      <a:nvSpPr>
                        <a:cNvPr id="3" name="Rectangle 2"/>
                        <a:cNvSpPr/>
                      </a:nvSpPr>
                      <a:spPr>
                        <a:xfrm>
                          <a:off x="899592" y="3861048"/>
                          <a:ext cx="2952328" cy="230832"/>
                        </a:xfrm>
                        <a:prstGeom prst="rect">
                          <a:avLst/>
                        </a:prstGeom>
                      </a:spPr>
                      <a:txSp>
                        <a:txBody>
                          <a:bodyPr wrap="square">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900" dirty="0" smtClean="0"/>
                              <a:t>http://pathmicro.med.sc.edu/parasitology/lice5.jpg</a:t>
                            </a:r>
                            <a:endParaRPr lang="en-GB" sz="900" dirty="0"/>
                          </a:p>
                        </a:txBody>
                        <a:useSpRect/>
                      </a:txSp>
                    </a:sp>
                    <a:pic>
                      <a:nvPicPr>
                        <a:cNvPr id="58372" name="Picture 4" descr="http://entnemdept.ufl.edu/creatures/urban/lice_nit.jpg"/>
                        <a:cNvPicPr>
                          <a:picLocks noChangeAspect="1" noChangeArrowheads="1"/>
                        </a:cNvPicPr>
                      </a:nvPicPr>
                      <a:blipFill>
                        <a:blip r:embed="rId133"/>
                        <a:srcRect/>
                        <a:stretch>
                          <a:fillRect/>
                        </a:stretch>
                      </a:blipFill>
                      <a:spPr bwMode="auto">
                        <a:xfrm>
                          <a:off x="4427984" y="476672"/>
                          <a:ext cx="3888432" cy="3240360"/>
                        </a:xfrm>
                        <a:prstGeom prst="rect">
                          <a:avLst/>
                        </a:prstGeom>
                        <a:noFill/>
                      </a:spPr>
                    </a:pic>
                    <a:sp>
                      <a:nvSpPr>
                        <a:cNvPr id="5" name="Rectangle 4"/>
                        <a:cNvSpPr/>
                      </a:nvSpPr>
                      <a:spPr>
                        <a:xfrm>
                          <a:off x="4716016" y="3861048"/>
                          <a:ext cx="3078088" cy="230832"/>
                        </a:xfrm>
                        <a:prstGeom prst="rect">
                          <a:avLst/>
                        </a:prstGeom>
                      </a:spPr>
                      <a:txSp>
                        <a:txBody>
                          <a:bodyPr wrap="square">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900" dirty="0" smtClean="0"/>
                              <a:t>http://entnemdept.ufl.edu/creatures/urban/lice_nit.jpg</a:t>
                            </a:r>
                            <a:endParaRPr lang="en-GB" sz="900" dirty="0"/>
                          </a:p>
                        </a:txBody>
                        <a:useSpRect/>
                      </a:txSp>
                    </a:sp>
                  </a:grpSp>
                </lc:lockedCanvas>
              </a:graphicData>
            </a:graphic>
          </wp:inline>
        </w:drawing>
      </w:r>
    </w:p>
    <w:p w:rsidR="00702601" w:rsidRPr="005C6F16" w:rsidRDefault="00702601" w:rsidP="00702601">
      <w:pPr>
        <w:pStyle w:val="TM-3"/>
        <w:ind w:left="1418" w:right="567" w:firstLine="0"/>
        <w:jc w:val="center"/>
      </w:pPr>
      <w:r w:rsidRPr="00C46A1F">
        <w:rPr>
          <w:b/>
        </w:rPr>
        <w:t>Figura 7</w:t>
      </w:r>
      <w:r w:rsidR="00C46A1F" w:rsidRPr="00C46A1F">
        <w:rPr>
          <w:b/>
        </w:rPr>
        <w:t>:</w:t>
      </w:r>
      <w:r w:rsidRPr="005C6F16">
        <w:t xml:space="preserve"> Imagens de adulto (à esquerda) e ovos (à direita) de Pediculus humanus  em cabelos humanos</w:t>
      </w:r>
    </w:p>
    <w:p w:rsidR="00702601" w:rsidRPr="005C6F16" w:rsidRDefault="00702601" w:rsidP="00C52E09">
      <w:pPr>
        <w:numPr>
          <w:ilvl w:val="0"/>
          <w:numId w:val="139"/>
        </w:numPr>
        <w:spacing w:before="120" w:after="0"/>
        <w:ind w:left="1080" w:hanging="630"/>
        <w:jc w:val="both"/>
        <w:rPr>
          <w:rFonts w:cs="Arial"/>
          <w:lang w:val="pt-BR"/>
        </w:rPr>
      </w:pPr>
      <w:r w:rsidRPr="00704E7F">
        <w:rPr>
          <w:rFonts w:cs="Arial"/>
          <w:lang w:val="pt-BR"/>
        </w:rPr>
        <w:t xml:space="preserve">O </w:t>
      </w:r>
      <w:r w:rsidRPr="00704E7F">
        <w:rPr>
          <w:rFonts w:cs="Arial"/>
          <w:i/>
          <w:lang w:val="pt-BR"/>
        </w:rPr>
        <w:t>Pediculus humanus</w:t>
      </w:r>
      <w:r w:rsidRPr="005C6F16">
        <w:rPr>
          <w:rFonts w:cs="Arial"/>
          <w:i/>
          <w:lang w:val="pt-BR"/>
        </w:rPr>
        <w:t xml:space="preserve"> </w:t>
      </w:r>
      <w:r w:rsidRPr="005C6F16">
        <w:rPr>
          <w:rFonts w:cs="Arial"/>
          <w:lang w:val="pt-BR"/>
        </w:rPr>
        <w:t xml:space="preserve"> é o agente da  pediculose na cabeça, colocando os seus ovos na base dos cabelos. Afecta especialmente as crianças e está associado a falta de higiene individual.</w:t>
      </w:r>
    </w:p>
    <w:p w:rsidR="00702601" w:rsidRPr="005C6F16" w:rsidRDefault="00702601" w:rsidP="00C52E09">
      <w:pPr>
        <w:numPr>
          <w:ilvl w:val="0"/>
          <w:numId w:val="139"/>
        </w:numPr>
        <w:spacing w:before="120" w:after="0"/>
        <w:ind w:left="1080" w:hanging="630"/>
        <w:jc w:val="both"/>
        <w:rPr>
          <w:rFonts w:cs="Arial"/>
          <w:lang w:val="pt-BR"/>
        </w:rPr>
      </w:pPr>
      <w:r w:rsidRPr="005C6F16">
        <w:rPr>
          <w:rFonts w:cs="Arial"/>
          <w:lang w:val="pt-BR"/>
        </w:rPr>
        <w:t>Os piolhos se transmitem por contacto próximo entre pessoas.</w:t>
      </w:r>
    </w:p>
    <w:p w:rsidR="00702601" w:rsidRPr="005C6F16" w:rsidRDefault="00702601" w:rsidP="00C52E09">
      <w:pPr>
        <w:numPr>
          <w:ilvl w:val="0"/>
          <w:numId w:val="139"/>
        </w:numPr>
        <w:spacing w:before="120" w:after="0"/>
        <w:ind w:left="1080" w:hanging="630"/>
        <w:jc w:val="both"/>
        <w:rPr>
          <w:rFonts w:cs="Arial"/>
          <w:lang w:val="pt-BR"/>
        </w:rPr>
      </w:pPr>
      <w:r w:rsidRPr="005C6F16">
        <w:rPr>
          <w:rFonts w:cs="Arial"/>
          <w:lang w:val="pt-BR"/>
        </w:rPr>
        <w:lastRenderedPageBreak/>
        <w:t xml:space="preserve">O </w:t>
      </w:r>
      <w:r w:rsidRPr="005C6F16">
        <w:rPr>
          <w:rFonts w:cs="Arial"/>
          <w:i/>
          <w:lang w:val="pt-BR"/>
        </w:rPr>
        <w:t>Pediculus humanus</w:t>
      </w:r>
      <w:r w:rsidRPr="005C6F16">
        <w:rPr>
          <w:rFonts w:cs="Arial"/>
          <w:lang w:val="pt-BR"/>
        </w:rPr>
        <w:t xml:space="preserve"> </w:t>
      </w:r>
      <w:r w:rsidRPr="005C6F16">
        <w:rPr>
          <w:rFonts w:cs="Arial"/>
          <w:i/>
          <w:lang w:val="pt-BR"/>
        </w:rPr>
        <w:t>corporis</w:t>
      </w:r>
      <w:r w:rsidRPr="005C6F16">
        <w:rPr>
          <w:rFonts w:cs="Arial"/>
          <w:lang w:val="pt-BR"/>
        </w:rPr>
        <w:t xml:space="preserve"> afecta ao resto do corpo, e costuma depositar os ovos nas roupas da pessoa afectada.</w:t>
      </w:r>
    </w:p>
    <w:p w:rsidR="00702601" w:rsidRPr="005C6F16" w:rsidRDefault="00702601" w:rsidP="00C52E09">
      <w:pPr>
        <w:numPr>
          <w:ilvl w:val="0"/>
          <w:numId w:val="139"/>
        </w:numPr>
        <w:spacing w:before="120" w:after="0"/>
        <w:ind w:left="1080" w:hanging="630"/>
        <w:jc w:val="both"/>
        <w:rPr>
          <w:rFonts w:cs="Arial"/>
          <w:lang w:val="pt-BR"/>
        </w:rPr>
      </w:pPr>
      <w:r w:rsidRPr="005C6F16">
        <w:rPr>
          <w:rFonts w:cs="Arial"/>
          <w:lang w:val="pt-BR"/>
        </w:rPr>
        <w:t>A manifestação clínica mais importante é o prurido devido à picada do piolho.</w:t>
      </w:r>
    </w:p>
    <w:p w:rsidR="00702601" w:rsidRPr="00704E7F" w:rsidRDefault="00702601" w:rsidP="00C52E09">
      <w:pPr>
        <w:numPr>
          <w:ilvl w:val="0"/>
          <w:numId w:val="139"/>
        </w:numPr>
        <w:spacing w:before="120" w:after="0"/>
        <w:ind w:left="1080" w:hanging="630"/>
        <w:jc w:val="both"/>
        <w:rPr>
          <w:rFonts w:cs="Arial"/>
          <w:lang w:val="pt-BR"/>
        </w:rPr>
      </w:pPr>
      <w:r w:rsidRPr="00704E7F">
        <w:rPr>
          <w:rFonts w:cs="Arial"/>
          <w:lang w:val="pt-BR"/>
        </w:rPr>
        <w:t>Os piolhos podem agir como vectores na transmissão de diversas doenças, entre elas o tifo epidémico e alguns tipos de febre recorrente.</w:t>
      </w:r>
    </w:p>
    <w:p w:rsidR="00702601" w:rsidRPr="00704E7F" w:rsidRDefault="00702601" w:rsidP="00C52E09">
      <w:pPr>
        <w:numPr>
          <w:ilvl w:val="0"/>
          <w:numId w:val="135"/>
        </w:numPr>
        <w:spacing w:before="120" w:after="0"/>
        <w:ind w:left="450" w:hanging="450"/>
        <w:jc w:val="both"/>
        <w:rPr>
          <w:rFonts w:cs="Arial"/>
          <w:b/>
          <w:i/>
        </w:rPr>
      </w:pPr>
      <w:r w:rsidRPr="00704E7F">
        <w:rPr>
          <w:rFonts w:cs="Arial"/>
          <w:b/>
          <w:i/>
        </w:rPr>
        <w:t>Pthirus pubis.</w:t>
      </w:r>
    </w:p>
    <w:p w:rsidR="00702601" w:rsidRPr="005C6F16" w:rsidRDefault="00702601" w:rsidP="00C52E09">
      <w:pPr>
        <w:numPr>
          <w:ilvl w:val="0"/>
          <w:numId w:val="140"/>
        </w:numPr>
        <w:spacing w:before="120" w:after="0"/>
        <w:ind w:left="1080" w:hanging="630"/>
        <w:jc w:val="both"/>
        <w:rPr>
          <w:rFonts w:cs="Arial"/>
          <w:lang w:val="pt-BR"/>
        </w:rPr>
      </w:pPr>
      <w:r w:rsidRPr="005C6F16">
        <w:rPr>
          <w:rFonts w:cs="Arial"/>
          <w:lang w:val="pt-BR"/>
        </w:rPr>
        <w:t>Conhecido como piolho do púbis, é responsável pela pediculose pubiana ou ftiríase.</w:t>
      </w:r>
    </w:p>
    <w:p w:rsidR="00702601" w:rsidRPr="005C6F16" w:rsidRDefault="00702601" w:rsidP="00702601">
      <w:pPr>
        <w:spacing w:before="120"/>
        <w:ind w:left="1080"/>
        <w:jc w:val="center"/>
        <w:rPr>
          <w:rFonts w:cs="Arial"/>
          <w:lang w:val="pt-BR"/>
        </w:rPr>
      </w:pPr>
      <w:r>
        <w:rPr>
          <w:rFonts w:cs="Arial"/>
          <w:noProof/>
          <w:lang w:val="en-ZW" w:eastAsia="en-ZW"/>
        </w:rPr>
        <w:drawing>
          <wp:inline distT="0" distB="0" distL="0" distR="0" wp14:anchorId="10C14A7C" wp14:editId="62532B6C">
            <wp:extent cx="3446421" cy="2043485"/>
            <wp:effectExtent l="19050" t="0" r="1629" b="0"/>
            <wp:docPr id="185" name="Object 8"/>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378865" cy="3566284"/>
                      <a:chOff x="1763688" y="908720"/>
                      <a:chExt cx="4378865" cy="3566284"/>
                    </a:xfrm>
                  </a:grpSpPr>
                  <a:grpSp>
                    <a:nvGrpSpPr>
                      <a:cNvPr id="4" name="Group 3"/>
                      <a:cNvGrpSpPr/>
                    </a:nvGrpSpPr>
                    <a:grpSpPr>
                      <a:xfrm>
                        <a:off x="1763688" y="908720"/>
                        <a:ext cx="4378865" cy="3566284"/>
                        <a:chOff x="1763688" y="908720"/>
                        <a:chExt cx="4378865" cy="3566284"/>
                      </a:xfrm>
                    </a:grpSpPr>
                    <a:pic>
                      <a:nvPicPr>
                        <a:cNvPr id="59394" name="Picture 2" descr="http://entoplp.okstate.edu/ddd/images/pubic-louse.jpg"/>
                        <a:cNvPicPr>
                          <a:picLocks noChangeAspect="1" noChangeArrowheads="1"/>
                        </a:cNvPicPr>
                      </a:nvPicPr>
                      <a:blipFill>
                        <a:blip r:embed="rId134"/>
                        <a:srcRect/>
                        <a:stretch>
                          <a:fillRect/>
                        </a:stretch>
                      </a:blipFill>
                      <a:spPr bwMode="auto">
                        <a:xfrm>
                          <a:off x="1763688" y="908720"/>
                          <a:ext cx="4378865" cy="3240360"/>
                        </a:xfrm>
                        <a:prstGeom prst="rect">
                          <a:avLst/>
                        </a:prstGeom>
                        <a:noFill/>
                      </a:spPr>
                    </a:pic>
                    <a:sp>
                      <a:nvSpPr>
                        <a:cNvPr id="3" name="Rectangle 2"/>
                        <a:cNvSpPr/>
                      </a:nvSpPr>
                      <a:spPr>
                        <a:xfrm>
                          <a:off x="2267744" y="4221088"/>
                          <a:ext cx="3672408" cy="253916"/>
                        </a:xfrm>
                        <a:prstGeom prst="rect">
                          <a:avLst/>
                        </a:prstGeom>
                      </a:spPr>
                      <a:txSp>
                        <a:txBody>
                          <a:bodyPr wrap="square">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050" dirty="0" smtClean="0"/>
                              <a:t>http://entoplp.okstate.edu/ddd/images/pubic-louse.jpg</a:t>
                            </a:r>
                            <a:endParaRPr lang="en-GB" sz="1050" dirty="0"/>
                          </a:p>
                        </a:txBody>
                        <a:useSpRect/>
                      </a:txSp>
                    </a:sp>
                  </a:grpSp>
                </lc:lockedCanvas>
              </a:graphicData>
            </a:graphic>
          </wp:inline>
        </w:drawing>
      </w:r>
    </w:p>
    <w:p w:rsidR="00702601" w:rsidRPr="005C6F16" w:rsidRDefault="00702601" w:rsidP="00702601">
      <w:pPr>
        <w:pStyle w:val="TM-3"/>
        <w:ind w:left="1418" w:right="567" w:firstLine="0"/>
        <w:jc w:val="center"/>
      </w:pPr>
      <w:r w:rsidRPr="00C46A1F">
        <w:rPr>
          <w:b/>
        </w:rPr>
        <w:t>Figura 8</w:t>
      </w:r>
      <w:r w:rsidR="00C46A1F" w:rsidRPr="00C46A1F">
        <w:rPr>
          <w:b/>
        </w:rPr>
        <w:t>:</w:t>
      </w:r>
      <w:r w:rsidRPr="005C6F16">
        <w:t xml:space="preserve"> Imagens de adulto Pthirus pubis em cabelos da região genital</w:t>
      </w:r>
    </w:p>
    <w:p w:rsidR="00702601" w:rsidRPr="005C6F16" w:rsidRDefault="00702601" w:rsidP="00C52E09">
      <w:pPr>
        <w:numPr>
          <w:ilvl w:val="0"/>
          <w:numId w:val="140"/>
        </w:numPr>
        <w:spacing w:before="120" w:after="0"/>
        <w:ind w:left="1080" w:hanging="630"/>
        <w:jc w:val="both"/>
        <w:rPr>
          <w:rFonts w:cs="Arial"/>
          <w:lang w:val="pt-BR"/>
        </w:rPr>
      </w:pPr>
      <w:r w:rsidRPr="005C6F16">
        <w:rPr>
          <w:rFonts w:cs="Arial"/>
          <w:lang w:val="pt-BR"/>
        </w:rPr>
        <w:t>São hematófagos (alimentam-se de sangue), e têm preferência pelos cabelos da genitália e região perianal.</w:t>
      </w:r>
    </w:p>
    <w:p w:rsidR="00702601" w:rsidRPr="005C6F16" w:rsidRDefault="00702601" w:rsidP="00C52E09">
      <w:pPr>
        <w:numPr>
          <w:ilvl w:val="0"/>
          <w:numId w:val="140"/>
        </w:numPr>
        <w:spacing w:before="120" w:after="0"/>
        <w:ind w:left="1080" w:hanging="630"/>
        <w:jc w:val="both"/>
        <w:rPr>
          <w:rFonts w:cs="Arial"/>
          <w:lang w:val="pt-BR"/>
        </w:rPr>
      </w:pPr>
      <w:r w:rsidRPr="005C6F16">
        <w:rPr>
          <w:rFonts w:cs="Arial"/>
          <w:lang w:val="pt-BR"/>
        </w:rPr>
        <w:t>O contágio ocorre pelo  contacto próximo, frequentemente por contacto sexual.</w:t>
      </w:r>
    </w:p>
    <w:p w:rsidR="00702601" w:rsidRPr="005C6F16" w:rsidRDefault="00702601" w:rsidP="00C52E09">
      <w:pPr>
        <w:numPr>
          <w:ilvl w:val="0"/>
          <w:numId w:val="140"/>
        </w:numPr>
        <w:spacing w:before="120" w:after="0"/>
        <w:ind w:left="1080" w:hanging="630"/>
        <w:jc w:val="both"/>
        <w:rPr>
          <w:rFonts w:cs="Arial"/>
          <w:lang w:val="pt-BR"/>
        </w:rPr>
      </w:pPr>
      <w:r w:rsidRPr="005C6F16">
        <w:rPr>
          <w:rFonts w:cs="Arial"/>
          <w:lang w:val="pt-BR"/>
        </w:rPr>
        <w:t>A manifestação mais comum é o prurido produzido por hipersensibilidade da pele à saliva do parasita.</w:t>
      </w:r>
    </w:p>
    <w:p w:rsidR="00702601" w:rsidRPr="005C6F16" w:rsidRDefault="00702601" w:rsidP="00C52E09">
      <w:pPr>
        <w:numPr>
          <w:ilvl w:val="0"/>
          <w:numId w:val="140"/>
        </w:numPr>
        <w:spacing w:before="120" w:after="0"/>
        <w:ind w:left="1080" w:hanging="630"/>
        <w:jc w:val="both"/>
        <w:rPr>
          <w:rFonts w:cs="Arial"/>
          <w:lang w:val="pt-BR"/>
        </w:rPr>
      </w:pPr>
      <w:r w:rsidRPr="005C6F16">
        <w:rPr>
          <w:rFonts w:cs="Arial"/>
          <w:lang w:val="pt-BR"/>
        </w:rPr>
        <w:t>Devido á sua transmissão por contacto sexual, os indivíduos infectados devem ser examinados a procura de outras infecções de transmissão sexual.</w:t>
      </w:r>
    </w:p>
    <w:p w:rsidR="00702601" w:rsidRPr="00704E7F" w:rsidRDefault="00702601" w:rsidP="00C52E09">
      <w:pPr>
        <w:numPr>
          <w:ilvl w:val="0"/>
          <w:numId w:val="135"/>
        </w:numPr>
        <w:spacing w:before="120" w:after="0"/>
        <w:ind w:left="450" w:hanging="450"/>
        <w:jc w:val="both"/>
        <w:rPr>
          <w:rFonts w:cs="Arial"/>
          <w:b/>
          <w:i/>
        </w:rPr>
      </w:pPr>
      <w:r w:rsidRPr="00704E7F">
        <w:rPr>
          <w:rFonts w:cs="Arial"/>
          <w:b/>
          <w:i/>
        </w:rPr>
        <w:t>Tunga penetrans.</w:t>
      </w:r>
    </w:p>
    <w:p w:rsidR="00702601" w:rsidRPr="005C6F16" w:rsidRDefault="00702601" w:rsidP="00C52E09">
      <w:pPr>
        <w:numPr>
          <w:ilvl w:val="0"/>
          <w:numId w:val="141"/>
        </w:numPr>
        <w:spacing w:before="120" w:after="0"/>
        <w:ind w:left="1080" w:hanging="630"/>
        <w:jc w:val="both"/>
        <w:rPr>
          <w:rFonts w:cs="Arial"/>
          <w:lang w:val="pt-BR"/>
        </w:rPr>
      </w:pPr>
      <w:r w:rsidRPr="005C6F16">
        <w:rPr>
          <w:rFonts w:cs="Arial"/>
          <w:lang w:val="pt-BR"/>
        </w:rPr>
        <w:t>Conhecida como “matequenha” ou pulga do pé. Vive em solos arenosos.</w:t>
      </w:r>
    </w:p>
    <w:p w:rsidR="00702601" w:rsidRPr="005C6F16" w:rsidRDefault="00702601" w:rsidP="00702601">
      <w:pPr>
        <w:spacing w:before="120"/>
        <w:ind w:left="1080"/>
        <w:jc w:val="center"/>
        <w:rPr>
          <w:rFonts w:cs="Arial"/>
          <w:lang w:val="pt-BR"/>
        </w:rPr>
      </w:pPr>
      <w:r>
        <w:rPr>
          <w:rFonts w:cs="Arial"/>
          <w:noProof/>
          <w:lang w:val="en-ZW" w:eastAsia="en-ZW"/>
        </w:rPr>
        <w:drawing>
          <wp:inline distT="0" distB="0" distL="0" distR="0" wp14:anchorId="2BB5A6CD" wp14:editId="72CCD4C5">
            <wp:extent cx="3271492" cy="2623931"/>
            <wp:effectExtent l="19050" t="0" r="5108" b="0"/>
            <wp:docPr id="184" name="Object 9"/>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370288" cy="3543200"/>
                      <a:chOff x="1547664" y="764704"/>
                      <a:chExt cx="4370288" cy="3543200"/>
                    </a:xfrm>
                  </a:grpSpPr>
                  <a:grpSp>
                    <a:nvGrpSpPr>
                      <a:cNvPr id="4" name="Group 3"/>
                      <a:cNvGrpSpPr/>
                    </a:nvGrpSpPr>
                    <a:grpSpPr>
                      <a:xfrm>
                        <a:off x="1547664" y="764704"/>
                        <a:ext cx="4370288" cy="3543200"/>
                        <a:chOff x="1547664" y="764704"/>
                        <a:chExt cx="4370288" cy="3543200"/>
                      </a:xfrm>
                    </a:grpSpPr>
                    <a:pic>
                      <a:nvPicPr>
                        <a:cNvPr id="60418" name="Picture 2" descr="http://pathmicro.med.sc.edu/parasitology/sifo7.jpg"/>
                        <a:cNvPicPr>
                          <a:picLocks noChangeAspect="1" noChangeArrowheads="1"/>
                        </a:cNvPicPr>
                      </a:nvPicPr>
                      <a:blipFill>
                        <a:blip r:embed="rId135"/>
                        <a:srcRect/>
                        <a:stretch>
                          <a:fillRect/>
                        </a:stretch>
                      </a:blipFill>
                      <a:spPr bwMode="auto">
                        <a:xfrm>
                          <a:off x="1547664" y="764704"/>
                          <a:ext cx="4370288" cy="3338715"/>
                        </a:xfrm>
                        <a:prstGeom prst="rect">
                          <a:avLst/>
                        </a:prstGeom>
                        <a:noFill/>
                      </a:spPr>
                    </a:pic>
                    <a:sp>
                      <a:nvSpPr>
                        <a:cNvPr id="3" name="Rectangle 2"/>
                        <a:cNvSpPr/>
                      </a:nvSpPr>
                      <a:spPr>
                        <a:xfrm>
                          <a:off x="2411760" y="4077072"/>
                          <a:ext cx="2880320" cy="230832"/>
                        </a:xfrm>
                        <a:prstGeom prst="rect">
                          <a:avLst/>
                        </a:prstGeom>
                      </a:spPr>
                      <a:txSp>
                        <a:txBody>
                          <a:bodyPr wrap="square">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900" dirty="0" smtClean="0"/>
                              <a:t>http://pathmicro.med.sc.edu/parasitology/sifo7.jpg</a:t>
                            </a:r>
                            <a:endParaRPr lang="en-GB" sz="900" dirty="0"/>
                          </a:p>
                        </a:txBody>
                        <a:useSpRect/>
                      </a:txSp>
                    </a:sp>
                  </a:grpSp>
                </lc:lockedCanvas>
              </a:graphicData>
            </a:graphic>
          </wp:inline>
        </w:drawing>
      </w:r>
    </w:p>
    <w:p w:rsidR="00702601" w:rsidRPr="005C6F16" w:rsidRDefault="00C46A1F" w:rsidP="00702601">
      <w:pPr>
        <w:pStyle w:val="TM-3"/>
        <w:ind w:left="1418" w:right="567" w:firstLine="0"/>
        <w:jc w:val="center"/>
      </w:pPr>
      <w:r w:rsidRPr="00C46A1F">
        <w:rPr>
          <w:b/>
        </w:rPr>
        <w:t>Figura 9:</w:t>
      </w:r>
      <w:r w:rsidR="00702601" w:rsidRPr="005C6F16">
        <w:t xml:space="preserve"> Imagens de um exemplar adulto de Tunga penetrans</w:t>
      </w:r>
    </w:p>
    <w:p w:rsidR="00702601" w:rsidRPr="005C6F16" w:rsidRDefault="00702601" w:rsidP="00C52E09">
      <w:pPr>
        <w:numPr>
          <w:ilvl w:val="0"/>
          <w:numId w:val="141"/>
        </w:numPr>
        <w:spacing w:before="120" w:after="0"/>
        <w:ind w:left="1080" w:hanging="630"/>
        <w:jc w:val="both"/>
        <w:rPr>
          <w:rFonts w:cs="Arial"/>
          <w:lang w:val="pt-BR"/>
        </w:rPr>
      </w:pPr>
      <w:r w:rsidRPr="005C6F16">
        <w:rPr>
          <w:rFonts w:cs="Arial"/>
          <w:lang w:val="pt-BR"/>
        </w:rPr>
        <w:lastRenderedPageBreak/>
        <w:t>As fêmeas fecundadas penetram na pele, causando intensa coceira e possíveis complicações como infecções.</w:t>
      </w:r>
    </w:p>
    <w:p w:rsidR="00702601" w:rsidRPr="005C6F16" w:rsidRDefault="00702601" w:rsidP="00702601">
      <w:pPr>
        <w:spacing w:before="120"/>
        <w:ind w:left="1080"/>
        <w:jc w:val="center"/>
        <w:rPr>
          <w:rFonts w:cs="Arial"/>
          <w:lang w:val="pt-BR"/>
        </w:rPr>
      </w:pPr>
      <w:r>
        <w:rPr>
          <w:rFonts w:cs="Arial"/>
          <w:noProof/>
          <w:lang w:val="en-ZW" w:eastAsia="en-ZW"/>
        </w:rPr>
        <w:drawing>
          <wp:inline distT="0" distB="0" distL="0" distR="0" wp14:anchorId="370B82A7" wp14:editId="4FA00886">
            <wp:extent cx="4985468" cy="1908313"/>
            <wp:effectExtent l="0" t="0" r="0" b="0"/>
            <wp:docPr id="183" name="Object 10"/>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128792" cy="3327176"/>
                      <a:chOff x="971600" y="548680"/>
                      <a:chExt cx="7128792" cy="3327176"/>
                    </a:xfrm>
                  </a:grpSpPr>
                  <a:grpSp>
                    <a:nvGrpSpPr>
                      <a:cNvPr id="6" name="Group 5"/>
                      <a:cNvGrpSpPr/>
                    </a:nvGrpSpPr>
                    <a:grpSpPr>
                      <a:xfrm>
                        <a:off x="971600" y="548680"/>
                        <a:ext cx="7128792" cy="3327176"/>
                        <a:chOff x="971600" y="548680"/>
                        <a:chExt cx="7128792" cy="3327176"/>
                      </a:xfrm>
                    </a:grpSpPr>
                    <a:pic>
                      <a:nvPicPr>
                        <a:cNvPr id="61442" name="Picture 2" descr="http://dermimages.med.jhmi.edu/images/tungiasis_1_050303.jpg"/>
                        <a:cNvPicPr>
                          <a:picLocks noChangeAspect="1" noChangeArrowheads="1"/>
                        </a:cNvPicPr>
                      </a:nvPicPr>
                      <a:blipFill>
                        <a:blip r:embed="rId136"/>
                        <a:srcRect/>
                        <a:stretch>
                          <a:fillRect/>
                        </a:stretch>
                      </a:blipFill>
                      <a:spPr bwMode="auto">
                        <a:xfrm>
                          <a:off x="1043608" y="764704"/>
                          <a:ext cx="3671392" cy="2753544"/>
                        </a:xfrm>
                        <a:prstGeom prst="rect">
                          <a:avLst/>
                        </a:prstGeom>
                        <a:noFill/>
                      </a:spPr>
                    </a:pic>
                    <a:sp>
                      <a:nvSpPr>
                        <a:cNvPr id="3" name="Rectangle 2"/>
                        <a:cNvSpPr/>
                      </a:nvSpPr>
                      <a:spPr>
                        <a:xfrm>
                          <a:off x="971600" y="3573017"/>
                          <a:ext cx="3960440" cy="246221"/>
                        </a:xfrm>
                        <a:prstGeom prst="rect">
                          <a:avLst/>
                        </a:prstGeom>
                      </a:spPr>
                      <a:txSp>
                        <a:txBody>
                          <a:bodyPr wrap="square">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000" dirty="0" smtClean="0"/>
                              <a:t>http://dermimages.med.jhmi.edu/images/tungiasis_1_050303.jpg</a:t>
                            </a:r>
                            <a:endParaRPr lang="en-GB" sz="1000" dirty="0"/>
                          </a:p>
                        </a:txBody>
                        <a:useSpRect/>
                      </a:txSp>
                    </a:sp>
                    <a:pic>
                      <a:nvPicPr>
                        <a:cNvPr id="61444" name="Picture 4" descr="http://pathmicro.med.sc.edu/parasitology/sifo13cc.jpg"/>
                        <a:cNvPicPr>
                          <a:picLocks noChangeAspect="1" noChangeArrowheads="1"/>
                        </a:cNvPicPr>
                      </a:nvPicPr>
                      <a:blipFill>
                        <a:blip r:embed="rId137"/>
                        <a:srcRect/>
                        <a:stretch>
                          <a:fillRect/>
                        </a:stretch>
                      </a:blipFill>
                      <a:spPr bwMode="auto">
                        <a:xfrm>
                          <a:off x="5076056" y="548680"/>
                          <a:ext cx="2746648" cy="2937387"/>
                        </a:xfrm>
                        <a:prstGeom prst="rect">
                          <a:avLst/>
                        </a:prstGeom>
                        <a:noFill/>
                      </a:spPr>
                    </a:pic>
                    <a:sp>
                      <a:nvSpPr>
                        <a:cNvPr id="5" name="Rectangle 4"/>
                        <a:cNvSpPr/>
                      </a:nvSpPr>
                      <a:spPr>
                        <a:xfrm>
                          <a:off x="5004048" y="3645024"/>
                          <a:ext cx="3096344" cy="230832"/>
                        </a:xfrm>
                        <a:prstGeom prst="rect">
                          <a:avLst/>
                        </a:prstGeom>
                      </a:spPr>
                      <a:txSp>
                        <a:txBody>
                          <a:bodyPr wrap="square">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900" dirty="0" smtClean="0"/>
                              <a:t>http://pathmicro.med.sc.edu/parasitology/sifo13cc.jpg</a:t>
                            </a:r>
                            <a:endParaRPr lang="en-GB" sz="900" dirty="0"/>
                          </a:p>
                        </a:txBody>
                        <a:useSpRect/>
                      </a:txSp>
                    </a:sp>
                  </a:grpSp>
                </lc:lockedCanvas>
              </a:graphicData>
            </a:graphic>
          </wp:inline>
        </w:drawing>
      </w:r>
    </w:p>
    <w:p w:rsidR="00702601" w:rsidRPr="005C6F16" w:rsidRDefault="00C46A1F" w:rsidP="00702601">
      <w:pPr>
        <w:pStyle w:val="TM-3"/>
        <w:ind w:left="1418" w:right="567" w:firstLine="0"/>
        <w:jc w:val="center"/>
      </w:pPr>
      <w:r w:rsidRPr="00C46A1F">
        <w:rPr>
          <w:b/>
        </w:rPr>
        <w:t>Figura 10:</w:t>
      </w:r>
      <w:r w:rsidR="00702601" w:rsidRPr="005C6F16">
        <w:t xml:space="preserve"> Imagens das lesões produzidas na pele por Tunga penetrans</w:t>
      </w:r>
    </w:p>
    <w:p w:rsidR="00702601" w:rsidRPr="005C6F16" w:rsidRDefault="00702601" w:rsidP="00C52E09">
      <w:pPr>
        <w:numPr>
          <w:ilvl w:val="0"/>
          <w:numId w:val="135"/>
        </w:numPr>
        <w:spacing w:before="120" w:after="0"/>
        <w:ind w:left="450" w:hanging="450"/>
        <w:jc w:val="both"/>
        <w:rPr>
          <w:rFonts w:cs="Arial"/>
        </w:rPr>
      </w:pPr>
      <w:r w:rsidRPr="005C6F16">
        <w:rPr>
          <w:rFonts w:cs="Arial"/>
        </w:rPr>
        <w:t>Pulgas.</w:t>
      </w:r>
    </w:p>
    <w:p w:rsidR="00702601" w:rsidRPr="005C6F16" w:rsidRDefault="00702601" w:rsidP="00C52E09">
      <w:pPr>
        <w:numPr>
          <w:ilvl w:val="0"/>
          <w:numId w:val="142"/>
        </w:numPr>
        <w:spacing w:before="120" w:after="0"/>
        <w:ind w:left="1080" w:hanging="630"/>
        <w:jc w:val="both"/>
        <w:rPr>
          <w:rFonts w:cs="Arial"/>
          <w:lang w:val="pt-BR"/>
        </w:rPr>
      </w:pPr>
      <w:r w:rsidRPr="005C6F16">
        <w:rPr>
          <w:rFonts w:cs="Arial"/>
          <w:lang w:val="pt-BR"/>
        </w:rPr>
        <w:t>Parasitas hematófagos, que usam diferentes animais como hospedeiros.</w:t>
      </w:r>
    </w:p>
    <w:p w:rsidR="00702601" w:rsidRPr="005C6F16" w:rsidRDefault="00702601" w:rsidP="00C52E09">
      <w:pPr>
        <w:numPr>
          <w:ilvl w:val="0"/>
          <w:numId w:val="142"/>
        </w:numPr>
        <w:spacing w:before="120" w:after="0"/>
        <w:ind w:left="1080" w:hanging="630"/>
        <w:jc w:val="both"/>
        <w:rPr>
          <w:rFonts w:cs="Arial"/>
          <w:lang w:val="pt-BR"/>
        </w:rPr>
      </w:pPr>
      <w:r w:rsidRPr="005C6F16">
        <w:rPr>
          <w:rFonts w:cs="Arial"/>
          <w:lang w:val="pt-BR"/>
        </w:rPr>
        <w:t>A sua picada causa prurido e, em alguns casos, reacções alérgicas.</w:t>
      </w:r>
    </w:p>
    <w:p w:rsidR="00702601" w:rsidRPr="005C6F16" w:rsidRDefault="00702601" w:rsidP="00C52E09">
      <w:pPr>
        <w:numPr>
          <w:ilvl w:val="0"/>
          <w:numId w:val="142"/>
        </w:numPr>
        <w:spacing w:before="120" w:after="0"/>
        <w:ind w:left="1080" w:hanging="630"/>
        <w:jc w:val="both"/>
        <w:rPr>
          <w:rFonts w:cs="Arial"/>
          <w:lang w:val="pt-BR"/>
        </w:rPr>
      </w:pPr>
      <w:r w:rsidRPr="005C6F16">
        <w:rPr>
          <w:rFonts w:cs="Arial"/>
          <w:lang w:val="pt-BR"/>
        </w:rPr>
        <w:t>São vectores na transmissão de algumas doenças, nomeadamente tifo, peste bubônica e rickettsiose.</w:t>
      </w:r>
    </w:p>
    <w:p w:rsidR="00702601" w:rsidRPr="005C6F16" w:rsidRDefault="00702601" w:rsidP="00702601">
      <w:pPr>
        <w:pStyle w:val="TM-3n"/>
        <w:numPr>
          <w:ilvl w:val="0"/>
          <w:numId w:val="0"/>
        </w:numPr>
        <w:jc w:val="center"/>
        <w:rPr>
          <w:lang w:val="en-GB"/>
        </w:rPr>
      </w:pPr>
      <w:r>
        <w:rPr>
          <w:noProof/>
          <w:lang w:val="en-ZW" w:eastAsia="en-ZW"/>
        </w:rPr>
        <w:drawing>
          <wp:inline distT="0" distB="0" distL="0" distR="0" wp14:anchorId="4973DDF0" wp14:editId="7D16112E">
            <wp:extent cx="5287314" cy="1709530"/>
            <wp:effectExtent l="0" t="0" r="8586" b="0"/>
            <wp:docPr id="182" name="Object 12"/>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319638" cy="3096344"/>
                      <a:chOff x="179512" y="188640"/>
                      <a:chExt cx="7319638" cy="3096344"/>
                    </a:xfrm>
                  </a:grpSpPr>
                  <a:grpSp>
                    <a:nvGrpSpPr>
                      <a:cNvPr id="10" name="Group 9"/>
                      <a:cNvGrpSpPr/>
                    </a:nvGrpSpPr>
                    <a:grpSpPr>
                      <a:xfrm>
                        <a:off x="179512" y="188640"/>
                        <a:ext cx="7319638" cy="3096344"/>
                        <a:chOff x="179512" y="188640"/>
                        <a:chExt cx="7319638" cy="3096344"/>
                      </a:xfrm>
                    </a:grpSpPr>
                    <a:grpSp>
                      <a:nvGrpSpPr>
                        <a:cNvPr id="3" name="Group 8"/>
                        <a:cNvGrpSpPr/>
                      </a:nvGrpSpPr>
                      <a:grpSpPr>
                        <a:xfrm>
                          <a:off x="179512" y="188640"/>
                          <a:ext cx="7272808" cy="3096344"/>
                          <a:chOff x="179512" y="188640"/>
                          <a:chExt cx="7272808" cy="3096344"/>
                        </a:xfrm>
                      </a:grpSpPr>
                      <a:pic>
                        <a:nvPicPr>
                          <a:cNvPr id="62466" name="Picture 2" descr="http://www.k-state.edu/parasitology/625tutorials/FIGflea04.jpg"/>
                          <a:cNvPicPr>
                            <a:picLocks noChangeAspect="1" noChangeArrowheads="1"/>
                          </a:cNvPicPr>
                        </a:nvPicPr>
                        <a:blipFill>
                          <a:blip r:embed="rId138" cstate="print"/>
                          <a:srcRect/>
                          <a:stretch>
                            <a:fillRect/>
                          </a:stretch>
                        </a:blipFill>
                        <a:spPr bwMode="auto">
                          <a:xfrm>
                            <a:off x="251520" y="188640"/>
                            <a:ext cx="3816424" cy="2952328"/>
                          </a:xfrm>
                          <a:prstGeom prst="rect">
                            <a:avLst/>
                          </a:prstGeom>
                          <a:noFill/>
                        </a:spPr>
                      </a:pic>
                      <a:sp>
                        <a:nvSpPr>
                          <a:cNvPr id="2" name="Rectangle 2"/>
                          <a:cNvSpPr/>
                        </a:nvSpPr>
                        <a:spPr>
                          <a:xfrm>
                            <a:off x="179512" y="2996953"/>
                            <a:ext cx="3960440" cy="246221"/>
                          </a:xfrm>
                          <a:prstGeom prst="rect">
                            <a:avLst/>
                          </a:prstGeom>
                        </a:spPr>
                        <a:txSp>
                          <a:txBody>
                            <a:bodyPr wrap="square">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000" dirty="0" smtClean="0"/>
                                <a:t>http://www.k-state.edu/parasitology/625tutorials/FIGflea04.jpg</a:t>
                              </a:r>
                              <a:endParaRPr lang="en-GB" sz="1000" dirty="0"/>
                            </a:p>
                          </a:txBody>
                          <a:useSpRect/>
                        </a:txSp>
                      </a:sp>
                      <a:sp>
                        <a:nvSpPr>
                          <a:cNvPr id="4" name="Rectangle 3"/>
                          <a:cNvSpPr/>
                        </a:nvSpPr>
                        <a:spPr>
                          <a:xfrm>
                            <a:off x="1763688" y="2564904"/>
                            <a:ext cx="1936749" cy="246221"/>
                          </a:xfrm>
                          <a:prstGeom prst="rect">
                            <a:avLst/>
                          </a:prstGeom>
                        </a:spPr>
                        <a:txSp>
                          <a:txBody>
                            <a:bodyPr wrap="none">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pt-PT" sz="1000" b="1" i="1" dirty="0" err="1" smtClean="0"/>
                                <a:t>Xenopsylla</a:t>
                              </a:r>
                              <a:r>
                                <a:rPr lang="pt-PT" sz="1000" b="1" i="1" dirty="0" smtClean="0"/>
                                <a:t> – peste </a:t>
                              </a:r>
                              <a:r>
                                <a:rPr lang="pt-PT" sz="1000" b="1" i="1" dirty="0" err="1" smtClean="0"/>
                                <a:t>bubônica</a:t>
                              </a:r>
                              <a:endParaRPr lang="en-GB" sz="1000" b="1" dirty="0"/>
                            </a:p>
                          </a:txBody>
                          <a:useSpRect/>
                        </a:txSp>
                      </a:sp>
                      <a:pic>
                        <a:nvPicPr>
                          <a:cNvPr id="62468" name="Picture 4" descr="http://ticsys.tamu.edu/Ac-fem.gif"/>
                          <a:cNvPicPr>
                            <a:picLocks noChangeAspect="1" noChangeArrowheads="1"/>
                          </a:cNvPicPr>
                        </a:nvPicPr>
                        <a:blipFill>
                          <a:blip r:embed="rId139" cstate="print"/>
                          <a:srcRect/>
                          <a:stretch>
                            <a:fillRect/>
                          </a:stretch>
                        </a:blipFill>
                        <a:spPr bwMode="auto">
                          <a:xfrm>
                            <a:off x="4644008" y="332656"/>
                            <a:ext cx="2808312" cy="2520280"/>
                          </a:xfrm>
                          <a:prstGeom prst="rect">
                            <a:avLst/>
                          </a:prstGeom>
                          <a:noFill/>
                        </a:spPr>
                      </a:pic>
                      <a:sp>
                        <a:nvSpPr>
                          <a:cNvPr id="6" name="Rectangle 5"/>
                          <a:cNvSpPr/>
                        </a:nvSpPr>
                        <a:spPr>
                          <a:xfrm>
                            <a:off x="5004048" y="3038763"/>
                            <a:ext cx="1999265" cy="246221"/>
                          </a:xfrm>
                          <a:prstGeom prst="rect">
                            <a:avLst/>
                          </a:prstGeom>
                        </a:spPr>
                        <a:txSp>
                          <a:txBody>
                            <a:bodyPr wrap="none">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000" dirty="0" smtClean="0"/>
                                <a:t>http://ticsys.tamu.edu/Ac-fem.gif</a:t>
                              </a:r>
                              <a:endParaRPr lang="en-GB" sz="1000" dirty="0"/>
                            </a:p>
                          </a:txBody>
                          <a:useSpRect/>
                        </a:txSp>
                      </a:sp>
                    </a:grpSp>
                    <a:sp>
                      <a:nvSpPr>
                        <a:cNvPr id="7" name="Rectangle 6"/>
                        <a:cNvSpPr/>
                      </a:nvSpPr>
                      <a:spPr>
                        <a:xfrm>
                          <a:off x="4716016" y="2564904"/>
                          <a:ext cx="2783134" cy="261610"/>
                        </a:xfrm>
                        <a:prstGeom prst="rect">
                          <a:avLst/>
                        </a:prstGeom>
                        <a:solidFill>
                          <a:schemeClr val="bg1"/>
                        </a:solidFill>
                      </a:spPr>
                      <a:txSp>
                        <a:txBody>
                          <a:bodyPr wrap="none">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100" b="1" i="1" dirty="0" err="1" smtClean="0"/>
                              <a:t>Amblyomma</a:t>
                            </a:r>
                            <a:r>
                              <a:rPr lang="en-GB" sz="1100" b="1" i="1" dirty="0" smtClean="0"/>
                              <a:t> </a:t>
                            </a:r>
                            <a:r>
                              <a:rPr lang="en-GB" sz="1100" b="1" i="1" dirty="0" err="1" smtClean="0"/>
                              <a:t>cajennense</a:t>
                            </a:r>
                            <a:r>
                              <a:rPr lang="en-GB" sz="1100" b="1" i="1" dirty="0" smtClean="0"/>
                              <a:t>  - </a:t>
                            </a:r>
                            <a:r>
                              <a:rPr lang="pt-BR" sz="1100" b="1" i="1" dirty="0"/>
                              <a:t>rickettsiose</a:t>
                            </a:r>
                            <a:endParaRPr lang="en-GB" sz="1100" b="1" i="1" dirty="0"/>
                          </a:p>
                        </a:txBody>
                        <a:useSpRect/>
                      </a:txSp>
                    </a:sp>
                  </a:grpSp>
                </lc:lockedCanvas>
              </a:graphicData>
            </a:graphic>
          </wp:inline>
        </w:drawing>
      </w:r>
    </w:p>
    <w:p w:rsidR="00702601" w:rsidRPr="005C6F16" w:rsidRDefault="00702601" w:rsidP="00702601">
      <w:pPr>
        <w:pStyle w:val="TM-3n"/>
        <w:numPr>
          <w:ilvl w:val="0"/>
          <w:numId w:val="0"/>
        </w:numPr>
        <w:jc w:val="center"/>
        <w:rPr>
          <w:lang w:val="en-GB"/>
        </w:rPr>
      </w:pPr>
      <w:r w:rsidRPr="00C46A1F">
        <w:rPr>
          <w:b/>
          <w:lang w:val="en-GB"/>
        </w:rPr>
        <w:t>Figura 11:</w:t>
      </w:r>
      <w:r w:rsidRPr="005C6F16">
        <w:rPr>
          <w:lang w:val="en-GB"/>
        </w:rPr>
        <w:t xml:space="preserve"> Pulgas</w:t>
      </w:r>
    </w:p>
    <w:p w:rsidR="00702601" w:rsidRPr="005C6F16" w:rsidRDefault="00702601" w:rsidP="00702601">
      <w:pPr>
        <w:pStyle w:val="TM-3n"/>
        <w:numPr>
          <w:ilvl w:val="0"/>
          <w:numId w:val="0"/>
        </w:numPr>
        <w:jc w:val="center"/>
      </w:pPr>
    </w:p>
    <w:p w:rsidR="00702601" w:rsidRPr="005C6F16" w:rsidRDefault="00702601" w:rsidP="00702601">
      <w:pPr>
        <w:shd w:val="clear" w:color="auto" w:fill="B8CCE4"/>
        <w:tabs>
          <w:tab w:val="left" w:pos="1276"/>
          <w:tab w:val="right" w:pos="8550"/>
        </w:tabs>
        <w:spacing w:before="120" w:after="120"/>
        <w:ind w:right="2"/>
        <w:jc w:val="both"/>
        <w:rPr>
          <w:rFonts w:eastAsia="Calibri" w:cs="Arial"/>
          <w:b/>
        </w:rPr>
      </w:pPr>
      <w:r w:rsidRPr="005C6F16">
        <w:rPr>
          <w:rFonts w:eastAsia="Calibri" w:cs="Arial"/>
          <w:b/>
        </w:rPr>
        <w:t>BLOCO 5: PONTOS-CHAVE</w:t>
      </w:r>
    </w:p>
    <w:p w:rsidR="00702601" w:rsidRPr="005C6F16" w:rsidRDefault="00702601" w:rsidP="00C52E09">
      <w:pPr>
        <w:pStyle w:val="TM-4n"/>
        <w:numPr>
          <w:ilvl w:val="0"/>
          <w:numId w:val="143"/>
        </w:numPr>
        <w:tabs>
          <w:tab w:val="clear" w:pos="1134"/>
        </w:tabs>
        <w:spacing w:before="120" w:after="0" w:line="276" w:lineRule="auto"/>
        <w:ind w:left="446" w:hanging="446"/>
      </w:pPr>
      <w:r w:rsidRPr="005C6F16">
        <w:t>A grande maioria dos ectoparasitas de importância clínica são artrópodos correspondentes a duas classes: insectos e aracnídeos.</w:t>
      </w:r>
    </w:p>
    <w:p w:rsidR="00702601" w:rsidRPr="005C6F16" w:rsidRDefault="00702601" w:rsidP="00C52E09">
      <w:pPr>
        <w:pStyle w:val="TM-4n"/>
        <w:numPr>
          <w:ilvl w:val="0"/>
          <w:numId w:val="143"/>
        </w:numPr>
        <w:tabs>
          <w:tab w:val="clear" w:pos="1134"/>
        </w:tabs>
        <w:spacing w:before="120" w:after="0" w:line="276" w:lineRule="auto"/>
        <w:ind w:left="446" w:hanging="446"/>
      </w:pPr>
      <w:r w:rsidRPr="005C6F16">
        <w:t>Entre os insectos estão as pulgas, piolhos, moscas e mosquitos.</w:t>
      </w:r>
    </w:p>
    <w:p w:rsidR="00702601" w:rsidRPr="005C6F16" w:rsidRDefault="00702601" w:rsidP="00C52E09">
      <w:pPr>
        <w:pStyle w:val="TM-4n"/>
        <w:numPr>
          <w:ilvl w:val="0"/>
          <w:numId w:val="143"/>
        </w:numPr>
        <w:tabs>
          <w:tab w:val="clear" w:pos="1134"/>
        </w:tabs>
        <w:spacing w:before="120" w:after="0" w:line="276" w:lineRule="auto"/>
        <w:ind w:left="446" w:hanging="446"/>
      </w:pPr>
      <w:r w:rsidRPr="005C6F16">
        <w:t>Entre os aracnídeos estão as carraças e ácaros.</w:t>
      </w:r>
    </w:p>
    <w:p w:rsidR="00702601" w:rsidRPr="005C6F16" w:rsidRDefault="00702601" w:rsidP="00C52E09">
      <w:pPr>
        <w:pStyle w:val="TM-4n"/>
        <w:numPr>
          <w:ilvl w:val="0"/>
          <w:numId w:val="143"/>
        </w:numPr>
        <w:tabs>
          <w:tab w:val="clear" w:pos="1134"/>
        </w:tabs>
        <w:spacing w:before="120" w:after="0" w:line="276" w:lineRule="auto"/>
        <w:ind w:left="446" w:hanging="446"/>
      </w:pPr>
      <w:r w:rsidRPr="005C6F16">
        <w:t>Os artrópodos podem causar doença por um mecanismo  directo, ou agindo como vectores na transmissão de outros agentes patogénicos.</w:t>
      </w:r>
    </w:p>
    <w:p w:rsidR="00702601" w:rsidRPr="005C6F16" w:rsidRDefault="00702601" w:rsidP="00C52E09">
      <w:pPr>
        <w:pStyle w:val="TM-4n"/>
        <w:numPr>
          <w:ilvl w:val="0"/>
          <w:numId w:val="143"/>
        </w:numPr>
        <w:tabs>
          <w:tab w:val="clear" w:pos="1134"/>
        </w:tabs>
        <w:spacing w:before="120" w:after="0" w:line="276" w:lineRule="auto"/>
        <w:ind w:left="446" w:hanging="446"/>
      </w:pPr>
      <w:r w:rsidRPr="005C6F16">
        <w:t xml:space="preserve">O </w:t>
      </w:r>
      <w:r w:rsidRPr="005C6F16">
        <w:rPr>
          <w:i/>
        </w:rPr>
        <w:t xml:space="preserve">sarcoptes scabiei </w:t>
      </w:r>
      <w:r w:rsidRPr="005C6F16">
        <w:t>é o causador da sarna.</w:t>
      </w:r>
    </w:p>
    <w:p w:rsidR="00702601" w:rsidRPr="005C6F16" w:rsidRDefault="00702601" w:rsidP="00C52E09">
      <w:pPr>
        <w:pStyle w:val="TM-4n"/>
        <w:numPr>
          <w:ilvl w:val="0"/>
          <w:numId w:val="143"/>
        </w:numPr>
        <w:tabs>
          <w:tab w:val="clear" w:pos="1134"/>
        </w:tabs>
        <w:spacing w:before="120" w:after="0" w:line="276" w:lineRule="auto"/>
        <w:ind w:left="446" w:hanging="446"/>
      </w:pPr>
      <w:r w:rsidRPr="005C6F16">
        <w:t>As carraças são vectores de diferentes patógenos que causam doenças, tais como a febre recorrente.</w:t>
      </w:r>
    </w:p>
    <w:p w:rsidR="00702601" w:rsidRPr="005C6F16" w:rsidRDefault="00702601" w:rsidP="00C52E09">
      <w:pPr>
        <w:pStyle w:val="TM-4n"/>
        <w:numPr>
          <w:ilvl w:val="0"/>
          <w:numId w:val="143"/>
        </w:numPr>
        <w:tabs>
          <w:tab w:val="clear" w:pos="1134"/>
        </w:tabs>
        <w:spacing w:before="120" w:after="0" w:line="276" w:lineRule="auto"/>
        <w:ind w:left="446" w:hanging="446"/>
      </w:pPr>
      <w:r w:rsidRPr="005C6F16">
        <w:t>Os mosquitos são insectos vectores de patógenos que causam doenças de grande importância clínica, como malária (Anopheles), dengue (Aedes), febre amarela (Aedes), e filariose (Culex).</w:t>
      </w:r>
    </w:p>
    <w:tbl>
      <w:tblPr>
        <w:tblW w:w="10150" w:type="dxa"/>
        <w:tblLayout w:type="fixed"/>
        <w:tblCellMar>
          <w:left w:w="70" w:type="dxa"/>
          <w:right w:w="70" w:type="dxa"/>
        </w:tblCellMar>
        <w:tblLook w:val="0000" w:firstRow="0" w:lastRow="0" w:firstColumn="0" w:lastColumn="0" w:noHBand="0" w:noVBand="0"/>
      </w:tblPr>
      <w:tblGrid>
        <w:gridCol w:w="1510"/>
        <w:gridCol w:w="5220"/>
        <w:gridCol w:w="1530"/>
        <w:gridCol w:w="1890"/>
      </w:tblGrid>
      <w:tr w:rsidR="002A6D9A" w:rsidRPr="00632033" w:rsidTr="00FC6E81">
        <w:trPr>
          <w:cantSplit/>
          <w:trHeight w:val="413"/>
        </w:trPr>
        <w:tc>
          <w:tcPr>
            <w:tcW w:w="1510" w:type="dxa"/>
            <w:tcBorders>
              <w:top w:val="single" w:sz="6" w:space="0" w:color="000000"/>
              <w:left w:val="single" w:sz="6" w:space="0" w:color="000000"/>
              <w:bottom w:val="single" w:sz="6" w:space="0" w:color="000000"/>
              <w:right w:val="single" w:sz="6" w:space="0" w:color="000000"/>
            </w:tcBorders>
            <w:vAlign w:val="center"/>
          </w:tcPr>
          <w:p w:rsidR="002A6D9A" w:rsidRPr="00632033" w:rsidRDefault="002A6D9A" w:rsidP="00EB2A96">
            <w:pPr>
              <w:spacing w:after="0" w:line="360" w:lineRule="auto"/>
              <w:rPr>
                <w:rFonts w:cs="Arial"/>
                <w:b/>
              </w:rPr>
            </w:pPr>
            <w:r w:rsidRPr="00632033">
              <w:rPr>
                <w:rFonts w:cs="Arial"/>
                <w:b/>
              </w:rPr>
              <w:lastRenderedPageBreak/>
              <w:t>Disciplina</w:t>
            </w:r>
          </w:p>
        </w:tc>
        <w:tc>
          <w:tcPr>
            <w:tcW w:w="5220" w:type="dxa"/>
            <w:tcBorders>
              <w:top w:val="single" w:sz="6" w:space="0" w:color="000000"/>
              <w:left w:val="single" w:sz="6" w:space="0" w:color="000000"/>
              <w:bottom w:val="single" w:sz="6" w:space="0" w:color="000000"/>
              <w:right w:val="single" w:sz="4" w:space="0" w:color="auto"/>
            </w:tcBorders>
            <w:vAlign w:val="center"/>
          </w:tcPr>
          <w:p w:rsidR="002A6D9A" w:rsidRPr="00632033" w:rsidRDefault="002A6D9A" w:rsidP="00EB2A96">
            <w:pPr>
              <w:spacing w:after="0" w:line="360" w:lineRule="auto"/>
              <w:rPr>
                <w:rFonts w:cs="Arial"/>
              </w:rPr>
            </w:pPr>
            <w:r w:rsidRPr="00632033">
              <w:rPr>
                <w:rFonts w:cs="Arial"/>
              </w:rPr>
              <w:t>Introdução às Ciências Médicas</w:t>
            </w:r>
          </w:p>
        </w:tc>
        <w:tc>
          <w:tcPr>
            <w:tcW w:w="1530" w:type="dxa"/>
            <w:tcBorders>
              <w:top w:val="single" w:sz="4" w:space="0" w:color="auto"/>
              <w:left w:val="single" w:sz="4" w:space="0" w:color="auto"/>
              <w:bottom w:val="single" w:sz="4" w:space="0" w:color="auto"/>
              <w:right w:val="single" w:sz="6" w:space="0" w:color="000000"/>
            </w:tcBorders>
            <w:vAlign w:val="center"/>
          </w:tcPr>
          <w:p w:rsidR="002A6D9A" w:rsidRPr="00632033" w:rsidRDefault="002A6D9A" w:rsidP="00EB2A96">
            <w:pPr>
              <w:spacing w:after="0" w:line="360" w:lineRule="auto"/>
              <w:rPr>
                <w:rFonts w:cs="Arial"/>
                <w:b/>
              </w:rPr>
            </w:pPr>
            <w:r w:rsidRPr="00632033">
              <w:rPr>
                <w:rFonts w:cs="Arial"/>
                <w:b/>
              </w:rPr>
              <w:t>N° da Aula</w:t>
            </w:r>
          </w:p>
        </w:tc>
        <w:tc>
          <w:tcPr>
            <w:tcW w:w="1890" w:type="dxa"/>
            <w:tcBorders>
              <w:top w:val="single" w:sz="4" w:space="0" w:color="auto"/>
              <w:left w:val="single" w:sz="6" w:space="0" w:color="000000"/>
              <w:bottom w:val="single" w:sz="4" w:space="0" w:color="auto"/>
              <w:right w:val="single" w:sz="4" w:space="0" w:color="auto"/>
            </w:tcBorders>
            <w:vAlign w:val="center"/>
          </w:tcPr>
          <w:p w:rsidR="002A6D9A" w:rsidRPr="007438CC" w:rsidRDefault="002A6D9A" w:rsidP="00EB2A96">
            <w:pPr>
              <w:spacing w:after="0" w:line="360" w:lineRule="auto"/>
              <w:jc w:val="center"/>
              <w:rPr>
                <w:rFonts w:cs="Arial"/>
              </w:rPr>
            </w:pPr>
            <w:r w:rsidRPr="007438CC">
              <w:rPr>
                <w:rFonts w:cs="Arial"/>
              </w:rPr>
              <w:t>15</w:t>
            </w:r>
          </w:p>
        </w:tc>
      </w:tr>
      <w:tr w:rsidR="002A6D9A" w:rsidRPr="00632033" w:rsidTr="00FC6E81">
        <w:trPr>
          <w:cantSplit/>
          <w:trHeight w:val="413"/>
        </w:trPr>
        <w:tc>
          <w:tcPr>
            <w:tcW w:w="1510" w:type="dxa"/>
            <w:tcBorders>
              <w:top w:val="single" w:sz="6" w:space="0" w:color="000000"/>
              <w:left w:val="single" w:sz="6" w:space="0" w:color="000000"/>
              <w:bottom w:val="single" w:sz="6" w:space="0" w:color="000000"/>
              <w:right w:val="single" w:sz="6" w:space="0" w:color="000000"/>
            </w:tcBorders>
            <w:vAlign w:val="center"/>
          </w:tcPr>
          <w:p w:rsidR="002A6D9A" w:rsidRPr="00632033" w:rsidRDefault="002A6D9A" w:rsidP="00EB2A96">
            <w:pPr>
              <w:spacing w:after="0" w:line="360" w:lineRule="auto"/>
              <w:rPr>
                <w:rFonts w:cs="Arial"/>
                <w:b/>
              </w:rPr>
            </w:pPr>
            <w:r w:rsidRPr="00632033">
              <w:rPr>
                <w:rFonts w:cs="Arial"/>
                <w:b/>
              </w:rPr>
              <w:t>Tópico</w:t>
            </w:r>
          </w:p>
        </w:tc>
        <w:tc>
          <w:tcPr>
            <w:tcW w:w="5220" w:type="dxa"/>
            <w:tcBorders>
              <w:top w:val="single" w:sz="6" w:space="0" w:color="000000"/>
              <w:left w:val="single" w:sz="6" w:space="0" w:color="000000"/>
              <w:bottom w:val="single" w:sz="6" w:space="0" w:color="000000"/>
              <w:right w:val="single" w:sz="4" w:space="0" w:color="auto"/>
            </w:tcBorders>
            <w:vAlign w:val="center"/>
          </w:tcPr>
          <w:p w:rsidR="002A6D9A" w:rsidRPr="007438CC" w:rsidRDefault="002A6D9A" w:rsidP="00EB2A96">
            <w:pPr>
              <w:pStyle w:val="Heading1"/>
              <w:spacing w:line="360" w:lineRule="auto"/>
              <w:rPr>
                <w:b w:val="0"/>
                <w:sz w:val="22"/>
                <w:szCs w:val="22"/>
              </w:rPr>
            </w:pPr>
            <w:bookmarkStart w:id="20" w:name="_Toc329099763"/>
            <w:r w:rsidRPr="007438CC">
              <w:rPr>
                <w:b w:val="0"/>
                <w:sz w:val="22"/>
                <w:szCs w:val="22"/>
              </w:rPr>
              <w:t>Microbiologia e Parasitologia</w:t>
            </w:r>
            <w:bookmarkEnd w:id="20"/>
          </w:p>
        </w:tc>
        <w:tc>
          <w:tcPr>
            <w:tcW w:w="1530" w:type="dxa"/>
            <w:tcBorders>
              <w:top w:val="single" w:sz="4" w:space="0" w:color="auto"/>
              <w:left w:val="single" w:sz="4" w:space="0" w:color="auto"/>
              <w:bottom w:val="single" w:sz="4" w:space="0" w:color="auto"/>
              <w:right w:val="single" w:sz="6" w:space="0" w:color="000000"/>
            </w:tcBorders>
            <w:vAlign w:val="center"/>
          </w:tcPr>
          <w:p w:rsidR="002A6D9A" w:rsidRPr="00632033" w:rsidRDefault="002A6D9A" w:rsidP="00EB2A96">
            <w:pPr>
              <w:spacing w:after="0" w:line="360" w:lineRule="auto"/>
              <w:rPr>
                <w:rFonts w:cs="Arial"/>
                <w:b/>
              </w:rPr>
            </w:pPr>
            <w:r w:rsidRPr="00632033">
              <w:rPr>
                <w:rFonts w:cs="Arial"/>
                <w:b/>
              </w:rPr>
              <w:t>Tipo</w:t>
            </w:r>
          </w:p>
        </w:tc>
        <w:tc>
          <w:tcPr>
            <w:tcW w:w="1890" w:type="dxa"/>
            <w:tcBorders>
              <w:top w:val="single" w:sz="4" w:space="0" w:color="auto"/>
              <w:left w:val="single" w:sz="6" w:space="0" w:color="000000"/>
              <w:bottom w:val="single" w:sz="4" w:space="0" w:color="auto"/>
              <w:right w:val="single" w:sz="4" w:space="0" w:color="auto"/>
            </w:tcBorders>
            <w:vAlign w:val="center"/>
          </w:tcPr>
          <w:p w:rsidR="002A6D9A" w:rsidRPr="007438CC" w:rsidRDefault="002A6D9A" w:rsidP="00EB2A96">
            <w:pPr>
              <w:spacing w:after="0" w:line="360" w:lineRule="auto"/>
              <w:jc w:val="center"/>
              <w:rPr>
                <w:rFonts w:cs="Arial"/>
              </w:rPr>
            </w:pPr>
            <w:r w:rsidRPr="007438CC">
              <w:rPr>
                <w:rFonts w:cs="Arial"/>
              </w:rPr>
              <w:t>Laboratório Humanístico</w:t>
            </w:r>
          </w:p>
        </w:tc>
      </w:tr>
      <w:tr w:rsidR="002A6D9A" w:rsidRPr="00632033" w:rsidTr="00FC6E81">
        <w:trPr>
          <w:cantSplit/>
          <w:trHeight w:val="414"/>
        </w:trPr>
        <w:tc>
          <w:tcPr>
            <w:tcW w:w="1510" w:type="dxa"/>
            <w:tcBorders>
              <w:top w:val="single" w:sz="6" w:space="0" w:color="000000"/>
              <w:left w:val="single" w:sz="6" w:space="0" w:color="000000"/>
              <w:bottom w:val="single" w:sz="6" w:space="0" w:color="000000"/>
              <w:right w:val="single" w:sz="6" w:space="0" w:color="000000"/>
            </w:tcBorders>
            <w:vAlign w:val="center"/>
          </w:tcPr>
          <w:p w:rsidR="002A6D9A" w:rsidRPr="00632033" w:rsidRDefault="002A6D9A" w:rsidP="00EB2A96">
            <w:pPr>
              <w:spacing w:after="0" w:line="360" w:lineRule="auto"/>
              <w:rPr>
                <w:rFonts w:cs="Arial"/>
                <w:b/>
              </w:rPr>
            </w:pPr>
            <w:r w:rsidRPr="00632033">
              <w:rPr>
                <w:rFonts w:cs="Arial"/>
                <w:b/>
              </w:rPr>
              <w:t>Conteúdos</w:t>
            </w:r>
          </w:p>
        </w:tc>
        <w:tc>
          <w:tcPr>
            <w:tcW w:w="5220" w:type="dxa"/>
            <w:tcBorders>
              <w:top w:val="single" w:sz="6" w:space="0" w:color="000000"/>
              <w:left w:val="single" w:sz="6" w:space="0" w:color="000000"/>
              <w:bottom w:val="single" w:sz="6" w:space="0" w:color="000000"/>
              <w:right w:val="single" w:sz="6" w:space="0" w:color="000000"/>
            </w:tcBorders>
            <w:vAlign w:val="center"/>
          </w:tcPr>
          <w:p w:rsidR="002A6D9A" w:rsidRPr="0044081B" w:rsidRDefault="002A6D9A" w:rsidP="00EB2A96">
            <w:pPr>
              <w:spacing w:after="0" w:line="360" w:lineRule="auto"/>
              <w:rPr>
                <w:rFonts w:cs="Arial"/>
                <w:lang w:val="pt-PT"/>
              </w:rPr>
            </w:pPr>
            <w:r w:rsidRPr="0044081B">
              <w:rPr>
                <w:rFonts w:cs="Arial"/>
                <w:lang w:val="pt-PT"/>
              </w:rPr>
              <w:t xml:space="preserve">Microbiologia e Parasitologia: </w:t>
            </w:r>
          </w:p>
          <w:p w:rsidR="002A6D9A" w:rsidRPr="00261123" w:rsidRDefault="002A6D9A" w:rsidP="00EB2A96">
            <w:pPr>
              <w:spacing w:after="0" w:line="360" w:lineRule="auto"/>
              <w:rPr>
                <w:rFonts w:cs="Arial"/>
                <w:lang w:val="pt-PT"/>
              </w:rPr>
            </w:pPr>
            <w:r w:rsidRPr="00261123">
              <w:rPr>
                <w:rFonts w:cs="Arial"/>
                <w:lang w:val="pt-PT"/>
              </w:rPr>
              <w:t>- Exame Microbiológico e Parasitológico de Sangue</w:t>
            </w:r>
          </w:p>
          <w:p w:rsidR="002A6D9A" w:rsidRPr="00261123" w:rsidRDefault="002A6D9A" w:rsidP="00EB2A96">
            <w:pPr>
              <w:spacing w:after="0" w:line="360" w:lineRule="auto"/>
              <w:rPr>
                <w:rFonts w:cs="Arial"/>
                <w:lang w:val="pt-PT"/>
              </w:rPr>
            </w:pPr>
            <w:r w:rsidRPr="00261123">
              <w:rPr>
                <w:rFonts w:cs="Arial"/>
                <w:lang w:val="pt-PT"/>
              </w:rPr>
              <w:t>- Expectoração</w:t>
            </w:r>
          </w:p>
          <w:p w:rsidR="002A6D9A" w:rsidRPr="00261123" w:rsidRDefault="002A6D9A" w:rsidP="00EB2A96">
            <w:pPr>
              <w:spacing w:after="0" w:line="360" w:lineRule="auto"/>
              <w:rPr>
                <w:rFonts w:cs="Arial"/>
                <w:lang w:val="pt-PT"/>
              </w:rPr>
            </w:pPr>
            <w:r w:rsidRPr="00261123">
              <w:rPr>
                <w:rFonts w:cs="Arial"/>
                <w:lang w:val="pt-PT"/>
              </w:rPr>
              <w:t>- Exsudato vaginal</w:t>
            </w:r>
          </w:p>
          <w:p w:rsidR="002A6D9A" w:rsidRPr="00261123" w:rsidRDefault="002A6D9A" w:rsidP="00EB2A96">
            <w:pPr>
              <w:spacing w:after="0" w:line="360" w:lineRule="auto"/>
              <w:rPr>
                <w:rFonts w:cs="Arial"/>
                <w:lang w:val="pt-PT"/>
              </w:rPr>
            </w:pPr>
            <w:r w:rsidRPr="00261123">
              <w:rPr>
                <w:rFonts w:cs="Arial"/>
                <w:lang w:val="pt-PT"/>
              </w:rPr>
              <w:t>- Fezes</w:t>
            </w:r>
          </w:p>
          <w:p w:rsidR="002A6D9A" w:rsidRPr="00261123" w:rsidRDefault="002A6D9A" w:rsidP="00EB2A96">
            <w:pPr>
              <w:spacing w:after="0" w:line="360" w:lineRule="auto"/>
              <w:rPr>
                <w:rFonts w:cs="Arial"/>
                <w:lang w:val="pt-PT"/>
              </w:rPr>
            </w:pPr>
            <w:r w:rsidRPr="00261123">
              <w:rPr>
                <w:rFonts w:cs="Arial"/>
                <w:lang w:val="pt-PT"/>
              </w:rPr>
              <w:t>- Urina</w:t>
            </w:r>
          </w:p>
        </w:tc>
        <w:tc>
          <w:tcPr>
            <w:tcW w:w="1530" w:type="dxa"/>
            <w:tcBorders>
              <w:top w:val="single" w:sz="4" w:space="0" w:color="auto"/>
              <w:left w:val="single" w:sz="6" w:space="0" w:color="000000"/>
              <w:bottom w:val="single" w:sz="6" w:space="0" w:color="000000"/>
              <w:right w:val="single" w:sz="6" w:space="0" w:color="000000"/>
            </w:tcBorders>
            <w:vAlign w:val="center"/>
          </w:tcPr>
          <w:p w:rsidR="002A6D9A" w:rsidRPr="00632033" w:rsidRDefault="002A6D9A" w:rsidP="00EB2A96">
            <w:pPr>
              <w:spacing w:after="0" w:line="360" w:lineRule="auto"/>
              <w:rPr>
                <w:rFonts w:cs="Arial"/>
                <w:b/>
              </w:rPr>
            </w:pPr>
            <w:r w:rsidRPr="00632033">
              <w:rPr>
                <w:rFonts w:cs="Arial"/>
                <w:b/>
              </w:rPr>
              <w:t>Duração</w:t>
            </w:r>
          </w:p>
        </w:tc>
        <w:tc>
          <w:tcPr>
            <w:tcW w:w="1890" w:type="dxa"/>
            <w:tcBorders>
              <w:top w:val="single" w:sz="4" w:space="0" w:color="auto"/>
              <w:left w:val="single" w:sz="6" w:space="0" w:color="000000"/>
              <w:bottom w:val="single" w:sz="6" w:space="0" w:color="000000"/>
              <w:right w:val="single" w:sz="6" w:space="0" w:color="000000"/>
            </w:tcBorders>
            <w:vAlign w:val="center"/>
          </w:tcPr>
          <w:p w:rsidR="002A6D9A" w:rsidRPr="007438CC" w:rsidRDefault="002A6D9A" w:rsidP="00EB2A96">
            <w:pPr>
              <w:spacing w:after="0" w:line="360" w:lineRule="auto"/>
              <w:jc w:val="center"/>
              <w:rPr>
                <w:rFonts w:cs="Arial"/>
              </w:rPr>
            </w:pPr>
            <w:r w:rsidRPr="007438CC">
              <w:rPr>
                <w:rFonts w:cs="Arial"/>
              </w:rPr>
              <w:t>3 h</w:t>
            </w:r>
          </w:p>
        </w:tc>
      </w:tr>
    </w:tbl>
    <w:p w:rsidR="002A6D9A" w:rsidRDefault="002A6D9A" w:rsidP="00EB2A96">
      <w:pPr>
        <w:spacing w:after="0" w:line="240" w:lineRule="auto"/>
        <w:outlineLvl w:val="0"/>
        <w:rPr>
          <w:rFonts w:cs="Arial"/>
          <w:b/>
          <w:bCs/>
          <w:lang w:val="pt-PT"/>
        </w:rPr>
      </w:pPr>
    </w:p>
    <w:p w:rsidR="00EB2A96" w:rsidRPr="00632033" w:rsidRDefault="00EB2A96" w:rsidP="00EB2A96">
      <w:pPr>
        <w:spacing w:after="0" w:line="240" w:lineRule="auto"/>
        <w:outlineLvl w:val="0"/>
        <w:rPr>
          <w:rFonts w:cs="Arial"/>
          <w:b/>
          <w:bCs/>
          <w:lang w:val="pt-PT"/>
        </w:rPr>
      </w:pPr>
    </w:p>
    <w:p w:rsidR="002A6D9A" w:rsidRPr="0052785B" w:rsidRDefault="002A6D9A" w:rsidP="0052785B">
      <w:pPr>
        <w:rPr>
          <w:b/>
          <w:lang w:val="pt-PT"/>
        </w:rPr>
      </w:pPr>
      <w:r w:rsidRPr="0052785B">
        <w:rPr>
          <w:b/>
          <w:lang w:val="pt-PT"/>
        </w:rPr>
        <w:t>Objectivos de Aprendizagem:</w:t>
      </w:r>
    </w:p>
    <w:p w:rsidR="002A6D9A" w:rsidRPr="00632033" w:rsidRDefault="002A6D9A" w:rsidP="002A6D9A">
      <w:pPr>
        <w:rPr>
          <w:rFonts w:cs="Arial"/>
          <w:lang w:val="pt-PT"/>
        </w:rPr>
      </w:pPr>
      <w:r w:rsidRPr="00632033">
        <w:rPr>
          <w:rFonts w:cs="Arial"/>
          <w:lang w:val="pt-PT"/>
        </w:rPr>
        <w:t>Até ao fim da aula os alunos devem ser capazes de:</w:t>
      </w:r>
    </w:p>
    <w:p w:rsidR="002A6D9A" w:rsidRPr="0055505E" w:rsidRDefault="002A6D9A" w:rsidP="00C52E09">
      <w:pPr>
        <w:pStyle w:val="ListParagraph"/>
        <w:numPr>
          <w:ilvl w:val="0"/>
          <w:numId w:val="254"/>
        </w:numPr>
        <w:spacing w:after="0"/>
        <w:rPr>
          <w:rFonts w:cs="Arial"/>
          <w:lang w:val="pt-PT"/>
        </w:rPr>
      </w:pPr>
      <w:r w:rsidRPr="0055505E">
        <w:rPr>
          <w:rFonts w:cs="Arial"/>
          <w:lang w:val="pt-PT"/>
        </w:rPr>
        <w:t>Reconhecer os microrganismos patogénicos e correlacionar com a doença que causa</w:t>
      </w:r>
    </w:p>
    <w:p w:rsidR="002A6D9A" w:rsidRPr="0055505E" w:rsidRDefault="002A6D9A" w:rsidP="00C52E09">
      <w:pPr>
        <w:pStyle w:val="ListParagraph"/>
        <w:numPr>
          <w:ilvl w:val="0"/>
          <w:numId w:val="254"/>
        </w:numPr>
        <w:spacing w:after="0"/>
        <w:rPr>
          <w:rFonts w:cs="Arial"/>
          <w:lang w:val="pt-PT"/>
        </w:rPr>
      </w:pPr>
      <w:r w:rsidRPr="0055505E">
        <w:rPr>
          <w:rFonts w:cs="Arial"/>
          <w:lang w:val="pt-PT"/>
        </w:rPr>
        <w:t>Observar em preparados histológicos alguns microrganismos como:</w:t>
      </w:r>
    </w:p>
    <w:p w:rsidR="002A6D9A" w:rsidRPr="0055505E" w:rsidRDefault="002A6D9A" w:rsidP="00C52E09">
      <w:pPr>
        <w:pStyle w:val="ListParagraph"/>
        <w:numPr>
          <w:ilvl w:val="0"/>
          <w:numId w:val="255"/>
        </w:numPr>
        <w:tabs>
          <w:tab w:val="left" w:pos="1260"/>
        </w:tabs>
        <w:spacing w:after="0"/>
        <w:rPr>
          <w:rFonts w:cs="Arial"/>
          <w:lang w:val="pt-PT"/>
        </w:rPr>
      </w:pPr>
      <w:r w:rsidRPr="0055505E">
        <w:rPr>
          <w:rFonts w:cs="Arial"/>
          <w:lang w:val="pt-PT"/>
        </w:rPr>
        <w:t xml:space="preserve">Bactérias: </w:t>
      </w:r>
      <w:r w:rsidRPr="0055505E">
        <w:rPr>
          <w:rFonts w:cs="Arial"/>
          <w:i/>
          <w:lang w:val="pt-PT"/>
        </w:rPr>
        <w:t>Mycobacterium tuberculosis, bactérias gram positivas e gram negativas, diplococos, estreptococos, estafilococos</w:t>
      </w:r>
    </w:p>
    <w:p w:rsidR="002A6D9A" w:rsidRPr="0055505E" w:rsidRDefault="002A6D9A" w:rsidP="00C52E09">
      <w:pPr>
        <w:pStyle w:val="ListParagraph"/>
        <w:numPr>
          <w:ilvl w:val="0"/>
          <w:numId w:val="255"/>
        </w:numPr>
        <w:tabs>
          <w:tab w:val="left" w:pos="1260"/>
        </w:tabs>
        <w:spacing w:after="0"/>
        <w:rPr>
          <w:rFonts w:cs="Arial"/>
          <w:lang w:val="pt-PT"/>
        </w:rPr>
      </w:pPr>
      <w:r w:rsidRPr="0055505E">
        <w:rPr>
          <w:rFonts w:cs="Arial"/>
          <w:lang w:val="pt-PT"/>
        </w:rPr>
        <w:t xml:space="preserve">Fungos: </w:t>
      </w:r>
      <w:r w:rsidRPr="0055505E">
        <w:rPr>
          <w:rFonts w:cs="Arial"/>
          <w:i/>
          <w:lang w:val="pt-PT"/>
        </w:rPr>
        <w:t>cândida spp</w:t>
      </w:r>
    </w:p>
    <w:p w:rsidR="002A6D9A" w:rsidRPr="0055505E" w:rsidRDefault="002A6D9A" w:rsidP="00C52E09">
      <w:pPr>
        <w:pStyle w:val="ListParagraph"/>
        <w:numPr>
          <w:ilvl w:val="0"/>
          <w:numId w:val="255"/>
        </w:numPr>
        <w:tabs>
          <w:tab w:val="left" w:pos="1260"/>
        </w:tabs>
        <w:spacing w:after="0"/>
        <w:rPr>
          <w:rFonts w:cs="Arial"/>
          <w:lang w:val="pt-PT"/>
        </w:rPr>
      </w:pPr>
      <w:r w:rsidRPr="0055505E">
        <w:rPr>
          <w:rFonts w:cs="Arial"/>
          <w:lang w:val="pt-PT"/>
        </w:rPr>
        <w:t xml:space="preserve">Protozoários: </w:t>
      </w:r>
      <w:r w:rsidRPr="0055505E">
        <w:rPr>
          <w:rFonts w:cs="Arial"/>
          <w:i/>
          <w:lang w:val="pt-BR"/>
        </w:rPr>
        <w:t>Entamoeba histolytica, Giardia lamblia, Trichomonas vaginalis, Plasmodium falciparum</w:t>
      </w:r>
    </w:p>
    <w:p w:rsidR="002A6D9A" w:rsidRPr="0055505E" w:rsidRDefault="002A6D9A" w:rsidP="00C52E09">
      <w:pPr>
        <w:pStyle w:val="ListParagraph"/>
        <w:numPr>
          <w:ilvl w:val="0"/>
          <w:numId w:val="255"/>
        </w:numPr>
        <w:tabs>
          <w:tab w:val="left" w:pos="1260"/>
        </w:tabs>
        <w:spacing w:after="0"/>
        <w:rPr>
          <w:rFonts w:cs="Arial"/>
          <w:lang w:val="pt-PT"/>
        </w:rPr>
      </w:pPr>
      <w:r w:rsidRPr="0055505E">
        <w:rPr>
          <w:rFonts w:cs="Arial"/>
          <w:lang w:val="pt-PT"/>
        </w:rPr>
        <w:t>Helmintos: ovos de ascaris lumbricoides, ovos de Schistosoma haematobium, ovos de Trichuris trichuria</w:t>
      </w:r>
    </w:p>
    <w:p w:rsidR="002A6D9A" w:rsidRDefault="002A6D9A" w:rsidP="00EB2A96">
      <w:pPr>
        <w:tabs>
          <w:tab w:val="left" w:pos="244"/>
        </w:tabs>
        <w:spacing w:after="0" w:line="240" w:lineRule="auto"/>
        <w:rPr>
          <w:rFonts w:cs="Arial"/>
          <w:lang w:val="pt-PT"/>
        </w:rPr>
      </w:pPr>
    </w:p>
    <w:p w:rsidR="00EB2A96" w:rsidRPr="00632033" w:rsidRDefault="00EB2A96" w:rsidP="00EB2A96">
      <w:pPr>
        <w:tabs>
          <w:tab w:val="left" w:pos="244"/>
        </w:tabs>
        <w:spacing w:after="0" w:line="240" w:lineRule="auto"/>
        <w:rPr>
          <w:rFonts w:cs="Arial"/>
          <w:lang w:val="pt-PT"/>
        </w:rPr>
      </w:pPr>
    </w:p>
    <w:p w:rsidR="002A6D9A" w:rsidRPr="0052785B" w:rsidRDefault="002A6D9A" w:rsidP="0052785B">
      <w:pPr>
        <w:rPr>
          <w:b/>
          <w:lang w:val="pt-PT"/>
        </w:rPr>
      </w:pPr>
      <w:r w:rsidRPr="0052785B">
        <w:rPr>
          <w:b/>
          <w:lang w:val="pt-PT"/>
        </w:rPr>
        <w:t>Estrutura da Aula</w:t>
      </w:r>
    </w:p>
    <w:tbl>
      <w:tblPr>
        <w:tblW w:w="10098" w:type="dxa"/>
        <w:tblBorders>
          <w:top w:val="single" w:sz="18" w:space="0" w:color="auto"/>
          <w:bottom w:val="single" w:sz="18" w:space="0" w:color="auto"/>
        </w:tblBorders>
        <w:tblLayout w:type="fixed"/>
        <w:tblLook w:val="0000" w:firstRow="0" w:lastRow="0" w:firstColumn="0" w:lastColumn="0" w:noHBand="0" w:noVBand="0"/>
      </w:tblPr>
      <w:tblGrid>
        <w:gridCol w:w="1098"/>
        <w:gridCol w:w="5670"/>
        <w:gridCol w:w="3330"/>
      </w:tblGrid>
      <w:tr w:rsidR="002A6D9A" w:rsidRPr="00632033" w:rsidTr="00FC6E81">
        <w:trPr>
          <w:cantSplit/>
          <w:trHeight w:val="490"/>
        </w:trPr>
        <w:tc>
          <w:tcPr>
            <w:tcW w:w="1098" w:type="dxa"/>
            <w:tcBorders>
              <w:top w:val="single" w:sz="12" w:space="0" w:color="auto"/>
              <w:bottom w:val="single" w:sz="12" w:space="0" w:color="auto"/>
              <w:right w:val="single" w:sz="4" w:space="0" w:color="auto"/>
            </w:tcBorders>
            <w:shd w:val="clear" w:color="auto" w:fill="C6D9F1"/>
            <w:vAlign w:val="center"/>
          </w:tcPr>
          <w:p w:rsidR="002A6D9A" w:rsidRPr="00632033" w:rsidRDefault="002A6D9A" w:rsidP="002A6D9A">
            <w:pPr>
              <w:spacing w:line="600" w:lineRule="auto"/>
              <w:ind w:left="-110" w:right="-108"/>
              <w:jc w:val="center"/>
              <w:rPr>
                <w:rFonts w:cs="Arial"/>
                <w:b/>
              </w:rPr>
            </w:pPr>
            <w:r w:rsidRPr="00632033">
              <w:rPr>
                <w:rFonts w:cs="Arial"/>
                <w:b/>
              </w:rPr>
              <w:t>Bloco</w:t>
            </w:r>
          </w:p>
        </w:tc>
        <w:tc>
          <w:tcPr>
            <w:tcW w:w="5670" w:type="dxa"/>
            <w:tcBorders>
              <w:top w:val="single" w:sz="12" w:space="0" w:color="auto"/>
              <w:left w:val="single" w:sz="4" w:space="0" w:color="auto"/>
              <w:bottom w:val="single" w:sz="12" w:space="0" w:color="auto"/>
              <w:right w:val="single" w:sz="4" w:space="0" w:color="auto"/>
            </w:tcBorders>
            <w:shd w:val="clear" w:color="auto" w:fill="C6D9F1"/>
            <w:vAlign w:val="center"/>
          </w:tcPr>
          <w:p w:rsidR="002A6D9A" w:rsidRPr="00632033" w:rsidRDefault="002A6D9A" w:rsidP="002A6D9A">
            <w:pPr>
              <w:spacing w:line="600" w:lineRule="auto"/>
              <w:jc w:val="center"/>
              <w:rPr>
                <w:rFonts w:cs="Arial"/>
                <w:b/>
              </w:rPr>
            </w:pPr>
            <w:r w:rsidRPr="00632033">
              <w:rPr>
                <w:rFonts w:cs="Arial"/>
                <w:b/>
              </w:rPr>
              <w:t>Título do bloco</w:t>
            </w:r>
          </w:p>
        </w:tc>
        <w:tc>
          <w:tcPr>
            <w:tcW w:w="3330" w:type="dxa"/>
            <w:tcBorders>
              <w:top w:val="single" w:sz="12" w:space="0" w:color="auto"/>
              <w:left w:val="single" w:sz="4" w:space="0" w:color="auto"/>
              <w:bottom w:val="single" w:sz="12" w:space="0" w:color="auto"/>
            </w:tcBorders>
            <w:shd w:val="clear" w:color="auto" w:fill="C6D9F1"/>
            <w:vAlign w:val="center"/>
          </w:tcPr>
          <w:p w:rsidR="002A6D9A" w:rsidRPr="00632033" w:rsidRDefault="002A6D9A" w:rsidP="002A6D9A">
            <w:pPr>
              <w:tabs>
                <w:tab w:val="left" w:pos="244"/>
              </w:tabs>
              <w:spacing w:line="600" w:lineRule="auto"/>
              <w:jc w:val="center"/>
              <w:rPr>
                <w:rFonts w:cs="Arial"/>
                <w:b/>
              </w:rPr>
            </w:pPr>
            <w:r w:rsidRPr="00632033">
              <w:rPr>
                <w:rFonts w:cs="Arial"/>
                <w:b/>
              </w:rPr>
              <w:t>Duração</w:t>
            </w:r>
          </w:p>
        </w:tc>
      </w:tr>
      <w:tr w:rsidR="002A6D9A" w:rsidRPr="00632033" w:rsidTr="00FC6E81">
        <w:trPr>
          <w:cantSplit/>
        </w:trPr>
        <w:tc>
          <w:tcPr>
            <w:tcW w:w="1098" w:type="dxa"/>
            <w:tcBorders>
              <w:top w:val="single" w:sz="12" w:space="0" w:color="auto"/>
              <w:bottom w:val="single" w:sz="4" w:space="0" w:color="auto"/>
              <w:right w:val="single" w:sz="4" w:space="0" w:color="auto"/>
            </w:tcBorders>
          </w:tcPr>
          <w:p w:rsidR="002A6D9A" w:rsidRPr="00632033" w:rsidRDefault="002A6D9A" w:rsidP="002A6D9A">
            <w:pPr>
              <w:spacing w:before="60" w:after="60" w:line="600" w:lineRule="auto"/>
              <w:ind w:left="-110" w:right="-108"/>
              <w:jc w:val="center"/>
              <w:rPr>
                <w:rFonts w:cs="Arial"/>
              </w:rPr>
            </w:pPr>
            <w:r w:rsidRPr="00632033">
              <w:rPr>
                <w:rFonts w:cs="Arial"/>
              </w:rPr>
              <w:t>1</w:t>
            </w:r>
          </w:p>
        </w:tc>
        <w:tc>
          <w:tcPr>
            <w:tcW w:w="5670" w:type="dxa"/>
            <w:tcBorders>
              <w:top w:val="single" w:sz="12" w:space="0" w:color="auto"/>
              <w:left w:val="single" w:sz="4" w:space="0" w:color="auto"/>
              <w:bottom w:val="single" w:sz="4" w:space="0" w:color="auto"/>
              <w:right w:val="single" w:sz="4" w:space="0" w:color="auto"/>
            </w:tcBorders>
          </w:tcPr>
          <w:p w:rsidR="002A6D9A" w:rsidRPr="00632033" w:rsidRDefault="002A6D9A" w:rsidP="002A6D9A">
            <w:pPr>
              <w:spacing w:before="60" w:after="60" w:line="600" w:lineRule="auto"/>
              <w:ind w:left="270" w:hanging="270"/>
              <w:rPr>
                <w:rFonts w:cs="Arial"/>
              </w:rPr>
            </w:pPr>
            <w:r w:rsidRPr="00632033">
              <w:rPr>
                <w:rFonts w:cs="Arial"/>
              </w:rPr>
              <w:t>Introdução à Aula</w:t>
            </w:r>
          </w:p>
        </w:tc>
        <w:tc>
          <w:tcPr>
            <w:tcW w:w="3330" w:type="dxa"/>
            <w:tcBorders>
              <w:top w:val="single" w:sz="12" w:space="0" w:color="auto"/>
              <w:left w:val="single" w:sz="4" w:space="0" w:color="auto"/>
              <w:bottom w:val="single" w:sz="4" w:space="0" w:color="auto"/>
            </w:tcBorders>
            <w:vAlign w:val="center"/>
          </w:tcPr>
          <w:p w:rsidR="002A6D9A" w:rsidRPr="00632033" w:rsidRDefault="002A6D9A" w:rsidP="002A6D9A">
            <w:pPr>
              <w:tabs>
                <w:tab w:val="left" w:pos="244"/>
              </w:tabs>
              <w:spacing w:before="60" w:after="60" w:line="600" w:lineRule="auto"/>
              <w:jc w:val="center"/>
              <w:rPr>
                <w:rFonts w:cs="Arial"/>
              </w:rPr>
            </w:pPr>
            <w:r w:rsidRPr="00632033">
              <w:rPr>
                <w:rFonts w:cs="Arial"/>
              </w:rPr>
              <w:t>00:05</w:t>
            </w:r>
            <w:r w:rsidR="00FC6E81">
              <w:rPr>
                <w:rFonts w:cs="Arial"/>
              </w:rPr>
              <w:t>min</w:t>
            </w:r>
          </w:p>
        </w:tc>
      </w:tr>
      <w:tr w:rsidR="002A6D9A" w:rsidRPr="00632033" w:rsidTr="00FC6E81">
        <w:trPr>
          <w:cantSplit/>
        </w:trPr>
        <w:tc>
          <w:tcPr>
            <w:tcW w:w="1098" w:type="dxa"/>
            <w:tcBorders>
              <w:top w:val="single" w:sz="4" w:space="0" w:color="auto"/>
              <w:bottom w:val="single" w:sz="4" w:space="0" w:color="auto"/>
              <w:right w:val="single" w:sz="4" w:space="0" w:color="auto"/>
            </w:tcBorders>
            <w:shd w:val="clear" w:color="auto" w:fill="D9D9D9"/>
          </w:tcPr>
          <w:p w:rsidR="002A6D9A" w:rsidRPr="00632033" w:rsidRDefault="002A6D9A" w:rsidP="002A6D9A">
            <w:pPr>
              <w:spacing w:before="60" w:after="60" w:line="600" w:lineRule="auto"/>
              <w:ind w:left="-110" w:right="-108"/>
              <w:jc w:val="center"/>
              <w:rPr>
                <w:rFonts w:cs="Arial"/>
              </w:rPr>
            </w:pPr>
            <w:r w:rsidRPr="00632033">
              <w:rPr>
                <w:rFonts w:cs="Arial"/>
              </w:rPr>
              <w:t>2</w:t>
            </w:r>
          </w:p>
        </w:tc>
        <w:tc>
          <w:tcPr>
            <w:tcW w:w="5670" w:type="dxa"/>
            <w:tcBorders>
              <w:top w:val="single" w:sz="4" w:space="0" w:color="auto"/>
              <w:left w:val="single" w:sz="4" w:space="0" w:color="auto"/>
              <w:bottom w:val="single" w:sz="4" w:space="0" w:color="auto"/>
              <w:right w:val="single" w:sz="4" w:space="0" w:color="auto"/>
            </w:tcBorders>
            <w:shd w:val="clear" w:color="auto" w:fill="D9D9D9"/>
          </w:tcPr>
          <w:p w:rsidR="002A6D9A" w:rsidRPr="00632033" w:rsidRDefault="002A6D9A" w:rsidP="002A6D9A">
            <w:pPr>
              <w:spacing w:before="60" w:after="60" w:line="600" w:lineRule="auto"/>
              <w:ind w:left="270" w:hanging="270"/>
              <w:rPr>
                <w:rFonts w:cs="Arial"/>
              </w:rPr>
            </w:pPr>
            <w:r w:rsidRPr="00632033">
              <w:rPr>
                <w:rFonts w:cs="Arial"/>
              </w:rPr>
              <w:t>Introdução à Técnica (Revisão)</w:t>
            </w:r>
          </w:p>
        </w:tc>
        <w:tc>
          <w:tcPr>
            <w:tcW w:w="3330" w:type="dxa"/>
            <w:tcBorders>
              <w:top w:val="single" w:sz="4" w:space="0" w:color="auto"/>
              <w:left w:val="single" w:sz="4" w:space="0" w:color="auto"/>
              <w:bottom w:val="single" w:sz="4" w:space="0" w:color="auto"/>
            </w:tcBorders>
            <w:shd w:val="clear" w:color="auto" w:fill="D9D9D9"/>
            <w:vAlign w:val="center"/>
          </w:tcPr>
          <w:p w:rsidR="002A6D9A" w:rsidRPr="00632033" w:rsidRDefault="002A6D9A" w:rsidP="002A6D9A">
            <w:pPr>
              <w:tabs>
                <w:tab w:val="left" w:pos="244"/>
              </w:tabs>
              <w:spacing w:before="60" w:after="60" w:line="600" w:lineRule="auto"/>
              <w:jc w:val="center"/>
              <w:rPr>
                <w:rFonts w:cs="Arial"/>
              </w:rPr>
            </w:pPr>
            <w:r w:rsidRPr="00632033">
              <w:rPr>
                <w:rFonts w:cs="Arial"/>
              </w:rPr>
              <w:t>00:</w:t>
            </w:r>
            <w:r>
              <w:rPr>
                <w:rFonts w:cs="Arial"/>
              </w:rPr>
              <w:t>20</w:t>
            </w:r>
            <w:r w:rsidR="00FC6E81">
              <w:rPr>
                <w:rFonts w:cs="Arial"/>
              </w:rPr>
              <w:t>min</w:t>
            </w:r>
          </w:p>
        </w:tc>
      </w:tr>
      <w:tr w:rsidR="002A6D9A" w:rsidRPr="00632033" w:rsidTr="00FC6E81">
        <w:trPr>
          <w:cantSplit/>
        </w:trPr>
        <w:tc>
          <w:tcPr>
            <w:tcW w:w="1098" w:type="dxa"/>
            <w:tcBorders>
              <w:top w:val="single" w:sz="4" w:space="0" w:color="auto"/>
              <w:bottom w:val="single" w:sz="4" w:space="0" w:color="auto"/>
              <w:right w:val="single" w:sz="4" w:space="0" w:color="auto"/>
            </w:tcBorders>
          </w:tcPr>
          <w:p w:rsidR="002A6D9A" w:rsidRPr="00632033" w:rsidRDefault="002A6D9A" w:rsidP="002A6D9A">
            <w:pPr>
              <w:spacing w:before="60" w:after="60" w:line="600" w:lineRule="auto"/>
              <w:ind w:left="-110" w:right="-108"/>
              <w:jc w:val="center"/>
              <w:rPr>
                <w:rFonts w:cs="Arial"/>
              </w:rPr>
            </w:pPr>
            <w:r w:rsidRPr="00632033">
              <w:rPr>
                <w:rFonts w:cs="Arial"/>
              </w:rPr>
              <w:t>3</w:t>
            </w:r>
          </w:p>
        </w:tc>
        <w:tc>
          <w:tcPr>
            <w:tcW w:w="5670" w:type="dxa"/>
            <w:tcBorders>
              <w:top w:val="single" w:sz="4" w:space="0" w:color="auto"/>
              <w:left w:val="single" w:sz="4" w:space="0" w:color="auto"/>
              <w:bottom w:val="single" w:sz="4" w:space="0" w:color="auto"/>
              <w:right w:val="single" w:sz="4" w:space="0" w:color="auto"/>
            </w:tcBorders>
          </w:tcPr>
          <w:p w:rsidR="002A6D9A" w:rsidRPr="00632033" w:rsidRDefault="002A6D9A" w:rsidP="002A6D9A">
            <w:pPr>
              <w:spacing w:before="60" w:after="60" w:line="600" w:lineRule="auto"/>
              <w:ind w:left="270" w:hanging="270"/>
              <w:rPr>
                <w:rFonts w:cs="Arial"/>
                <w:lang w:val="pt-PT"/>
              </w:rPr>
            </w:pPr>
            <w:r w:rsidRPr="00632033">
              <w:rPr>
                <w:rFonts w:cs="Arial"/>
                <w:lang w:val="pt-PT"/>
              </w:rPr>
              <w:t>Demonstração da Técnica pelo Docente</w:t>
            </w:r>
          </w:p>
        </w:tc>
        <w:tc>
          <w:tcPr>
            <w:tcW w:w="3330" w:type="dxa"/>
            <w:tcBorders>
              <w:top w:val="single" w:sz="4" w:space="0" w:color="auto"/>
              <w:left w:val="single" w:sz="4" w:space="0" w:color="auto"/>
              <w:bottom w:val="single" w:sz="4" w:space="0" w:color="auto"/>
            </w:tcBorders>
            <w:vAlign w:val="center"/>
          </w:tcPr>
          <w:p w:rsidR="002A6D9A" w:rsidRPr="00632033" w:rsidRDefault="002A6D9A" w:rsidP="002A6D9A">
            <w:pPr>
              <w:tabs>
                <w:tab w:val="left" w:pos="244"/>
              </w:tabs>
              <w:spacing w:before="60" w:after="60" w:line="600" w:lineRule="auto"/>
              <w:jc w:val="center"/>
              <w:rPr>
                <w:rFonts w:cs="Arial"/>
              </w:rPr>
            </w:pPr>
            <w:r w:rsidRPr="00632033">
              <w:rPr>
                <w:rFonts w:cs="Arial"/>
              </w:rPr>
              <w:t>00:</w:t>
            </w:r>
            <w:r>
              <w:rPr>
                <w:rFonts w:cs="Arial"/>
              </w:rPr>
              <w:t>6</w:t>
            </w:r>
            <w:r w:rsidRPr="00632033">
              <w:rPr>
                <w:rFonts w:cs="Arial"/>
              </w:rPr>
              <w:t>0</w:t>
            </w:r>
            <w:r w:rsidR="00FC6E81">
              <w:rPr>
                <w:rFonts w:cs="Arial"/>
              </w:rPr>
              <w:t>min</w:t>
            </w:r>
          </w:p>
        </w:tc>
      </w:tr>
      <w:tr w:rsidR="002A6D9A" w:rsidRPr="00632033" w:rsidTr="00FC6E81">
        <w:trPr>
          <w:cantSplit/>
        </w:trPr>
        <w:tc>
          <w:tcPr>
            <w:tcW w:w="1098" w:type="dxa"/>
            <w:tcBorders>
              <w:top w:val="single" w:sz="4" w:space="0" w:color="auto"/>
              <w:bottom w:val="single" w:sz="12" w:space="0" w:color="auto"/>
              <w:right w:val="single" w:sz="4" w:space="0" w:color="auto"/>
            </w:tcBorders>
            <w:shd w:val="clear" w:color="auto" w:fill="D9D9D9"/>
          </w:tcPr>
          <w:p w:rsidR="002A6D9A" w:rsidRPr="00632033" w:rsidRDefault="002A6D9A" w:rsidP="002A6D9A">
            <w:pPr>
              <w:spacing w:before="60" w:after="60" w:line="600" w:lineRule="auto"/>
              <w:ind w:left="-110" w:right="-108"/>
              <w:jc w:val="center"/>
              <w:rPr>
                <w:rFonts w:cs="Arial"/>
              </w:rPr>
            </w:pPr>
            <w:r w:rsidRPr="00632033">
              <w:rPr>
                <w:rFonts w:cs="Arial"/>
              </w:rPr>
              <w:t>4</w:t>
            </w:r>
          </w:p>
        </w:tc>
        <w:tc>
          <w:tcPr>
            <w:tcW w:w="5670" w:type="dxa"/>
            <w:tcBorders>
              <w:top w:val="single" w:sz="4" w:space="0" w:color="auto"/>
              <w:left w:val="single" w:sz="4" w:space="0" w:color="auto"/>
              <w:bottom w:val="single" w:sz="12" w:space="0" w:color="auto"/>
              <w:right w:val="single" w:sz="4" w:space="0" w:color="auto"/>
            </w:tcBorders>
            <w:shd w:val="clear" w:color="auto" w:fill="D9D9D9"/>
          </w:tcPr>
          <w:p w:rsidR="002A6D9A" w:rsidRPr="00632033" w:rsidRDefault="002A6D9A" w:rsidP="002A6D9A">
            <w:pPr>
              <w:spacing w:before="60" w:after="60" w:line="600" w:lineRule="auto"/>
              <w:ind w:left="270" w:hanging="270"/>
              <w:rPr>
                <w:rFonts w:cs="Arial"/>
                <w:lang w:val="pt-PT"/>
              </w:rPr>
            </w:pPr>
            <w:r w:rsidRPr="00632033">
              <w:rPr>
                <w:rFonts w:cs="Arial"/>
                <w:lang w:val="pt-PT"/>
              </w:rPr>
              <w:t>Prática da Técnica pelos Alunos</w:t>
            </w:r>
          </w:p>
        </w:tc>
        <w:tc>
          <w:tcPr>
            <w:tcW w:w="3330" w:type="dxa"/>
            <w:tcBorders>
              <w:top w:val="single" w:sz="4" w:space="0" w:color="auto"/>
              <w:left w:val="single" w:sz="4" w:space="0" w:color="auto"/>
              <w:bottom w:val="single" w:sz="12" w:space="0" w:color="auto"/>
            </w:tcBorders>
            <w:shd w:val="clear" w:color="auto" w:fill="D9D9D9"/>
            <w:vAlign w:val="center"/>
          </w:tcPr>
          <w:p w:rsidR="002A6D9A" w:rsidRPr="00632033" w:rsidRDefault="002A6D9A" w:rsidP="002A6D9A">
            <w:pPr>
              <w:tabs>
                <w:tab w:val="left" w:pos="244"/>
              </w:tabs>
              <w:spacing w:before="60" w:after="60" w:line="600" w:lineRule="auto"/>
              <w:jc w:val="center"/>
              <w:rPr>
                <w:rFonts w:cs="Arial"/>
              </w:rPr>
            </w:pPr>
            <w:r w:rsidRPr="00632033">
              <w:rPr>
                <w:rFonts w:cs="Arial"/>
              </w:rPr>
              <w:t>00:</w:t>
            </w:r>
            <w:r>
              <w:rPr>
                <w:rFonts w:cs="Arial"/>
              </w:rPr>
              <w:t>9</w:t>
            </w:r>
            <w:r w:rsidRPr="00632033">
              <w:rPr>
                <w:rFonts w:cs="Arial"/>
              </w:rPr>
              <w:t>5</w:t>
            </w:r>
            <w:r w:rsidR="00FC6E81">
              <w:rPr>
                <w:rFonts w:cs="Arial"/>
              </w:rPr>
              <w:t>min</w:t>
            </w:r>
          </w:p>
        </w:tc>
      </w:tr>
    </w:tbl>
    <w:p w:rsidR="00EB2A96" w:rsidRDefault="00EB2A96" w:rsidP="009338DC">
      <w:pPr>
        <w:rPr>
          <w:b/>
          <w:lang w:val="pt-PT"/>
        </w:rPr>
      </w:pPr>
    </w:p>
    <w:p w:rsidR="00EB2A96" w:rsidRDefault="00EB2A96">
      <w:pPr>
        <w:rPr>
          <w:b/>
          <w:lang w:val="pt-PT"/>
        </w:rPr>
      </w:pPr>
      <w:r>
        <w:rPr>
          <w:b/>
          <w:lang w:val="pt-PT"/>
        </w:rPr>
        <w:br w:type="page"/>
      </w:r>
    </w:p>
    <w:p w:rsidR="002A6D9A" w:rsidRPr="009338DC" w:rsidRDefault="002A6D9A" w:rsidP="009338DC">
      <w:pPr>
        <w:rPr>
          <w:b/>
          <w:lang w:val="pt-PT"/>
        </w:rPr>
      </w:pPr>
      <w:r w:rsidRPr="009338DC">
        <w:rPr>
          <w:b/>
          <w:lang w:val="pt-PT"/>
        </w:rPr>
        <w:lastRenderedPageBreak/>
        <w:t>Equipamentos e meios audiovisuais necessários:</w:t>
      </w:r>
    </w:p>
    <w:p w:rsidR="002A6D9A" w:rsidRPr="00632033" w:rsidRDefault="002A6D9A" w:rsidP="00C52E09">
      <w:pPr>
        <w:pStyle w:val="ListParagraph"/>
        <w:numPr>
          <w:ilvl w:val="0"/>
          <w:numId w:val="145"/>
        </w:numPr>
        <w:tabs>
          <w:tab w:val="left" w:pos="244"/>
        </w:tabs>
        <w:spacing w:after="0"/>
        <w:contextualSpacing w:val="0"/>
        <w:rPr>
          <w:rFonts w:cs="Arial"/>
          <w:i/>
          <w:iCs/>
          <w:lang w:val="pt-PT"/>
        </w:rPr>
      </w:pPr>
      <w:r w:rsidRPr="00632033">
        <w:rPr>
          <w:rFonts w:cs="Arial"/>
          <w:lang w:val="pt-PT"/>
        </w:rPr>
        <w:t xml:space="preserve">Preparação de amostras microbiológicas e parasitológicas de : </w:t>
      </w:r>
    </w:p>
    <w:p w:rsidR="002A6D9A" w:rsidRPr="00632033" w:rsidRDefault="002A6D9A" w:rsidP="00C52E09">
      <w:pPr>
        <w:numPr>
          <w:ilvl w:val="0"/>
          <w:numId w:val="147"/>
        </w:numPr>
        <w:spacing w:after="0"/>
        <w:ind w:left="1260"/>
        <w:rPr>
          <w:rFonts w:cs="Arial"/>
        </w:rPr>
      </w:pPr>
      <w:r w:rsidRPr="00632033">
        <w:rPr>
          <w:rFonts w:cs="Arial"/>
        </w:rPr>
        <w:t xml:space="preserve">Mycobacterium tuberculosis </w:t>
      </w:r>
    </w:p>
    <w:p w:rsidR="002A6D9A" w:rsidRPr="00632033" w:rsidRDefault="002A6D9A" w:rsidP="00C52E09">
      <w:pPr>
        <w:numPr>
          <w:ilvl w:val="0"/>
          <w:numId w:val="147"/>
        </w:numPr>
        <w:spacing w:after="0"/>
        <w:ind w:left="1260"/>
        <w:rPr>
          <w:rFonts w:cs="Arial"/>
        </w:rPr>
      </w:pPr>
      <w:r w:rsidRPr="00632033">
        <w:rPr>
          <w:rFonts w:cs="Arial"/>
        </w:rPr>
        <w:t>Bactérias gram positivas (streptococcus)</w:t>
      </w:r>
    </w:p>
    <w:p w:rsidR="002A6D9A" w:rsidRPr="00632033" w:rsidRDefault="002A6D9A" w:rsidP="00C52E09">
      <w:pPr>
        <w:numPr>
          <w:ilvl w:val="0"/>
          <w:numId w:val="147"/>
        </w:numPr>
        <w:spacing w:after="0"/>
        <w:ind w:left="1260"/>
        <w:rPr>
          <w:rFonts w:cs="Arial"/>
        </w:rPr>
      </w:pPr>
      <w:r w:rsidRPr="00632033">
        <w:rPr>
          <w:rFonts w:cs="Arial"/>
        </w:rPr>
        <w:t>Bactérias Gram negativas (estafilococcus)</w:t>
      </w:r>
    </w:p>
    <w:p w:rsidR="002A6D9A" w:rsidRPr="00632033" w:rsidRDefault="002A6D9A" w:rsidP="00C52E09">
      <w:pPr>
        <w:numPr>
          <w:ilvl w:val="0"/>
          <w:numId w:val="147"/>
        </w:numPr>
        <w:spacing w:after="0"/>
        <w:ind w:left="1260"/>
        <w:rPr>
          <w:rFonts w:cs="Arial"/>
        </w:rPr>
      </w:pPr>
      <w:r w:rsidRPr="00632033">
        <w:rPr>
          <w:rFonts w:cs="Arial"/>
        </w:rPr>
        <w:t>Diplococos (neisseria gonorrhoeae)</w:t>
      </w:r>
    </w:p>
    <w:p w:rsidR="002A6D9A" w:rsidRPr="00632033" w:rsidRDefault="002A6D9A" w:rsidP="00C52E09">
      <w:pPr>
        <w:numPr>
          <w:ilvl w:val="0"/>
          <w:numId w:val="147"/>
        </w:numPr>
        <w:spacing w:after="0"/>
        <w:ind w:left="1260"/>
        <w:rPr>
          <w:rFonts w:cs="Arial"/>
        </w:rPr>
      </w:pPr>
      <w:r w:rsidRPr="00632033">
        <w:rPr>
          <w:rFonts w:cs="Arial"/>
        </w:rPr>
        <w:t>Candida spp</w:t>
      </w:r>
    </w:p>
    <w:p w:rsidR="002A6D9A" w:rsidRPr="00632033" w:rsidRDefault="002A6D9A" w:rsidP="00C52E09">
      <w:pPr>
        <w:numPr>
          <w:ilvl w:val="0"/>
          <w:numId w:val="147"/>
        </w:numPr>
        <w:spacing w:after="0"/>
        <w:ind w:left="1260"/>
        <w:rPr>
          <w:rFonts w:cs="Arial"/>
          <w:lang w:val="pt-BR"/>
        </w:rPr>
      </w:pPr>
      <w:r w:rsidRPr="00632033">
        <w:rPr>
          <w:rFonts w:cs="Arial"/>
          <w:lang w:val="pt-BR"/>
        </w:rPr>
        <w:t>Cistos ou trofozoitos de Giardia lamblia;</w:t>
      </w:r>
    </w:p>
    <w:p w:rsidR="002A6D9A" w:rsidRPr="00632033" w:rsidRDefault="002A6D9A" w:rsidP="00C52E09">
      <w:pPr>
        <w:numPr>
          <w:ilvl w:val="0"/>
          <w:numId w:val="147"/>
        </w:numPr>
        <w:spacing w:after="0"/>
        <w:ind w:left="1260"/>
        <w:rPr>
          <w:rFonts w:cs="Arial"/>
          <w:lang w:val="pt-BR"/>
        </w:rPr>
      </w:pPr>
      <w:r w:rsidRPr="00632033">
        <w:rPr>
          <w:rFonts w:cs="Arial"/>
          <w:lang w:val="pt-BR"/>
        </w:rPr>
        <w:t>Cistos ou trofozoitos de Entamoeba histolytica;</w:t>
      </w:r>
    </w:p>
    <w:p w:rsidR="002A6D9A" w:rsidRDefault="002A6D9A" w:rsidP="00C52E09">
      <w:pPr>
        <w:numPr>
          <w:ilvl w:val="0"/>
          <w:numId w:val="147"/>
        </w:numPr>
        <w:spacing w:after="0"/>
        <w:ind w:left="1260"/>
        <w:rPr>
          <w:rFonts w:cs="Arial"/>
        </w:rPr>
      </w:pPr>
      <w:r w:rsidRPr="00632033">
        <w:rPr>
          <w:rFonts w:cs="Arial"/>
        </w:rPr>
        <w:t>Trichomonas vaginalis</w:t>
      </w:r>
    </w:p>
    <w:p w:rsidR="002A6D9A" w:rsidRPr="00C34EE7" w:rsidRDefault="002A6D9A" w:rsidP="00C52E09">
      <w:pPr>
        <w:numPr>
          <w:ilvl w:val="0"/>
          <w:numId w:val="147"/>
        </w:numPr>
        <w:spacing w:after="0"/>
        <w:ind w:left="1260"/>
        <w:rPr>
          <w:rFonts w:cs="Arial"/>
          <w:lang w:val="pt-BR"/>
        </w:rPr>
      </w:pPr>
      <w:r w:rsidRPr="00C34EE7">
        <w:rPr>
          <w:rFonts w:cs="Arial"/>
          <w:lang w:val="pt-BR"/>
        </w:rPr>
        <w:t>Trofozoitos no estagio de anel, esquizontes,  e gametócitos de Plasmodium falciparum</w:t>
      </w:r>
    </w:p>
    <w:p w:rsidR="002A6D9A" w:rsidRPr="00632033" w:rsidRDefault="002A6D9A" w:rsidP="00C52E09">
      <w:pPr>
        <w:numPr>
          <w:ilvl w:val="0"/>
          <w:numId w:val="147"/>
        </w:numPr>
        <w:spacing w:after="0"/>
        <w:ind w:left="1260"/>
        <w:rPr>
          <w:rFonts w:cs="Arial"/>
        </w:rPr>
      </w:pPr>
      <w:r w:rsidRPr="00632033">
        <w:rPr>
          <w:rFonts w:cs="Arial"/>
        </w:rPr>
        <w:t>Ovos de Schistosoma haematobium;</w:t>
      </w:r>
    </w:p>
    <w:p w:rsidR="002A6D9A" w:rsidRPr="00632033" w:rsidRDefault="002A6D9A" w:rsidP="00C52E09">
      <w:pPr>
        <w:numPr>
          <w:ilvl w:val="0"/>
          <w:numId w:val="147"/>
        </w:numPr>
        <w:spacing w:after="0"/>
        <w:ind w:left="1260"/>
        <w:rPr>
          <w:rFonts w:cs="Arial"/>
        </w:rPr>
      </w:pPr>
      <w:r w:rsidRPr="00632033">
        <w:rPr>
          <w:rFonts w:cs="Arial"/>
        </w:rPr>
        <w:t>Ovos de Ascaris lumbricoides;</w:t>
      </w:r>
    </w:p>
    <w:p w:rsidR="002A6D9A" w:rsidRDefault="002A6D9A" w:rsidP="00C52E09">
      <w:pPr>
        <w:numPr>
          <w:ilvl w:val="0"/>
          <w:numId w:val="147"/>
        </w:numPr>
        <w:spacing w:after="0"/>
        <w:ind w:left="1260"/>
        <w:rPr>
          <w:rFonts w:cs="Arial"/>
        </w:rPr>
      </w:pPr>
      <w:r w:rsidRPr="00632033">
        <w:rPr>
          <w:rFonts w:cs="Arial"/>
        </w:rPr>
        <w:t>Ovos de Trichuris trichuria.</w:t>
      </w:r>
    </w:p>
    <w:p w:rsidR="00EB2A96" w:rsidRPr="00632033" w:rsidRDefault="00EB2A96" w:rsidP="00EB2A96">
      <w:pPr>
        <w:spacing w:after="0"/>
        <w:ind w:left="1260"/>
        <w:rPr>
          <w:rFonts w:cs="Arial"/>
        </w:rPr>
      </w:pPr>
    </w:p>
    <w:p w:rsidR="002A6D9A" w:rsidRPr="00632033" w:rsidRDefault="002A6D9A" w:rsidP="00C52E09">
      <w:pPr>
        <w:pStyle w:val="ListParagraph"/>
        <w:numPr>
          <w:ilvl w:val="0"/>
          <w:numId w:val="145"/>
        </w:numPr>
        <w:tabs>
          <w:tab w:val="left" w:pos="244"/>
        </w:tabs>
        <w:spacing w:after="0"/>
        <w:contextualSpacing w:val="0"/>
        <w:rPr>
          <w:rFonts w:cs="Arial"/>
          <w:i/>
          <w:iCs/>
          <w:lang w:val="pt-PT"/>
        </w:rPr>
      </w:pPr>
      <w:r w:rsidRPr="00632033">
        <w:rPr>
          <w:rFonts w:cs="Arial"/>
          <w:lang w:val="pt-PT"/>
        </w:rPr>
        <w:t>Microscópio óptico, eléctrico, com visor duplo e as 3 objectivas habituais. Como mínimo, 1 para cada 4 alunos. Se possível, os microscópios deveriam estar equipados com visores duplos, para permitir trabalhar simultaneamente a dois alunos em cada microscópio, e também para facilitar as explicações do docente.</w:t>
      </w:r>
    </w:p>
    <w:p w:rsidR="002A6D9A" w:rsidRDefault="002A6D9A" w:rsidP="002A6D9A">
      <w:pPr>
        <w:tabs>
          <w:tab w:val="left" w:pos="426"/>
        </w:tabs>
        <w:rPr>
          <w:rFonts w:cs="Arial"/>
          <w:lang w:val="pt-PT"/>
        </w:rPr>
      </w:pPr>
    </w:p>
    <w:p w:rsidR="00EB2A96" w:rsidRDefault="00EB2A96" w:rsidP="002A6D9A">
      <w:pPr>
        <w:tabs>
          <w:tab w:val="left" w:pos="426"/>
        </w:tabs>
        <w:rPr>
          <w:rFonts w:cs="Arial"/>
          <w:lang w:val="pt-PT"/>
        </w:rPr>
      </w:pPr>
    </w:p>
    <w:p w:rsidR="00EB2A96" w:rsidRPr="00632033" w:rsidRDefault="00EB2A96" w:rsidP="002A6D9A">
      <w:pPr>
        <w:tabs>
          <w:tab w:val="left" w:pos="426"/>
        </w:tabs>
        <w:rPr>
          <w:rFonts w:cs="Arial"/>
          <w:lang w:val="pt-PT"/>
        </w:rPr>
      </w:pPr>
    </w:p>
    <w:p w:rsidR="002A6D9A" w:rsidRPr="00632033" w:rsidRDefault="002A6D9A" w:rsidP="002A6D9A">
      <w:pPr>
        <w:tabs>
          <w:tab w:val="left" w:pos="426"/>
        </w:tabs>
        <w:rPr>
          <w:rFonts w:cs="Arial"/>
          <w:b/>
          <w:lang w:val="pt-PT"/>
        </w:rPr>
      </w:pPr>
      <w:r w:rsidRPr="00632033">
        <w:rPr>
          <w:rFonts w:cs="Arial"/>
          <w:b/>
          <w:lang w:val="pt-PT"/>
        </w:rPr>
        <w:t>Preparação:</w:t>
      </w:r>
    </w:p>
    <w:p w:rsidR="002A6D9A" w:rsidRPr="00632033" w:rsidRDefault="002A6D9A" w:rsidP="00C52E09">
      <w:pPr>
        <w:numPr>
          <w:ilvl w:val="0"/>
          <w:numId w:val="146"/>
        </w:numPr>
        <w:tabs>
          <w:tab w:val="clear" w:pos="720"/>
        </w:tabs>
        <w:spacing w:after="0"/>
        <w:ind w:left="714" w:hanging="357"/>
        <w:rPr>
          <w:rFonts w:cs="Arial"/>
          <w:lang w:val="pt-PT"/>
        </w:rPr>
      </w:pPr>
      <w:r w:rsidRPr="00632033">
        <w:rPr>
          <w:rFonts w:cs="Arial"/>
          <w:lang w:val="pt-PT"/>
        </w:rPr>
        <w:t>Confirmar que os microscópios são suficientes e funcionam (todas as objectivas) e que têm pano de limpeza.</w:t>
      </w:r>
    </w:p>
    <w:p w:rsidR="002A6D9A" w:rsidRPr="00632033" w:rsidRDefault="002A6D9A" w:rsidP="00C52E09">
      <w:pPr>
        <w:numPr>
          <w:ilvl w:val="0"/>
          <w:numId w:val="146"/>
        </w:numPr>
        <w:tabs>
          <w:tab w:val="clear" w:pos="720"/>
        </w:tabs>
        <w:spacing w:after="0"/>
        <w:ind w:left="714" w:hanging="357"/>
        <w:rPr>
          <w:rFonts w:cs="Arial"/>
          <w:lang w:val="pt-PT"/>
        </w:rPr>
      </w:pPr>
      <w:r w:rsidRPr="00632033">
        <w:rPr>
          <w:rFonts w:cs="Arial"/>
          <w:lang w:val="pt-PT"/>
        </w:rPr>
        <w:t>Que os conteúdos das aulas 7 a 14 foram leccionadas</w:t>
      </w:r>
    </w:p>
    <w:p w:rsidR="002A6D9A" w:rsidRPr="00632033" w:rsidRDefault="002A6D9A" w:rsidP="002A6D9A">
      <w:pPr>
        <w:ind w:left="714"/>
        <w:rPr>
          <w:rFonts w:cs="Arial"/>
          <w:lang w:val="pt-PT"/>
        </w:rPr>
      </w:pPr>
    </w:p>
    <w:p w:rsidR="007438CC" w:rsidRDefault="007438CC">
      <w:pPr>
        <w:rPr>
          <w:rFonts w:cs="Arial"/>
          <w:lang w:val="pt-PT"/>
        </w:rPr>
      </w:pPr>
      <w:r>
        <w:rPr>
          <w:rFonts w:cs="Arial"/>
          <w:lang w:val="pt-PT"/>
        </w:rPr>
        <w:br w:type="page"/>
      </w:r>
    </w:p>
    <w:p w:rsidR="002A6D9A" w:rsidRPr="00632033" w:rsidRDefault="002A6D9A" w:rsidP="002A6D9A">
      <w:pPr>
        <w:shd w:val="clear" w:color="auto" w:fill="B8CCE4"/>
        <w:tabs>
          <w:tab w:val="left" w:pos="1276"/>
          <w:tab w:val="right" w:pos="8640"/>
        </w:tabs>
        <w:spacing w:before="120"/>
        <w:jc w:val="both"/>
        <w:rPr>
          <w:rFonts w:cs="Arial"/>
          <w:b/>
          <w:lang w:val="pt-PT"/>
        </w:rPr>
      </w:pPr>
      <w:r w:rsidRPr="00632033">
        <w:rPr>
          <w:rFonts w:cs="Arial"/>
          <w:b/>
          <w:lang w:val="pt-PT"/>
        </w:rPr>
        <w:lastRenderedPageBreak/>
        <w:t>BLOCO 1: INTRODUÇÃO À AULA</w:t>
      </w:r>
      <w:r w:rsidRPr="00632033">
        <w:rPr>
          <w:rFonts w:cs="Arial"/>
          <w:b/>
          <w:lang w:val="pt-PT"/>
        </w:rPr>
        <w:tab/>
        <w:t>(5 min)</w:t>
      </w:r>
    </w:p>
    <w:p w:rsidR="002A6D9A" w:rsidRPr="00632033" w:rsidRDefault="002A6D9A" w:rsidP="002A6D9A">
      <w:pPr>
        <w:numPr>
          <w:ilvl w:val="1"/>
          <w:numId w:val="2"/>
        </w:numPr>
        <w:tabs>
          <w:tab w:val="num" w:pos="747"/>
        </w:tabs>
        <w:spacing w:before="120" w:after="0" w:line="276" w:lineRule="atLeast"/>
        <w:ind w:left="288" w:hanging="288"/>
        <w:jc w:val="both"/>
        <w:rPr>
          <w:rFonts w:cs="Arial"/>
          <w:lang w:val="pt-PT" w:eastAsia="es-ES"/>
        </w:rPr>
      </w:pPr>
      <w:r w:rsidRPr="00632033">
        <w:rPr>
          <w:rFonts w:cs="Arial"/>
          <w:lang w:val="pt-PT" w:eastAsia="es-ES"/>
        </w:rPr>
        <w:t>Apresentação do tópico, conteúdos e objectivos de aprendizagem.</w:t>
      </w:r>
    </w:p>
    <w:p w:rsidR="002A6D9A" w:rsidRPr="00632033" w:rsidRDefault="002A6D9A" w:rsidP="002A6D9A">
      <w:pPr>
        <w:numPr>
          <w:ilvl w:val="1"/>
          <w:numId w:val="2"/>
        </w:numPr>
        <w:tabs>
          <w:tab w:val="num" w:pos="747"/>
        </w:tabs>
        <w:spacing w:before="120" w:after="0" w:line="276" w:lineRule="atLeast"/>
        <w:ind w:left="288" w:hanging="288"/>
        <w:jc w:val="both"/>
        <w:rPr>
          <w:rFonts w:cs="Arial"/>
          <w:lang w:val="pt-PT" w:eastAsia="es-ES"/>
        </w:rPr>
      </w:pPr>
      <w:r w:rsidRPr="00632033">
        <w:rPr>
          <w:rFonts w:cs="Arial"/>
          <w:lang w:val="pt-PT" w:eastAsia="es-ES"/>
        </w:rPr>
        <w:t>Apresentação da estrutura da aula.</w:t>
      </w:r>
    </w:p>
    <w:p w:rsidR="002A6D9A" w:rsidRDefault="002A6D9A" w:rsidP="002A6D9A">
      <w:pPr>
        <w:numPr>
          <w:ilvl w:val="1"/>
          <w:numId w:val="2"/>
        </w:numPr>
        <w:tabs>
          <w:tab w:val="num" w:pos="747"/>
        </w:tabs>
        <w:spacing w:before="120" w:after="0" w:line="276" w:lineRule="atLeast"/>
        <w:ind w:left="288" w:hanging="288"/>
        <w:jc w:val="both"/>
        <w:rPr>
          <w:rFonts w:cs="Arial"/>
          <w:lang w:val="pt-PT" w:eastAsia="es-ES"/>
        </w:rPr>
      </w:pPr>
      <w:r w:rsidRPr="00632033">
        <w:rPr>
          <w:rFonts w:cs="Arial"/>
          <w:lang w:val="pt-PT" w:eastAsia="es-ES"/>
        </w:rPr>
        <w:t>Apresentação dos equipamentos e materiais.</w:t>
      </w:r>
    </w:p>
    <w:p w:rsidR="007438CC" w:rsidRPr="00632033" w:rsidRDefault="007438CC" w:rsidP="007438CC">
      <w:pPr>
        <w:tabs>
          <w:tab w:val="num" w:pos="747"/>
        </w:tabs>
        <w:spacing w:after="0" w:line="276" w:lineRule="atLeast"/>
        <w:ind w:left="288"/>
        <w:jc w:val="both"/>
        <w:rPr>
          <w:rFonts w:cs="Arial"/>
          <w:lang w:val="pt-PT" w:eastAsia="es-ES"/>
        </w:rPr>
      </w:pPr>
    </w:p>
    <w:p w:rsidR="002A6D9A" w:rsidRPr="00632033" w:rsidRDefault="002A6D9A" w:rsidP="002A6D9A">
      <w:pPr>
        <w:shd w:val="clear" w:color="auto" w:fill="B8CCE4"/>
        <w:tabs>
          <w:tab w:val="left" w:pos="1276"/>
          <w:tab w:val="right" w:pos="8640"/>
        </w:tabs>
        <w:spacing w:before="120"/>
        <w:jc w:val="both"/>
        <w:rPr>
          <w:rFonts w:cs="Arial"/>
          <w:b/>
          <w:lang w:val="pt-PT"/>
        </w:rPr>
      </w:pPr>
      <w:r w:rsidRPr="00632033">
        <w:rPr>
          <w:rFonts w:cs="Arial"/>
          <w:b/>
          <w:lang w:val="pt-PT"/>
        </w:rPr>
        <w:t>BLOCO 2: I</w:t>
      </w:r>
      <w:r>
        <w:rPr>
          <w:rFonts w:cs="Arial"/>
          <w:b/>
          <w:lang w:val="pt-PT"/>
        </w:rPr>
        <w:t>NTRODUÇÃO À TÉCNICA (REVISÃO)</w:t>
      </w:r>
      <w:r>
        <w:rPr>
          <w:rFonts w:cs="Arial"/>
          <w:b/>
          <w:lang w:val="pt-PT"/>
        </w:rPr>
        <w:tab/>
        <w:t>(2</w:t>
      </w:r>
      <w:r w:rsidRPr="00632033">
        <w:rPr>
          <w:rFonts w:cs="Arial"/>
          <w:b/>
          <w:lang w:val="pt-PT"/>
        </w:rPr>
        <w:t>0 min)</w:t>
      </w:r>
    </w:p>
    <w:p w:rsidR="002A6D9A" w:rsidRPr="00632033" w:rsidRDefault="002A6D9A" w:rsidP="00C52E09">
      <w:pPr>
        <w:numPr>
          <w:ilvl w:val="0"/>
          <w:numId w:val="148"/>
        </w:numPr>
        <w:spacing w:before="120" w:after="0"/>
        <w:ind w:left="450" w:hanging="450"/>
        <w:rPr>
          <w:rFonts w:cs="Arial"/>
          <w:lang w:val="pt-PT"/>
        </w:rPr>
      </w:pPr>
      <w:r w:rsidRPr="00632033">
        <w:rPr>
          <w:rFonts w:cs="Arial"/>
          <w:lang w:val="pt-BR"/>
        </w:rPr>
        <w:t>As bactérias são organismos unicelulares procariontes geralmente de tamanho microscópico</w:t>
      </w:r>
      <w:r w:rsidRPr="00632033">
        <w:rPr>
          <w:rFonts w:cs="Arial"/>
          <w:lang w:val="pt-PT"/>
        </w:rPr>
        <w:t xml:space="preserve"> </w:t>
      </w:r>
    </w:p>
    <w:p w:rsidR="002A6D9A" w:rsidRPr="00632033" w:rsidRDefault="002A6D9A" w:rsidP="00C52E09">
      <w:pPr>
        <w:numPr>
          <w:ilvl w:val="0"/>
          <w:numId w:val="148"/>
        </w:numPr>
        <w:spacing w:before="120" w:after="0"/>
        <w:ind w:left="450" w:hanging="450"/>
        <w:rPr>
          <w:rFonts w:cs="Arial"/>
          <w:lang w:val="pt-PT"/>
        </w:rPr>
      </w:pPr>
      <w:r w:rsidRPr="00632033">
        <w:rPr>
          <w:rFonts w:cs="Arial"/>
          <w:lang w:val="pt-PT"/>
        </w:rPr>
        <w:t>Estrutura das bactérias</w:t>
      </w:r>
    </w:p>
    <w:p w:rsidR="002A6D9A" w:rsidRPr="00632033" w:rsidRDefault="002A6D9A" w:rsidP="00C52E09">
      <w:pPr>
        <w:numPr>
          <w:ilvl w:val="1"/>
          <w:numId w:val="148"/>
        </w:numPr>
        <w:spacing w:before="120" w:after="0"/>
        <w:rPr>
          <w:rFonts w:cs="Arial"/>
          <w:lang w:val="pt-PT"/>
        </w:rPr>
      </w:pPr>
      <w:r w:rsidRPr="00632033">
        <w:rPr>
          <w:rFonts w:cs="Arial"/>
          <w:lang w:val="pt-BR"/>
        </w:rPr>
        <w:t xml:space="preserve">Uma célula bacteriana típica possui parede celular, membrana citoplasmática, citoplasma com ribossomas (polissomos), </w:t>
      </w:r>
      <w:r>
        <w:rPr>
          <w:rFonts w:cs="Arial"/>
          <w:lang w:val="pt-BR"/>
        </w:rPr>
        <w:t xml:space="preserve">mesossomos (invaginaÇão da membrana citoplasmática), </w:t>
      </w:r>
      <w:r w:rsidRPr="00632033">
        <w:rPr>
          <w:rFonts w:cs="Arial"/>
          <w:lang w:val="pt-BR"/>
        </w:rPr>
        <w:t xml:space="preserve">núcleo sem membrana nuclear e organelos (flagelo e </w:t>
      </w:r>
      <w:r w:rsidRPr="00632033">
        <w:rPr>
          <w:rFonts w:cs="Arial"/>
          <w:i/>
          <w:lang w:val="pt-BR"/>
        </w:rPr>
        <w:t>pili</w:t>
      </w:r>
      <w:r w:rsidRPr="00632033">
        <w:rPr>
          <w:rFonts w:cs="Arial"/>
          <w:lang w:val="pt-BR"/>
        </w:rPr>
        <w:t>)</w:t>
      </w:r>
      <w:r>
        <w:rPr>
          <w:rFonts w:cs="Arial"/>
          <w:lang w:val="pt-BR"/>
        </w:rPr>
        <w:t>. Algumas bactérias possuem cápsula à volta da parde celular.</w:t>
      </w:r>
    </w:p>
    <w:p w:rsidR="002A6D9A" w:rsidRPr="00632033" w:rsidRDefault="002A6D9A" w:rsidP="00C52E09">
      <w:pPr>
        <w:numPr>
          <w:ilvl w:val="0"/>
          <w:numId w:val="148"/>
        </w:numPr>
        <w:spacing w:before="120" w:after="0"/>
        <w:ind w:left="450" w:hanging="450"/>
        <w:rPr>
          <w:rFonts w:cs="Arial"/>
          <w:lang w:val="pt-PT"/>
        </w:rPr>
      </w:pPr>
      <w:r w:rsidRPr="00632033">
        <w:rPr>
          <w:rFonts w:cs="Arial"/>
          <w:lang w:val="pt-PT"/>
        </w:rPr>
        <w:t>Classificação morfológica das bactérias:</w:t>
      </w:r>
    </w:p>
    <w:p w:rsidR="002A6D9A" w:rsidRPr="00632033" w:rsidRDefault="002A6D9A" w:rsidP="00C52E09">
      <w:pPr>
        <w:numPr>
          <w:ilvl w:val="1"/>
          <w:numId w:val="148"/>
        </w:numPr>
        <w:spacing w:before="120" w:after="0"/>
        <w:rPr>
          <w:rFonts w:cs="Arial"/>
          <w:lang w:val="pt-PT"/>
        </w:rPr>
      </w:pPr>
      <w:r w:rsidRPr="00632033">
        <w:rPr>
          <w:rFonts w:cs="Arial"/>
          <w:b/>
          <w:lang w:val="pt-BR"/>
        </w:rPr>
        <w:t>Cocos</w:t>
      </w:r>
      <w:r w:rsidRPr="00632033">
        <w:rPr>
          <w:rFonts w:cs="Arial"/>
          <w:lang w:val="pt-BR"/>
        </w:rPr>
        <w:t xml:space="preserve">, são bactérias arredondadas ou esféricas. Os cocos podem ser vistos em </w:t>
      </w:r>
      <w:r w:rsidRPr="00632033">
        <w:rPr>
          <w:rFonts w:cs="Arial"/>
          <w:u w:val="single"/>
          <w:lang w:val="pt-BR"/>
        </w:rPr>
        <w:t>grupos de dois (diplococos)</w:t>
      </w:r>
      <w:r w:rsidRPr="00632033">
        <w:rPr>
          <w:rFonts w:cs="Arial"/>
          <w:lang w:val="pt-BR"/>
        </w:rPr>
        <w:t xml:space="preserve">, como a Neisseria gonorreae, responsável pela gonorreia, </w:t>
      </w:r>
      <w:r w:rsidRPr="00632033">
        <w:rPr>
          <w:rFonts w:cs="Arial"/>
          <w:u w:val="single"/>
          <w:lang w:val="pt-BR"/>
        </w:rPr>
        <w:t>cadeias (estreptococos)</w:t>
      </w:r>
      <w:r w:rsidRPr="00632033">
        <w:rPr>
          <w:rFonts w:cs="Arial"/>
          <w:lang w:val="pt-BR"/>
        </w:rPr>
        <w:t xml:space="preserve">, por exemplo o Streptococcus pyogenes, responsável por muitas faringites, ou </w:t>
      </w:r>
      <w:r w:rsidRPr="00632033">
        <w:rPr>
          <w:rFonts w:cs="Arial"/>
          <w:u w:val="single"/>
          <w:lang w:val="pt-BR"/>
        </w:rPr>
        <w:t>em cacho de uva (estafilococos)</w:t>
      </w:r>
      <w:r w:rsidRPr="00632033">
        <w:rPr>
          <w:rFonts w:cs="Arial"/>
          <w:lang w:val="pt-BR"/>
        </w:rPr>
        <w:t>, como o Staphylococcus aureus, responsável por pneumonias e outras infecções</w:t>
      </w:r>
    </w:p>
    <w:p w:rsidR="002A6D9A" w:rsidRPr="00632033" w:rsidRDefault="002A6D9A" w:rsidP="00C52E09">
      <w:pPr>
        <w:numPr>
          <w:ilvl w:val="1"/>
          <w:numId w:val="148"/>
        </w:numPr>
        <w:spacing w:before="120" w:after="0"/>
        <w:rPr>
          <w:rFonts w:cs="Arial"/>
          <w:lang w:val="pt-PT"/>
        </w:rPr>
      </w:pPr>
      <w:r w:rsidRPr="00632033">
        <w:rPr>
          <w:rFonts w:cs="Arial"/>
          <w:b/>
          <w:lang w:val="pt-BR"/>
        </w:rPr>
        <w:t>Bacilos</w:t>
      </w:r>
      <w:r w:rsidRPr="00632033">
        <w:rPr>
          <w:rFonts w:cs="Arial"/>
          <w:lang w:val="pt-BR"/>
        </w:rPr>
        <w:t>, são bactérias de forma rectangular ou de bastão. Podem ser vistos como pares (diplobacilos), e em cadeias (estreptobacilos)</w:t>
      </w:r>
    </w:p>
    <w:p w:rsidR="002A6D9A" w:rsidRPr="00632033" w:rsidRDefault="002A6D9A" w:rsidP="00C52E09">
      <w:pPr>
        <w:numPr>
          <w:ilvl w:val="1"/>
          <w:numId w:val="148"/>
        </w:numPr>
        <w:spacing w:before="120" w:after="0"/>
        <w:rPr>
          <w:rFonts w:cs="Arial"/>
          <w:lang w:val="pt-PT"/>
        </w:rPr>
      </w:pPr>
      <w:r w:rsidRPr="00632033">
        <w:rPr>
          <w:rFonts w:cs="Arial"/>
          <w:b/>
          <w:lang w:val="pt-BR"/>
        </w:rPr>
        <w:t>Espirilos</w:t>
      </w:r>
      <w:r w:rsidRPr="00632033">
        <w:rPr>
          <w:rFonts w:cs="Arial"/>
          <w:lang w:val="pt-BR"/>
        </w:rPr>
        <w:t>, com forma curvada ou espiral. Normalmente aparecem isolados.</w:t>
      </w:r>
    </w:p>
    <w:p w:rsidR="002A6D9A" w:rsidRPr="00632033" w:rsidRDefault="002A6D9A" w:rsidP="00C52E09">
      <w:pPr>
        <w:numPr>
          <w:ilvl w:val="0"/>
          <w:numId w:val="148"/>
        </w:numPr>
        <w:spacing w:before="120" w:after="0"/>
        <w:ind w:left="450" w:hanging="450"/>
        <w:rPr>
          <w:rFonts w:cs="Arial"/>
          <w:lang w:val="pt-BR"/>
        </w:rPr>
      </w:pPr>
      <w:r w:rsidRPr="00632033">
        <w:rPr>
          <w:rFonts w:cs="Arial"/>
          <w:lang w:val="pt-BR"/>
        </w:rPr>
        <w:t>Classificação quanto a necessidade de oxigénio:</w:t>
      </w:r>
    </w:p>
    <w:p w:rsidR="002A6D9A" w:rsidRPr="00632033" w:rsidRDefault="002A6D9A" w:rsidP="00C52E09">
      <w:pPr>
        <w:numPr>
          <w:ilvl w:val="1"/>
          <w:numId w:val="148"/>
        </w:numPr>
        <w:spacing w:before="120" w:after="0"/>
        <w:rPr>
          <w:rFonts w:cs="Arial"/>
          <w:lang w:val="pt-BR"/>
        </w:rPr>
      </w:pPr>
      <w:r w:rsidRPr="00632033">
        <w:rPr>
          <w:rFonts w:cs="Arial"/>
          <w:b/>
          <w:lang w:val="pt-BR"/>
        </w:rPr>
        <w:t>Bactérias aeróbias</w:t>
      </w:r>
      <w:r w:rsidRPr="00632033">
        <w:rPr>
          <w:rFonts w:cs="Arial"/>
          <w:lang w:val="pt-BR"/>
        </w:rPr>
        <w:t xml:space="preserve">, que precisam de oxigénio em concentrações similares as encontradas na atmosfera para sua sobrevivência </w:t>
      </w:r>
    </w:p>
    <w:p w:rsidR="002A6D9A" w:rsidRPr="00632033" w:rsidRDefault="002A6D9A" w:rsidP="00C52E09">
      <w:pPr>
        <w:numPr>
          <w:ilvl w:val="1"/>
          <w:numId w:val="148"/>
        </w:numPr>
        <w:spacing w:before="120" w:after="0"/>
        <w:rPr>
          <w:rFonts w:cs="Arial"/>
          <w:lang w:val="pt-BR"/>
        </w:rPr>
      </w:pPr>
      <w:r w:rsidRPr="00632033">
        <w:rPr>
          <w:rFonts w:cs="Arial"/>
          <w:b/>
          <w:lang w:val="pt-BR"/>
        </w:rPr>
        <w:t>Bactérias anaeróbias</w:t>
      </w:r>
      <w:r w:rsidRPr="00632033">
        <w:rPr>
          <w:rFonts w:cs="Arial"/>
          <w:lang w:val="pt-BR"/>
        </w:rPr>
        <w:t>, que crescem apenas em ambientes sem oxigénio.</w:t>
      </w:r>
    </w:p>
    <w:p w:rsidR="002A6D9A" w:rsidRPr="00632033" w:rsidRDefault="002A6D9A" w:rsidP="00C52E09">
      <w:pPr>
        <w:numPr>
          <w:ilvl w:val="1"/>
          <w:numId w:val="148"/>
        </w:numPr>
        <w:spacing w:before="120" w:after="0"/>
        <w:rPr>
          <w:rFonts w:cs="Arial"/>
          <w:lang w:val="pt-BR"/>
        </w:rPr>
      </w:pPr>
      <w:r w:rsidRPr="00632033">
        <w:rPr>
          <w:rFonts w:cs="Arial"/>
          <w:b/>
          <w:lang w:val="pt-BR"/>
        </w:rPr>
        <w:t xml:space="preserve">Anaeróbios facultativos, </w:t>
      </w:r>
      <w:r w:rsidRPr="00632033">
        <w:rPr>
          <w:rFonts w:cs="Arial"/>
          <w:lang w:val="pt-BR"/>
        </w:rPr>
        <w:t>bactérias que podem sobreviver na presença ou na ausência de oxigénio</w:t>
      </w:r>
      <w:r w:rsidRPr="00632033">
        <w:rPr>
          <w:rFonts w:cs="Arial"/>
          <w:b/>
          <w:lang w:val="pt-BR"/>
        </w:rPr>
        <w:t xml:space="preserve"> </w:t>
      </w:r>
    </w:p>
    <w:p w:rsidR="002A6D9A" w:rsidRPr="00632033" w:rsidRDefault="002A6D9A" w:rsidP="00C52E09">
      <w:pPr>
        <w:numPr>
          <w:ilvl w:val="0"/>
          <w:numId w:val="148"/>
        </w:numPr>
        <w:spacing w:before="120" w:after="0"/>
        <w:ind w:left="450" w:hanging="450"/>
        <w:rPr>
          <w:rFonts w:cs="Arial"/>
          <w:lang w:val="pt-BR"/>
        </w:rPr>
      </w:pPr>
      <w:r w:rsidRPr="00632033">
        <w:rPr>
          <w:rFonts w:cs="Arial"/>
          <w:lang w:val="pt-BR"/>
        </w:rPr>
        <w:t>Classificação quanto a coloração da parede celular:</w:t>
      </w:r>
    </w:p>
    <w:p w:rsidR="002A6D9A" w:rsidRPr="00632033" w:rsidRDefault="002A6D9A" w:rsidP="00C52E09">
      <w:pPr>
        <w:numPr>
          <w:ilvl w:val="1"/>
          <w:numId w:val="148"/>
        </w:numPr>
        <w:spacing w:before="120" w:after="0"/>
        <w:rPr>
          <w:rFonts w:cs="Arial"/>
          <w:lang w:val="pt-BR"/>
        </w:rPr>
      </w:pPr>
      <w:r w:rsidRPr="00632033">
        <w:rPr>
          <w:rFonts w:cs="Arial"/>
          <w:lang w:val="pt-BR"/>
        </w:rPr>
        <w:t>Gram positivas, Gram negativas e Bactérias Álcool-ácido-resistentes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24"/>
        <w:gridCol w:w="7870"/>
      </w:tblGrid>
      <w:tr w:rsidR="002A6D9A" w:rsidRPr="00EB2A96" w:rsidTr="0055505E">
        <w:trPr>
          <w:trHeight w:val="458"/>
        </w:trPr>
        <w:tc>
          <w:tcPr>
            <w:tcW w:w="1214" w:type="pct"/>
          </w:tcPr>
          <w:p w:rsidR="002A6D9A" w:rsidRPr="00EB2A96" w:rsidRDefault="002A6D9A" w:rsidP="00EB2A96">
            <w:pPr>
              <w:spacing w:before="120" w:line="240" w:lineRule="auto"/>
              <w:rPr>
                <w:rFonts w:cs="Arial"/>
                <w:b/>
                <w:sz w:val="20"/>
                <w:szCs w:val="20"/>
                <w:lang w:val="pt-BR"/>
              </w:rPr>
            </w:pPr>
            <w:r w:rsidRPr="00EB2A96">
              <w:rPr>
                <w:rFonts w:cs="Arial"/>
                <w:b/>
                <w:sz w:val="20"/>
                <w:szCs w:val="20"/>
                <w:lang w:val="pt-BR"/>
              </w:rPr>
              <w:t>Bactérias</w:t>
            </w:r>
          </w:p>
        </w:tc>
        <w:tc>
          <w:tcPr>
            <w:tcW w:w="3786" w:type="pct"/>
          </w:tcPr>
          <w:p w:rsidR="002A6D9A" w:rsidRPr="00EB2A96" w:rsidRDefault="002A6D9A" w:rsidP="00EB2A96">
            <w:pPr>
              <w:spacing w:before="120" w:line="240" w:lineRule="auto"/>
              <w:rPr>
                <w:rFonts w:cs="Arial"/>
                <w:b/>
                <w:sz w:val="20"/>
                <w:szCs w:val="20"/>
                <w:lang w:val="pt-BR"/>
              </w:rPr>
            </w:pPr>
            <w:r w:rsidRPr="00EB2A96">
              <w:rPr>
                <w:rFonts w:cs="Arial"/>
                <w:b/>
                <w:sz w:val="20"/>
                <w:szCs w:val="20"/>
                <w:lang w:val="pt-BR"/>
              </w:rPr>
              <w:t>Exemplos e doenças</w:t>
            </w:r>
          </w:p>
        </w:tc>
      </w:tr>
      <w:tr w:rsidR="002A6D9A" w:rsidRPr="00FC6E81" w:rsidTr="00EB2A96">
        <w:trPr>
          <w:trHeight w:val="1457"/>
        </w:trPr>
        <w:tc>
          <w:tcPr>
            <w:tcW w:w="1214" w:type="pct"/>
          </w:tcPr>
          <w:p w:rsidR="002A6D9A" w:rsidRPr="00EB2A96" w:rsidRDefault="002A6D9A" w:rsidP="00EB2A96">
            <w:pPr>
              <w:spacing w:before="120" w:line="240" w:lineRule="auto"/>
              <w:rPr>
                <w:rFonts w:cs="Arial"/>
                <w:sz w:val="20"/>
                <w:szCs w:val="20"/>
                <w:lang w:val="pt-BR"/>
              </w:rPr>
            </w:pPr>
            <w:r w:rsidRPr="00EB2A96">
              <w:rPr>
                <w:rFonts w:cs="Arial"/>
                <w:sz w:val="20"/>
                <w:szCs w:val="20"/>
                <w:lang w:val="pt-BR"/>
              </w:rPr>
              <w:t>Gram negativas</w:t>
            </w:r>
          </w:p>
        </w:tc>
        <w:tc>
          <w:tcPr>
            <w:tcW w:w="3786" w:type="pct"/>
          </w:tcPr>
          <w:p w:rsidR="002A6D9A" w:rsidRPr="00EB2A96" w:rsidRDefault="002A6D9A" w:rsidP="00EB2A96">
            <w:pPr>
              <w:spacing w:before="120" w:line="240" w:lineRule="auto"/>
              <w:rPr>
                <w:rFonts w:cs="Arial"/>
                <w:i/>
                <w:sz w:val="20"/>
                <w:szCs w:val="20"/>
                <w:lang w:val="pt-BR"/>
              </w:rPr>
            </w:pPr>
            <w:r w:rsidRPr="00EB2A96">
              <w:rPr>
                <w:rFonts w:cs="Arial"/>
                <w:i/>
                <w:sz w:val="20"/>
                <w:szCs w:val="20"/>
                <w:lang w:val="pt-BR"/>
              </w:rPr>
              <w:t xml:space="preserve">Treponema pallidum (sífilis), Borrelia duttoni (Febre recorrente), Neisseria gonorrhoeae (gonorreia), Salmonella Spp (febre tifóide), Shigella Spp (disenteria), Vibrio Cholerae (cólera), Haemophilus influenzae (otites, meningites, pneumonias), Risckettsia spp (tifo), Brucella spp (Brucelose), Yersinia pestis (Peste bubônica), Chlamydia spp (Uretrites </w:t>
            </w:r>
            <w:r w:rsidR="007438CC" w:rsidRPr="00EB2A96">
              <w:rPr>
                <w:rFonts w:cs="Arial"/>
                <w:i/>
                <w:sz w:val="20"/>
                <w:szCs w:val="20"/>
                <w:lang w:val="pt-BR"/>
              </w:rPr>
              <w:t>e doença inflamatória pélvica)</w:t>
            </w:r>
          </w:p>
        </w:tc>
      </w:tr>
      <w:tr w:rsidR="002A6D9A" w:rsidRPr="00FC6E81" w:rsidTr="007438CC">
        <w:tc>
          <w:tcPr>
            <w:tcW w:w="1214" w:type="pct"/>
          </w:tcPr>
          <w:p w:rsidR="002A6D9A" w:rsidRPr="00EB2A96" w:rsidRDefault="002A6D9A" w:rsidP="00EB2A96">
            <w:pPr>
              <w:spacing w:before="120" w:line="240" w:lineRule="auto"/>
              <w:rPr>
                <w:rFonts w:cs="Arial"/>
                <w:sz w:val="20"/>
                <w:szCs w:val="20"/>
                <w:lang w:val="pt-BR"/>
              </w:rPr>
            </w:pPr>
            <w:r w:rsidRPr="00EB2A96">
              <w:rPr>
                <w:rFonts w:cs="Arial"/>
                <w:sz w:val="20"/>
                <w:szCs w:val="20"/>
                <w:lang w:val="pt-BR"/>
              </w:rPr>
              <w:t>Gram positivas</w:t>
            </w:r>
          </w:p>
        </w:tc>
        <w:tc>
          <w:tcPr>
            <w:tcW w:w="3786" w:type="pct"/>
          </w:tcPr>
          <w:p w:rsidR="002A6D9A" w:rsidRPr="00EB2A96" w:rsidRDefault="002A6D9A" w:rsidP="00EB2A96">
            <w:pPr>
              <w:spacing w:before="120" w:line="240" w:lineRule="auto"/>
              <w:rPr>
                <w:rFonts w:cs="Arial"/>
                <w:i/>
                <w:sz w:val="20"/>
                <w:szCs w:val="20"/>
                <w:lang w:val="pt-BR"/>
              </w:rPr>
            </w:pPr>
            <w:r w:rsidRPr="00EB2A96">
              <w:rPr>
                <w:rFonts w:cs="Arial"/>
                <w:i/>
                <w:sz w:val="20"/>
                <w:szCs w:val="20"/>
                <w:lang w:val="pt-BR"/>
              </w:rPr>
              <w:t>Streptococcus pneumoniae (pneumonia, meningites, otites), Streptococcus pyogenes (faringites, infecções cutâneas, febre reumática), Staphylococcus aureus (celulites, osteomielites, artrites)</w:t>
            </w:r>
          </w:p>
        </w:tc>
      </w:tr>
      <w:tr w:rsidR="002A6D9A" w:rsidRPr="00FC6E81" w:rsidTr="0055505E">
        <w:trPr>
          <w:trHeight w:val="620"/>
        </w:trPr>
        <w:tc>
          <w:tcPr>
            <w:tcW w:w="1214" w:type="pct"/>
          </w:tcPr>
          <w:p w:rsidR="002A6D9A" w:rsidRPr="00EB2A96" w:rsidRDefault="002A6D9A" w:rsidP="00EB2A96">
            <w:pPr>
              <w:spacing w:before="120" w:line="240" w:lineRule="auto"/>
              <w:rPr>
                <w:rFonts w:cs="Arial"/>
                <w:sz w:val="20"/>
                <w:szCs w:val="20"/>
                <w:lang w:val="pt-BR"/>
              </w:rPr>
            </w:pPr>
            <w:r w:rsidRPr="00EB2A96">
              <w:rPr>
                <w:rFonts w:cs="Arial"/>
                <w:sz w:val="20"/>
                <w:szCs w:val="20"/>
                <w:lang w:val="pt-BR"/>
              </w:rPr>
              <w:t>Álcool-ácido-resistentes</w:t>
            </w:r>
          </w:p>
        </w:tc>
        <w:tc>
          <w:tcPr>
            <w:tcW w:w="3786" w:type="pct"/>
          </w:tcPr>
          <w:p w:rsidR="002A6D9A" w:rsidRPr="00EB2A96" w:rsidRDefault="002A6D9A" w:rsidP="00EB2A96">
            <w:pPr>
              <w:spacing w:before="120" w:line="240" w:lineRule="auto"/>
              <w:rPr>
                <w:rFonts w:cs="Arial"/>
                <w:i/>
                <w:sz w:val="20"/>
                <w:szCs w:val="20"/>
                <w:lang w:val="pt-BR"/>
              </w:rPr>
            </w:pPr>
            <w:r w:rsidRPr="00EB2A96">
              <w:rPr>
                <w:rFonts w:cs="Arial"/>
                <w:i/>
                <w:sz w:val="20"/>
                <w:szCs w:val="20"/>
                <w:lang w:val="pt-BR"/>
              </w:rPr>
              <w:t>Mycobacterium tuberculosis (Tuberculose), Mycobacterium leprae (Lepra)</w:t>
            </w:r>
          </w:p>
        </w:tc>
      </w:tr>
    </w:tbl>
    <w:p w:rsidR="002A6D9A" w:rsidRPr="00632033" w:rsidRDefault="002A6D9A" w:rsidP="002A6D9A">
      <w:pPr>
        <w:spacing w:before="120"/>
        <w:ind w:left="1440"/>
        <w:rPr>
          <w:rFonts w:cs="Arial"/>
          <w:lang w:val="pt-BR"/>
        </w:rPr>
      </w:pPr>
    </w:p>
    <w:p w:rsidR="002A6D9A" w:rsidRPr="00632033" w:rsidRDefault="002A6D9A" w:rsidP="00C52E09">
      <w:pPr>
        <w:numPr>
          <w:ilvl w:val="0"/>
          <w:numId w:val="148"/>
        </w:numPr>
        <w:spacing w:before="120" w:after="0"/>
        <w:ind w:left="450" w:hanging="450"/>
        <w:rPr>
          <w:rFonts w:cs="Arial"/>
          <w:lang w:val="pt-BR"/>
        </w:rPr>
      </w:pPr>
      <w:r w:rsidRPr="00632033">
        <w:rPr>
          <w:rFonts w:cs="Arial"/>
          <w:lang w:val="pt-BR"/>
        </w:rPr>
        <w:lastRenderedPageBreak/>
        <w:t>Vírus são microrganismos acelulares mais pequenos que as bactérias</w:t>
      </w:r>
      <w:r>
        <w:rPr>
          <w:rFonts w:cs="Arial"/>
          <w:lang w:val="pt-BR"/>
        </w:rPr>
        <w:t xml:space="preserve"> (visíveis apenas com microscópico electrónico)</w:t>
      </w:r>
      <w:r w:rsidRPr="00632033">
        <w:rPr>
          <w:rFonts w:cs="Arial"/>
          <w:lang w:val="pt-BR"/>
        </w:rPr>
        <w:t>, não possuem organelas nem capacidade para realizar os diferentes processos metabólicos que as células realizam. Portanto, são parasitas intracelulares obrigatórios, uma vez que para a sua multiplicação precisam de usarem os mecanismos metabólicos das células que infectam, desviando os processos metabólicos normais da célula para a produção de cópias do vírus.</w:t>
      </w:r>
    </w:p>
    <w:p w:rsidR="002A6D9A" w:rsidRPr="00632033" w:rsidRDefault="002A6D9A" w:rsidP="00C52E09">
      <w:pPr>
        <w:numPr>
          <w:ilvl w:val="0"/>
          <w:numId w:val="148"/>
        </w:numPr>
        <w:spacing w:before="120" w:after="0"/>
        <w:ind w:left="450" w:hanging="450"/>
        <w:rPr>
          <w:rFonts w:cs="Arial"/>
          <w:lang w:val="pt-BR"/>
        </w:rPr>
      </w:pPr>
      <w:r w:rsidRPr="00632033">
        <w:rPr>
          <w:rFonts w:cs="Arial"/>
          <w:lang w:val="pt-BR"/>
        </w:rPr>
        <w:t>Características dos vírus:</w:t>
      </w:r>
    </w:p>
    <w:p w:rsidR="002A6D9A" w:rsidRPr="00632033" w:rsidRDefault="002A6D9A" w:rsidP="00C52E09">
      <w:pPr>
        <w:numPr>
          <w:ilvl w:val="1"/>
          <w:numId w:val="148"/>
        </w:numPr>
        <w:spacing w:before="120" w:after="0"/>
        <w:rPr>
          <w:rFonts w:cs="Arial"/>
          <w:lang w:val="pt-BR"/>
        </w:rPr>
      </w:pPr>
      <w:r w:rsidRPr="00632033">
        <w:rPr>
          <w:rFonts w:cs="Arial"/>
          <w:lang w:val="pt-BR"/>
        </w:rPr>
        <w:t>São acelulares, com genoma com ADN ou ARN, usam a célula hospedeira para se replicarem, não possuem ribossomas, possuem um capsídeo (com capsómeros), Envelope (alguns vírus), cauda, bainha e fibras caudais (nos bacteriófagos).</w:t>
      </w:r>
    </w:p>
    <w:p w:rsidR="002A6D9A" w:rsidRDefault="002A6D9A" w:rsidP="002A6D9A">
      <w:pPr>
        <w:spacing w:before="120"/>
        <w:ind w:left="1440"/>
        <w:rPr>
          <w:rFonts w:cs="Arial"/>
          <w:lang w:val="pt-BR"/>
        </w:rPr>
      </w:pPr>
      <w:r>
        <w:rPr>
          <w:rFonts w:cs="Arial"/>
          <w:noProof/>
          <w:lang w:val="en-ZW" w:eastAsia="en-ZW"/>
        </w:rPr>
        <w:drawing>
          <wp:inline distT="0" distB="0" distL="0" distR="0" wp14:anchorId="529E1F79" wp14:editId="172A5846">
            <wp:extent cx="2870200" cy="2755900"/>
            <wp:effectExtent l="19050" t="0" r="6350" b="0"/>
            <wp:docPr id="2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srcRect/>
                    <a:stretch>
                      <a:fillRect/>
                    </a:stretch>
                  </pic:blipFill>
                  <pic:spPr bwMode="auto">
                    <a:xfrm>
                      <a:off x="0" y="0"/>
                      <a:ext cx="2870200" cy="2755900"/>
                    </a:xfrm>
                    <a:prstGeom prst="rect">
                      <a:avLst/>
                    </a:prstGeom>
                    <a:noFill/>
                    <a:ln w="9525">
                      <a:noFill/>
                      <a:miter lim="800000"/>
                      <a:headEnd/>
                      <a:tailEnd/>
                    </a:ln>
                  </pic:spPr>
                </pic:pic>
              </a:graphicData>
            </a:graphic>
          </wp:inline>
        </w:drawing>
      </w:r>
    </w:p>
    <w:p w:rsidR="007438CC" w:rsidRPr="00632033" w:rsidRDefault="007438CC" w:rsidP="002A6D9A">
      <w:pPr>
        <w:spacing w:before="120"/>
        <w:ind w:left="1440"/>
        <w:rPr>
          <w:rFonts w:cs="Arial"/>
          <w:lang w:val="pt-BR"/>
        </w:rPr>
      </w:pPr>
      <w:r w:rsidRPr="00C46A1F">
        <w:rPr>
          <w:rFonts w:cs="Arial"/>
          <w:b/>
          <w:lang w:val="pt-BR"/>
        </w:rPr>
        <w:t>Figura 1:</w:t>
      </w:r>
      <w:r w:rsidR="00C46A1F">
        <w:rPr>
          <w:rFonts w:cs="Arial"/>
          <w:lang w:val="pt-BR"/>
        </w:rPr>
        <w:t xml:space="preserve"> </w:t>
      </w:r>
      <w:r>
        <w:rPr>
          <w:rFonts w:cs="Arial"/>
          <w:lang w:val="pt-BR"/>
        </w:rPr>
        <w:t>estrutura do vírus</w:t>
      </w:r>
    </w:p>
    <w:p w:rsidR="002A6D9A" w:rsidRPr="00632033" w:rsidRDefault="002A6D9A" w:rsidP="00C52E09">
      <w:pPr>
        <w:numPr>
          <w:ilvl w:val="0"/>
          <w:numId w:val="148"/>
        </w:numPr>
        <w:spacing w:before="120" w:after="0"/>
        <w:ind w:left="450" w:hanging="450"/>
        <w:rPr>
          <w:rFonts w:cs="Arial"/>
          <w:lang w:val="pt-BR"/>
        </w:rPr>
      </w:pPr>
      <w:r w:rsidRPr="00632033">
        <w:rPr>
          <w:rFonts w:cs="Arial"/>
          <w:lang w:val="pt-BR"/>
        </w:rPr>
        <w:t>O vírus do HIV – vírus da imunodeficiência humana é um vírus ARN, que faz a transcriptase reversa</w:t>
      </w:r>
      <w:r w:rsidRPr="00632033">
        <w:rPr>
          <w:rFonts w:cs="Arial"/>
          <w:b/>
          <w:lang w:val="pt-BR"/>
        </w:rPr>
        <w:t xml:space="preserve">. </w:t>
      </w:r>
      <w:r w:rsidRPr="00632033">
        <w:rPr>
          <w:rFonts w:cs="Arial"/>
          <w:lang w:val="pt-BR"/>
        </w:rPr>
        <w:t>No seu interior tem 2 cópias de ARN de cadeia simples que codificam os 9 genes do vírus. A cápside é de forma cónica, e está composta por unidades iguais de uma proteína chamada p17.</w:t>
      </w:r>
    </w:p>
    <w:p w:rsidR="002A6D9A" w:rsidRPr="00632033" w:rsidRDefault="002A6D9A" w:rsidP="00C52E09">
      <w:pPr>
        <w:numPr>
          <w:ilvl w:val="0"/>
          <w:numId w:val="148"/>
        </w:numPr>
        <w:spacing w:before="120" w:after="0"/>
        <w:ind w:left="450" w:hanging="450"/>
        <w:rPr>
          <w:rFonts w:cs="Arial"/>
          <w:lang w:val="pt-BR"/>
        </w:rPr>
      </w:pPr>
      <w:r w:rsidRPr="00632033">
        <w:rPr>
          <w:rFonts w:cs="Arial"/>
          <w:lang w:val="pt-BR"/>
        </w:rPr>
        <w:t xml:space="preserve">Dentro da cápside, as moléculas de ARN estão acompanhadas por algumas enzimas necessárias para a produção de viriões, como transcriptase reversa, protease, integrase, e ribonuclease </w:t>
      </w:r>
    </w:p>
    <w:p w:rsidR="002A6D9A" w:rsidRPr="00632033" w:rsidRDefault="002A6D9A" w:rsidP="00C52E09">
      <w:pPr>
        <w:numPr>
          <w:ilvl w:val="0"/>
          <w:numId w:val="148"/>
        </w:numPr>
        <w:spacing w:before="120" w:after="0"/>
        <w:ind w:left="450" w:hanging="450"/>
        <w:rPr>
          <w:rFonts w:cs="Arial"/>
          <w:lang w:val="pt-BR"/>
        </w:rPr>
      </w:pPr>
      <w:r w:rsidRPr="00632033">
        <w:rPr>
          <w:rFonts w:cs="Arial"/>
          <w:lang w:val="pt-BR"/>
        </w:rPr>
        <w:t>A cápside está rodeada por um envelope lipídico de duas camadas. Inseridos no envelope encontram-se complexos proteícos chamados Env, formados pelas proteínas gp120 e gp41. Estas proteínas são responsáveis pelo acoplamento e entrada do material viral na célula hospedeira</w:t>
      </w:r>
    </w:p>
    <w:p w:rsidR="002A6D9A" w:rsidRPr="00632033" w:rsidRDefault="002A6D9A" w:rsidP="00C52E09">
      <w:pPr>
        <w:numPr>
          <w:ilvl w:val="0"/>
          <w:numId w:val="148"/>
        </w:numPr>
        <w:spacing w:before="120" w:after="0"/>
        <w:ind w:left="450" w:hanging="450"/>
        <w:rPr>
          <w:rFonts w:cs="Arial"/>
          <w:lang w:val="pt-BR"/>
        </w:rPr>
      </w:pPr>
      <w:r w:rsidRPr="00632033">
        <w:rPr>
          <w:rFonts w:cs="Arial"/>
          <w:lang w:val="pt-BR"/>
        </w:rPr>
        <w:t>O HIV tem afinidade por certas células do sistema imune, como linfócitos CD4 e macrófagos. O vírus entra nestas células através da interacção entre as proteínas virais gp120 e gp41, e alguns receptores presentes nas células infectadas, dos quais  o CD4</w:t>
      </w:r>
    </w:p>
    <w:p w:rsidR="002A6D9A" w:rsidRDefault="002A6D9A" w:rsidP="002A6D9A">
      <w:pPr>
        <w:spacing w:before="120"/>
        <w:ind w:left="450"/>
        <w:jc w:val="center"/>
        <w:rPr>
          <w:rFonts w:cs="Arial"/>
          <w:lang w:val="pt-BR"/>
        </w:rPr>
      </w:pPr>
      <w:r>
        <w:rPr>
          <w:rFonts w:cs="Arial"/>
          <w:noProof/>
          <w:lang w:val="en-ZW" w:eastAsia="en-ZW"/>
        </w:rPr>
        <w:lastRenderedPageBreak/>
        <w:drawing>
          <wp:inline distT="0" distB="0" distL="0" distR="0" wp14:anchorId="4E893DCF" wp14:editId="021519E0">
            <wp:extent cx="2853607" cy="2480807"/>
            <wp:effectExtent l="19050" t="0" r="3893" b="0"/>
            <wp:docPr id="2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srcRect/>
                    <a:stretch>
                      <a:fillRect/>
                    </a:stretch>
                  </pic:blipFill>
                  <pic:spPr bwMode="auto">
                    <a:xfrm>
                      <a:off x="0" y="0"/>
                      <a:ext cx="2859340" cy="2485791"/>
                    </a:xfrm>
                    <a:prstGeom prst="rect">
                      <a:avLst/>
                    </a:prstGeom>
                    <a:noFill/>
                    <a:ln w="9525">
                      <a:noFill/>
                      <a:miter lim="800000"/>
                      <a:headEnd/>
                      <a:tailEnd/>
                    </a:ln>
                  </pic:spPr>
                </pic:pic>
              </a:graphicData>
            </a:graphic>
          </wp:inline>
        </w:drawing>
      </w:r>
    </w:p>
    <w:p w:rsidR="007438CC" w:rsidRPr="00632033" w:rsidRDefault="007438CC" w:rsidP="002A6D9A">
      <w:pPr>
        <w:spacing w:before="120"/>
        <w:ind w:left="450"/>
        <w:jc w:val="center"/>
        <w:rPr>
          <w:rFonts w:cs="Arial"/>
          <w:lang w:val="pt-BR"/>
        </w:rPr>
      </w:pPr>
      <w:r w:rsidRPr="00C46A1F">
        <w:rPr>
          <w:rFonts w:cs="Arial"/>
          <w:b/>
          <w:lang w:val="pt-BR"/>
        </w:rPr>
        <w:t>Figura 2:</w:t>
      </w:r>
      <w:r w:rsidR="00850CFC">
        <w:rPr>
          <w:rFonts w:cs="Arial"/>
          <w:lang w:val="pt-BR"/>
        </w:rPr>
        <w:t xml:space="preserve"> estrutura do vírus do HIV</w:t>
      </w:r>
    </w:p>
    <w:p w:rsidR="002A6D9A" w:rsidRPr="00632033" w:rsidRDefault="002A6D9A" w:rsidP="00C52E09">
      <w:pPr>
        <w:numPr>
          <w:ilvl w:val="0"/>
          <w:numId w:val="148"/>
        </w:numPr>
        <w:spacing w:before="120" w:after="0"/>
        <w:ind w:left="450" w:hanging="450"/>
        <w:rPr>
          <w:rFonts w:cs="Arial"/>
          <w:lang w:val="pt-BR"/>
        </w:rPr>
      </w:pPr>
      <w:r w:rsidRPr="00632033">
        <w:rPr>
          <w:rFonts w:cs="Arial"/>
          <w:lang w:val="pt-BR"/>
        </w:rPr>
        <w:t>Existem 3 principais vias de transmissão do HIV: via sexual (relações sexuais desprotegidas - a mais frequente em Moçambique), sangue e outros fluidos biológicos e transmissão vertical (da mãe infectada para o bebé).</w:t>
      </w:r>
    </w:p>
    <w:p w:rsidR="002A6D9A" w:rsidRPr="00632033" w:rsidRDefault="002A6D9A" w:rsidP="00C52E09">
      <w:pPr>
        <w:numPr>
          <w:ilvl w:val="0"/>
          <w:numId w:val="148"/>
        </w:numPr>
        <w:spacing w:before="120" w:after="0"/>
        <w:ind w:left="450" w:hanging="450"/>
        <w:rPr>
          <w:rFonts w:cs="Arial"/>
          <w:lang w:val="pt-BR"/>
        </w:rPr>
      </w:pPr>
      <w:r w:rsidRPr="00632033">
        <w:rPr>
          <w:rFonts w:cs="Arial"/>
          <w:lang w:val="pt-BR"/>
        </w:rPr>
        <w:t xml:space="preserve"> Os fungos são um grande grupo e heterogéneo de organismos eucariotas que inclui microrganismos como leveduras e mofos, bolor de pão, assim como cogumelos de grande tamanho </w:t>
      </w:r>
    </w:p>
    <w:p w:rsidR="002A6D9A" w:rsidRPr="00632033" w:rsidRDefault="002A6D9A" w:rsidP="00C52E09">
      <w:pPr>
        <w:numPr>
          <w:ilvl w:val="0"/>
          <w:numId w:val="148"/>
        </w:numPr>
        <w:spacing w:before="120" w:after="0"/>
        <w:ind w:left="450" w:hanging="450"/>
        <w:rPr>
          <w:rFonts w:cs="Arial"/>
          <w:lang w:val="pt-BR"/>
        </w:rPr>
      </w:pPr>
      <w:r w:rsidRPr="00632033">
        <w:rPr>
          <w:rFonts w:cs="Arial"/>
          <w:lang w:val="pt-BR"/>
        </w:rPr>
        <w:t>Estrutura dos Fungos:</w:t>
      </w:r>
    </w:p>
    <w:p w:rsidR="002A6D9A" w:rsidRPr="00632033" w:rsidRDefault="002A6D9A" w:rsidP="00C52E09">
      <w:pPr>
        <w:numPr>
          <w:ilvl w:val="1"/>
          <w:numId w:val="148"/>
        </w:numPr>
        <w:spacing w:before="120" w:after="0"/>
        <w:rPr>
          <w:rFonts w:cs="Arial"/>
          <w:lang w:val="pt-BR"/>
        </w:rPr>
      </w:pPr>
      <w:r w:rsidRPr="00632033">
        <w:rPr>
          <w:rFonts w:cs="Arial"/>
          <w:lang w:val="pt-BR"/>
        </w:rPr>
        <w:t xml:space="preserve">Os fungos possuem parede celular, membrana celular, citoplasma com organelos (mitocôndria, aparelho de Golgi, retículo endoplasmático rugoso), núcleo com membrana nuclear. Podem se apresentar com hifas (filamentos asseptados ou septados) cujo conjunto forma o micélio, ou, como organismos unicelulares – leveduras (por exemplo, </w:t>
      </w:r>
      <w:r w:rsidRPr="00632033">
        <w:rPr>
          <w:rFonts w:cs="Arial"/>
          <w:i/>
          <w:lang w:val="pt-BR"/>
        </w:rPr>
        <w:t xml:space="preserve">Candida albicans – </w:t>
      </w:r>
      <w:r w:rsidRPr="00632033">
        <w:rPr>
          <w:rFonts w:cs="Arial"/>
          <w:lang w:val="pt-BR"/>
        </w:rPr>
        <w:t>fungo mais frequentemente isolado de amostras clínicas humanas, e</w:t>
      </w:r>
      <w:r w:rsidRPr="00632033">
        <w:rPr>
          <w:rFonts w:cs="Arial"/>
          <w:i/>
          <w:lang w:val="pt-BR"/>
        </w:rPr>
        <w:t xml:space="preserve"> Cryptococcus neoformans</w:t>
      </w:r>
      <w:r w:rsidRPr="00632033">
        <w:rPr>
          <w:rFonts w:cs="Arial"/>
          <w:lang w:val="pt-BR"/>
        </w:rPr>
        <w:t>)</w:t>
      </w:r>
    </w:p>
    <w:p w:rsidR="002A6D9A" w:rsidRPr="00632033" w:rsidRDefault="002A6D9A" w:rsidP="00C52E09">
      <w:pPr>
        <w:numPr>
          <w:ilvl w:val="0"/>
          <w:numId w:val="148"/>
        </w:numPr>
        <w:spacing w:before="120" w:after="0"/>
        <w:ind w:left="450" w:hanging="450"/>
        <w:rPr>
          <w:rFonts w:cs="Arial"/>
          <w:lang w:val="pt-BR"/>
        </w:rPr>
      </w:pPr>
      <w:r w:rsidRPr="00632033">
        <w:rPr>
          <w:rFonts w:cs="Arial"/>
          <w:lang w:val="pt-BR"/>
        </w:rPr>
        <w:t>As micoses pode ser superficiais, cutâneas, subcutâneas e sistêmicas</w:t>
      </w:r>
    </w:p>
    <w:p w:rsidR="002A6D9A" w:rsidRPr="00632033" w:rsidRDefault="002A6D9A" w:rsidP="00C52E09">
      <w:pPr>
        <w:numPr>
          <w:ilvl w:val="0"/>
          <w:numId w:val="148"/>
        </w:numPr>
        <w:spacing w:before="120" w:after="0"/>
        <w:ind w:left="450" w:hanging="450"/>
        <w:rPr>
          <w:rFonts w:cs="Arial"/>
          <w:lang w:val="pt-BR"/>
        </w:rPr>
      </w:pPr>
      <w:r w:rsidRPr="00632033">
        <w:rPr>
          <w:rFonts w:cs="Arial"/>
          <w:lang w:val="pt-BR"/>
        </w:rPr>
        <w:t xml:space="preserve">Os dermatófitos são um grupo de fungos que produzem as micoses cutâneas, também conhecidas como tinhas </w:t>
      </w:r>
    </w:p>
    <w:p w:rsidR="002A6D9A" w:rsidRPr="00632033" w:rsidRDefault="002A6D9A" w:rsidP="00C52E09">
      <w:pPr>
        <w:numPr>
          <w:ilvl w:val="0"/>
          <w:numId w:val="148"/>
        </w:numPr>
        <w:spacing w:before="120" w:after="0"/>
        <w:ind w:left="450" w:hanging="450"/>
        <w:rPr>
          <w:rFonts w:cs="Arial"/>
          <w:lang w:val="pt-BR"/>
        </w:rPr>
      </w:pPr>
      <w:r w:rsidRPr="00632033">
        <w:rPr>
          <w:rFonts w:cs="Arial"/>
          <w:lang w:val="pt-BR"/>
        </w:rPr>
        <w:t>As infecções por Cândida, ou candidíases, podem ter apresentações clínicas muito diferentes, desde infecções superficiais na boca e na vagina (as mais frequentes na prática clínica) até infecções sistémicas potencialmente fatais. Estas últimas estão limitadas a indivíduos com imunodeficiência grave (por exemplo, em indivíduos HIV positivos)</w:t>
      </w:r>
    </w:p>
    <w:p w:rsidR="002A6D9A" w:rsidRPr="00632033" w:rsidRDefault="002A6D9A" w:rsidP="00C52E09">
      <w:pPr>
        <w:numPr>
          <w:ilvl w:val="0"/>
          <w:numId w:val="148"/>
        </w:numPr>
        <w:spacing w:before="120" w:after="0"/>
        <w:ind w:left="450" w:hanging="450"/>
        <w:rPr>
          <w:rFonts w:cs="Arial"/>
          <w:lang w:val="pt-BR"/>
        </w:rPr>
      </w:pPr>
      <w:r w:rsidRPr="00632033">
        <w:rPr>
          <w:rFonts w:cs="Arial"/>
          <w:lang w:val="pt-BR"/>
        </w:rPr>
        <w:t xml:space="preserve">Dentre as micoses sistêmicas se detacam: Pneumocystis jiroveci (pneumonia grave), Cryptococcus neoformans (meningite criptocóccica). </w:t>
      </w:r>
    </w:p>
    <w:p w:rsidR="002A6D9A" w:rsidRPr="00632033" w:rsidRDefault="002A6D9A" w:rsidP="00C52E09">
      <w:pPr>
        <w:numPr>
          <w:ilvl w:val="0"/>
          <w:numId w:val="148"/>
        </w:numPr>
        <w:spacing w:before="120" w:after="0"/>
        <w:ind w:left="450" w:hanging="450"/>
        <w:rPr>
          <w:rFonts w:cs="Arial"/>
          <w:lang w:val="pt-BR"/>
        </w:rPr>
      </w:pPr>
      <w:r w:rsidRPr="00632033">
        <w:rPr>
          <w:rFonts w:cs="Arial"/>
          <w:lang w:val="pt-PT"/>
        </w:rPr>
        <w:t>O parasitismo é uma relação de associação entre seres vivos que beneficia uma das partes (o parasita), e geralmente prejudica a outra (hospedeiro) – unilateralidade de benefícios</w:t>
      </w:r>
      <w:r w:rsidRPr="00632033">
        <w:rPr>
          <w:rFonts w:cs="Arial"/>
          <w:lang w:val="pt-BR"/>
        </w:rPr>
        <w:t xml:space="preserve"> </w:t>
      </w:r>
    </w:p>
    <w:p w:rsidR="002A6D9A" w:rsidRPr="00632033" w:rsidRDefault="002A6D9A" w:rsidP="00C52E09">
      <w:pPr>
        <w:numPr>
          <w:ilvl w:val="0"/>
          <w:numId w:val="148"/>
        </w:numPr>
        <w:spacing w:before="120" w:after="0"/>
        <w:ind w:left="450" w:hanging="450"/>
        <w:rPr>
          <w:rFonts w:cs="Arial"/>
          <w:lang w:val="pt-BR"/>
        </w:rPr>
      </w:pPr>
      <w:r w:rsidRPr="00632033">
        <w:rPr>
          <w:rFonts w:cs="Arial"/>
          <w:lang w:val="pt-PT"/>
        </w:rPr>
        <w:t>Portanto, os parasitas são definidos como organismos eucariontes que vivem na superfície ou no interior de outros organismos vivos (os hospedeiros), dos quais obtêm alguma vantagem. Podem ser unicelulares (por exemplo, amebas e plasmódios) ou multicelulares (por exemplo, vermes helmintos)</w:t>
      </w:r>
    </w:p>
    <w:p w:rsidR="002A6D9A" w:rsidRPr="00632033" w:rsidRDefault="002A6D9A" w:rsidP="00C52E09">
      <w:pPr>
        <w:numPr>
          <w:ilvl w:val="0"/>
          <w:numId w:val="148"/>
        </w:numPr>
        <w:spacing w:before="120" w:after="0"/>
        <w:ind w:left="450" w:hanging="450"/>
        <w:rPr>
          <w:rFonts w:cs="Arial"/>
          <w:lang w:val="pt-BR"/>
        </w:rPr>
      </w:pPr>
      <w:r w:rsidRPr="00632033">
        <w:rPr>
          <w:rFonts w:cs="Arial"/>
          <w:lang w:val="pt-PT"/>
        </w:rPr>
        <w:lastRenderedPageBreak/>
        <w:t>Os parasitas que vivem na superfície do corpo do hospedeiro são chamados ectoparasitas (por exemplo, o artrópodo que produz a sarna). Os que vivem no interior do corpo são chamados endoparasitas (por exemplo, os vermes áscaris, ou o toxoplasma)</w:t>
      </w:r>
    </w:p>
    <w:p w:rsidR="002A6D9A" w:rsidRPr="00632033" w:rsidRDefault="002A6D9A" w:rsidP="00C52E09">
      <w:pPr>
        <w:numPr>
          <w:ilvl w:val="0"/>
          <w:numId w:val="148"/>
        </w:numPr>
        <w:spacing w:before="120" w:after="0"/>
        <w:ind w:left="450" w:hanging="450"/>
        <w:rPr>
          <w:rFonts w:cs="Arial"/>
          <w:lang w:val="pt-BR"/>
        </w:rPr>
      </w:pPr>
      <w:r w:rsidRPr="00632033">
        <w:rPr>
          <w:rFonts w:cs="Arial"/>
          <w:lang w:val="pt-BR"/>
        </w:rPr>
        <w:t>Classificação dos parasitas:</w:t>
      </w:r>
    </w:p>
    <w:p w:rsidR="002A6D9A" w:rsidRDefault="002A6D9A" w:rsidP="002A6D9A">
      <w:pPr>
        <w:spacing w:before="120"/>
        <w:ind w:left="450"/>
        <w:rPr>
          <w:rFonts w:cs="Arial"/>
          <w:b/>
          <w:noProof/>
          <w:lang w:val="en-GB" w:eastAsia="en-GB"/>
        </w:rPr>
      </w:pPr>
      <w:r>
        <w:rPr>
          <w:rFonts w:cs="Arial"/>
          <w:b/>
          <w:noProof/>
          <w:lang w:val="en-ZW" w:eastAsia="en-ZW"/>
        </w:rPr>
        <w:drawing>
          <wp:inline distT="0" distB="0" distL="0" distR="0" wp14:anchorId="7E8E5A86" wp14:editId="3633B0B5">
            <wp:extent cx="5995284" cy="3010397"/>
            <wp:effectExtent l="19050" t="19050" r="0" b="0"/>
            <wp:docPr id="209" name="Diagram 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0" r:lo="rId141" r:qs="rId142" r:cs="rId143"/>
              </a:graphicData>
            </a:graphic>
          </wp:inline>
        </w:drawing>
      </w:r>
    </w:p>
    <w:p w:rsidR="00EB2A96" w:rsidRDefault="00EB2A96" w:rsidP="002A6D9A">
      <w:pPr>
        <w:spacing w:before="120"/>
        <w:ind w:left="450"/>
        <w:rPr>
          <w:rFonts w:cs="Arial"/>
          <w:b/>
          <w:noProof/>
          <w:lang w:val="en-GB" w:eastAsia="en-GB"/>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87"/>
        <w:gridCol w:w="1981"/>
        <w:gridCol w:w="6326"/>
      </w:tblGrid>
      <w:tr w:rsidR="002A6D9A" w:rsidRPr="00632033" w:rsidTr="00BE2C41">
        <w:tc>
          <w:tcPr>
            <w:tcW w:w="1004" w:type="pct"/>
          </w:tcPr>
          <w:p w:rsidR="002A6D9A" w:rsidRPr="007438CC" w:rsidRDefault="002A6D9A" w:rsidP="002A6D9A">
            <w:pPr>
              <w:pStyle w:val="TM-3"/>
              <w:ind w:left="0" w:right="567" w:firstLine="0"/>
              <w:rPr>
                <w:b/>
              </w:rPr>
            </w:pPr>
            <w:r>
              <w:rPr>
                <w:b/>
                <w:noProof/>
                <w:lang w:val="en-GB" w:eastAsia="en-GB"/>
              </w:rPr>
              <w:br w:type="page"/>
            </w:r>
            <w:r w:rsidRPr="007438CC">
              <w:rPr>
                <w:b/>
              </w:rPr>
              <w:t>Parasita</w:t>
            </w:r>
          </w:p>
        </w:tc>
        <w:tc>
          <w:tcPr>
            <w:tcW w:w="953" w:type="pct"/>
          </w:tcPr>
          <w:p w:rsidR="002A6D9A" w:rsidRPr="007438CC" w:rsidRDefault="002A6D9A" w:rsidP="002A6D9A">
            <w:pPr>
              <w:pStyle w:val="TM-3"/>
              <w:ind w:left="0" w:right="567" w:firstLine="0"/>
              <w:rPr>
                <w:b/>
              </w:rPr>
            </w:pPr>
            <w:r w:rsidRPr="007438CC">
              <w:rPr>
                <w:b/>
              </w:rPr>
              <w:t>Divisão</w:t>
            </w:r>
          </w:p>
        </w:tc>
        <w:tc>
          <w:tcPr>
            <w:tcW w:w="3043" w:type="pct"/>
          </w:tcPr>
          <w:p w:rsidR="002A6D9A" w:rsidRPr="007438CC" w:rsidRDefault="002A6D9A" w:rsidP="002A6D9A">
            <w:pPr>
              <w:pStyle w:val="TM-3"/>
              <w:ind w:left="0" w:right="567" w:firstLine="0"/>
              <w:rPr>
                <w:b/>
              </w:rPr>
            </w:pPr>
            <w:r w:rsidRPr="007438CC">
              <w:rPr>
                <w:b/>
              </w:rPr>
              <w:t>Exemplos e doenças</w:t>
            </w:r>
          </w:p>
        </w:tc>
      </w:tr>
      <w:tr w:rsidR="002A6D9A" w:rsidRPr="00FC6E81" w:rsidTr="00BE2C41">
        <w:tc>
          <w:tcPr>
            <w:tcW w:w="1004" w:type="pct"/>
            <w:vMerge w:val="restart"/>
            <w:vAlign w:val="center"/>
          </w:tcPr>
          <w:p w:rsidR="002A6D9A" w:rsidRPr="00632033" w:rsidRDefault="002A6D9A" w:rsidP="002A6D9A">
            <w:pPr>
              <w:pStyle w:val="TM-3"/>
              <w:ind w:left="0" w:right="567" w:firstLine="0"/>
              <w:jc w:val="center"/>
            </w:pPr>
            <w:r w:rsidRPr="00632033">
              <w:t>Protozoários</w:t>
            </w:r>
          </w:p>
        </w:tc>
        <w:tc>
          <w:tcPr>
            <w:tcW w:w="953" w:type="pct"/>
          </w:tcPr>
          <w:p w:rsidR="002A6D9A" w:rsidRPr="00632033" w:rsidRDefault="002A6D9A" w:rsidP="002A6D9A">
            <w:pPr>
              <w:pStyle w:val="TM-3"/>
              <w:ind w:left="0" w:right="567" w:firstLine="0"/>
            </w:pPr>
            <w:r w:rsidRPr="00632033">
              <w:t>Intestinais</w:t>
            </w:r>
          </w:p>
        </w:tc>
        <w:tc>
          <w:tcPr>
            <w:tcW w:w="3043" w:type="pct"/>
          </w:tcPr>
          <w:p w:rsidR="002A6D9A" w:rsidRPr="00632033" w:rsidRDefault="002A6D9A" w:rsidP="002A6D9A">
            <w:pPr>
              <w:pStyle w:val="TM-3"/>
              <w:ind w:left="0" w:right="567" w:firstLine="0"/>
              <w:rPr>
                <w:i/>
              </w:rPr>
            </w:pPr>
            <w:r w:rsidRPr="00632033">
              <w:rPr>
                <w:i/>
              </w:rPr>
              <w:t xml:space="preserve">Entamoeba histolytica </w:t>
            </w:r>
            <w:r w:rsidRPr="00632033">
              <w:t>(diarreia, disenteria)</w:t>
            </w:r>
            <w:r w:rsidRPr="00632033">
              <w:rPr>
                <w:i/>
              </w:rPr>
              <w:t xml:space="preserve">, Giardia lamblia </w:t>
            </w:r>
            <w:r w:rsidRPr="00632033">
              <w:t>(diarreia)</w:t>
            </w:r>
            <w:r w:rsidRPr="00632033">
              <w:rPr>
                <w:i/>
              </w:rPr>
              <w:t xml:space="preserve">, Isospora belli </w:t>
            </w:r>
            <w:r w:rsidRPr="00632033">
              <w:t>(diarreia)</w:t>
            </w:r>
            <w:r w:rsidRPr="00632033">
              <w:rPr>
                <w:i/>
              </w:rPr>
              <w:t xml:space="preserve">, Cryptosporídium spp </w:t>
            </w:r>
            <w:r w:rsidRPr="00632033">
              <w:t>(diarreia)</w:t>
            </w:r>
            <w:r w:rsidRPr="00632033">
              <w:rPr>
                <w:i/>
              </w:rPr>
              <w:t xml:space="preserve">, Balantidium coli </w:t>
            </w:r>
            <w:r w:rsidRPr="00632033">
              <w:t>(diarreia, disenteria)</w:t>
            </w:r>
          </w:p>
        </w:tc>
      </w:tr>
      <w:tr w:rsidR="002A6D9A" w:rsidRPr="00632033" w:rsidTr="00BE2C41">
        <w:tc>
          <w:tcPr>
            <w:tcW w:w="1004" w:type="pct"/>
            <w:vMerge/>
            <w:vAlign w:val="center"/>
          </w:tcPr>
          <w:p w:rsidR="002A6D9A" w:rsidRPr="00632033" w:rsidRDefault="002A6D9A" w:rsidP="002A6D9A">
            <w:pPr>
              <w:pStyle w:val="TM-3"/>
              <w:ind w:left="0" w:right="567" w:firstLine="0"/>
              <w:jc w:val="center"/>
            </w:pPr>
          </w:p>
        </w:tc>
        <w:tc>
          <w:tcPr>
            <w:tcW w:w="953" w:type="pct"/>
          </w:tcPr>
          <w:p w:rsidR="002A6D9A" w:rsidRPr="00632033" w:rsidRDefault="002A6D9A" w:rsidP="002A6D9A">
            <w:pPr>
              <w:pStyle w:val="TM-3"/>
              <w:ind w:left="0" w:right="567" w:firstLine="0"/>
            </w:pPr>
            <w:r w:rsidRPr="00632033">
              <w:t>Urogenitais</w:t>
            </w:r>
          </w:p>
        </w:tc>
        <w:tc>
          <w:tcPr>
            <w:tcW w:w="3043" w:type="pct"/>
          </w:tcPr>
          <w:p w:rsidR="002A6D9A" w:rsidRPr="00632033" w:rsidRDefault="002A6D9A" w:rsidP="002A6D9A">
            <w:pPr>
              <w:pStyle w:val="TM-3"/>
              <w:ind w:left="0" w:right="567" w:firstLine="0"/>
            </w:pPr>
            <w:r w:rsidRPr="00632033">
              <w:rPr>
                <w:i/>
              </w:rPr>
              <w:t>Trichomonas vaginalis</w:t>
            </w:r>
            <w:r w:rsidRPr="00632033">
              <w:t xml:space="preserve"> (Tricomoníase)</w:t>
            </w:r>
          </w:p>
        </w:tc>
      </w:tr>
      <w:tr w:rsidR="002A6D9A" w:rsidRPr="00FC6E81" w:rsidTr="00BE2C41">
        <w:tc>
          <w:tcPr>
            <w:tcW w:w="1004" w:type="pct"/>
            <w:vMerge/>
            <w:vAlign w:val="center"/>
          </w:tcPr>
          <w:p w:rsidR="002A6D9A" w:rsidRPr="00632033" w:rsidRDefault="002A6D9A" w:rsidP="002A6D9A">
            <w:pPr>
              <w:pStyle w:val="TM-3"/>
              <w:ind w:left="0" w:right="567" w:firstLine="0"/>
              <w:jc w:val="center"/>
            </w:pPr>
          </w:p>
        </w:tc>
        <w:tc>
          <w:tcPr>
            <w:tcW w:w="953" w:type="pct"/>
          </w:tcPr>
          <w:p w:rsidR="002A6D9A" w:rsidRPr="00632033" w:rsidRDefault="002A6D9A" w:rsidP="002A6D9A">
            <w:pPr>
              <w:pStyle w:val="TM-3"/>
              <w:ind w:left="0" w:right="567" w:firstLine="0"/>
            </w:pPr>
            <w:r w:rsidRPr="00632033">
              <w:t>Sistémicos</w:t>
            </w:r>
          </w:p>
        </w:tc>
        <w:tc>
          <w:tcPr>
            <w:tcW w:w="3043" w:type="pct"/>
          </w:tcPr>
          <w:p w:rsidR="002A6D9A" w:rsidRPr="00632033" w:rsidRDefault="002A6D9A" w:rsidP="002A6D9A">
            <w:pPr>
              <w:pStyle w:val="TM-3"/>
              <w:ind w:left="0" w:right="567" w:firstLine="0"/>
              <w:rPr>
                <w:i/>
                <w:lang w:val="pt-BR"/>
              </w:rPr>
            </w:pPr>
            <w:r w:rsidRPr="00632033">
              <w:rPr>
                <w:i/>
                <w:lang w:val="pt-BR"/>
              </w:rPr>
              <w:t xml:space="preserve">Plasmodium spp </w:t>
            </w:r>
            <w:r w:rsidRPr="00632033">
              <w:rPr>
                <w:lang w:val="pt-BR"/>
              </w:rPr>
              <w:t>(malária)</w:t>
            </w:r>
            <w:r w:rsidRPr="00632033">
              <w:rPr>
                <w:i/>
                <w:lang w:val="pt-BR"/>
              </w:rPr>
              <w:t>, Toxoplasma gondii (</w:t>
            </w:r>
            <w:r w:rsidRPr="00632033">
              <w:rPr>
                <w:lang w:val="pt-BR"/>
              </w:rPr>
              <w:t>Toxoplasmose)</w:t>
            </w:r>
            <w:r w:rsidRPr="00632033">
              <w:rPr>
                <w:i/>
                <w:lang w:val="pt-BR"/>
              </w:rPr>
              <w:t xml:space="preserve">, Trypanosoma brucei </w:t>
            </w:r>
            <w:r w:rsidRPr="00632033">
              <w:rPr>
                <w:lang w:val="pt-BR"/>
              </w:rPr>
              <w:t>(doença do sono)</w:t>
            </w:r>
          </w:p>
        </w:tc>
      </w:tr>
      <w:tr w:rsidR="002A6D9A" w:rsidRPr="00FC6E81" w:rsidTr="00BE2C41">
        <w:tc>
          <w:tcPr>
            <w:tcW w:w="1004" w:type="pct"/>
            <w:vMerge w:val="restart"/>
            <w:vAlign w:val="center"/>
          </w:tcPr>
          <w:p w:rsidR="002A6D9A" w:rsidRPr="00632033" w:rsidRDefault="002A6D9A" w:rsidP="002A6D9A">
            <w:pPr>
              <w:pStyle w:val="TM-3"/>
              <w:ind w:left="0" w:right="567" w:firstLine="0"/>
              <w:jc w:val="center"/>
            </w:pPr>
            <w:r w:rsidRPr="00632033">
              <w:t>Helmintos</w:t>
            </w:r>
          </w:p>
        </w:tc>
        <w:tc>
          <w:tcPr>
            <w:tcW w:w="953" w:type="pct"/>
          </w:tcPr>
          <w:p w:rsidR="002A6D9A" w:rsidRPr="00632033" w:rsidRDefault="002A6D9A" w:rsidP="002A6D9A">
            <w:pPr>
              <w:pStyle w:val="TM-3"/>
              <w:ind w:left="0" w:right="567" w:firstLine="0"/>
            </w:pPr>
            <w:r w:rsidRPr="00632033">
              <w:t>Nemátodes</w:t>
            </w:r>
          </w:p>
        </w:tc>
        <w:tc>
          <w:tcPr>
            <w:tcW w:w="3043" w:type="pct"/>
          </w:tcPr>
          <w:p w:rsidR="002A6D9A" w:rsidRPr="00632033" w:rsidRDefault="002A6D9A" w:rsidP="002A6D9A">
            <w:pPr>
              <w:pStyle w:val="TM-3"/>
              <w:ind w:left="0" w:right="567" w:firstLine="0"/>
              <w:rPr>
                <w:i/>
              </w:rPr>
            </w:pPr>
            <w:r w:rsidRPr="00632033">
              <w:rPr>
                <w:i/>
              </w:rPr>
              <w:t xml:space="preserve">Enterobius vermicularis (prurido anal, dor abdominal), Ascaris lumbricoides (distúrbios abdominais, obstrução intestinal, entre outros), Ancylostoma duodenale (anemia, disturbios abdominias),, Strongyloídes stercolaris (dor abdominal, diarreia), Wuchereria bancrofti, Trichuris trichiura (dor abdominal, diarreia com ou sem sangue), Onchocerca volvulus (cegueira dos rios) </w:t>
            </w:r>
          </w:p>
        </w:tc>
      </w:tr>
      <w:tr w:rsidR="002A6D9A" w:rsidRPr="00FC6E81" w:rsidTr="00BE2C41">
        <w:tc>
          <w:tcPr>
            <w:tcW w:w="1004" w:type="pct"/>
            <w:vMerge/>
            <w:vAlign w:val="center"/>
          </w:tcPr>
          <w:p w:rsidR="002A6D9A" w:rsidRPr="00632033" w:rsidRDefault="002A6D9A" w:rsidP="002A6D9A">
            <w:pPr>
              <w:pStyle w:val="TM-3"/>
              <w:ind w:left="0" w:right="567" w:firstLine="0"/>
              <w:jc w:val="center"/>
            </w:pPr>
          </w:p>
        </w:tc>
        <w:tc>
          <w:tcPr>
            <w:tcW w:w="953" w:type="pct"/>
          </w:tcPr>
          <w:p w:rsidR="002A6D9A" w:rsidRPr="00632033" w:rsidRDefault="002A6D9A" w:rsidP="002A6D9A">
            <w:pPr>
              <w:pStyle w:val="TM-3"/>
              <w:ind w:left="0" w:right="567" w:firstLine="0"/>
            </w:pPr>
            <w:r w:rsidRPr="00632033">
              <w:t>Tremátodes</w:t>
            </w:r>
          </w:p>
        </w:tc>
        <w:tc>
          <w:tcPr>
            <w:tcW w:w="3043" w:type="pct"/>
          </w:tcPr>
          <w:p w:rsidR="002A6D9A" w:rsidRPr="00632033" w:rsidRDefault="002A6D9A" w:rsidP="002A6D9A">
            <w:pPr>
              <w:pStyle w:val="TM-3"/>
              <w:ind w:left="0" w:right="567" w:firstLine="0"/>
              <w:rPr>
                <w:i/>
              </w:rPr>
            </w:pPr>
            <w:r w:rsidRPr="00632033">
              <w:rPr>
                <w:i/>
              </w:rPr>
              <w:t xml:space="preserve">Schistosoma haematobium </w:t>
            </w:r>
            <w:r w:rsidRPr="00632033">
              <w:t>(bilharziose urinária)</w:t>
            </w:r>
            <w:r w:rsidRPr="00632033">
              <w:rPr>
                <w:i/>
              </w:rPr>
              <w:t xml:space="preserve"> e Schistosoma mansoni </w:t>
            </w:r>
            <w:r w:rsidRPr="00632033">
              <w:t>(bilharziose hepática e intestinal)</w:t>
            </w:r>
            <w:r w:rsidRPr="00632033">
              <w:rPr>
                <w:i/>
              </w:rPr>
              <w:t xml:space="preserve"> </w:t>
            </w:r>
          </w:p>
        </w:tc>
      </w:tr>
      <w:tr w:rsidR="002A6D9A" w:rsidRPr="00FC6E81" w:rsidTr="00BE2C41">
        <w:tc>
          <w:tcPr>
            <w:tcW w:w="1004" w:type="pct"/>
            <w:vMerge/>
            <w:vAlign w:val="center"/>
          </w:tcPr>
          <w:p w:rsidR="002A6D9A" w:rsidRPr="00632033" w:rsidRDefault="002A6D9A" w:rsidP="002A6D9A">
            <w:pPr>
              <w:pStyle w:val="TM-3"/>
              <w:ind w:left="0" w:right="567" w:firstLine="0"/>
              <w:jc w:val="center"/>
            </w:pPr>
          </w:p>
        </w:tc>
        <w:tc>
          <w:tcPr>
            <w:tcW w:w="953" w:type="pct"/>
          </w:tcPr>
          <w:p w:rsidR="002A6D9A" w:rsidRPr="00632033" w:rsidRDefault="002A6D9A" w:rsidP="002A6D9A">
            <w:pPr>
              <w:pStyle w:val="TM-3"/>
              <w:ind w:left="0" w:right="567" w:firstLine="0"/>
            </w:pPr>
            <w:r w:rsidRPr="00632033">
              <w:t>Cestódes</w:t>
            </w:r>
          </w:p>
        </w:tc>
        <w:tc>
          <w:tcPr>
            <w:tcW w:w="3043" w:type="pct"/>
          </w:tcPr>
          <w:p w:rsidR="002A6D9A" w:rsidRPr="00632033" w:rsidRDefault="002A6D9A" w:rsidP="002A6D9A">
            <w:pPr>
              <w:pStyle w:val="TM-3"/>
              <w:ind w:left="0" w:right="567" w:firstLine="0"/>
              <w:rPr>
                <w:i/>
              </w:rPr>
            </w:pPr>
            <w:r w:rsidRPr="00632033">
              <w:rPr>
                <w:i/>
              </w:rPr>
              <w:t xml:space="preserve">Taenia solium (dor abdominal, cistecercose) e taenia saginata, Hymenolopsis nana, Diphyllobothrium latum </w:t>
            </w:r>
          </w:p>
        </w:tc>
      </w:tr>
      <w:tr w:rsidR="002A6D9A" w:rsidRPr="00FC6E81" w:rsidTr="00BE2C41">
        <w:tc>
          <w:tcPr>
            <w:tcW w:w="1004" w:type="pct"/>
            <w:vAlign w:val="center"/>
          </w:tcPr>
          <w:p w:rsidR="002A6D9A" w:rsidRPr="00632033" w:rsidRDefault="002A6D9A" w:rsidP="002A6D9A">
            <w:pPr>
              <w:pStyle w:val="TM-3"/>
              <w:ind w:left="0" w:right="567" w:firstLine="0"/>
              <w:jc w:val="center"/>
            </w:pPr>
            <w:r w:rsidRPr="00632033">
              <w:t>Artrópodes</w:t>
            </w:r>
          </w:p>
        </w:tc>
        <w:tc>
          <w:tcPr>
            <w:tcW w:w="953" w:type="pct"/>
          </w:tcPr>
          <w:p w:rsidR="002A6D9A" w:rsidRPr="00632033" w:rsidRDefault="002A6D9A" w:rsidP="002A6D9A">
            <w:pPr>
              <w:pStyle w:val="TM-3"/>
              <w:ind w:left="0" w:right="567" w:firstLine="0"/>
            </w:pPr>
          </w:p>
        </w:tc>
        <w:tc>
          <w:tcPr>
            <w:tcW w:w="3043" w:type="pct"/>
          </w:tcPr>
          <w:p w:rsidR="002A6D9A" w:rsidRPr="00632033" w:rsidRDefault="002A6D9A" w:rsidP="002A6D9A">
            <w:pPr>
              <w:pStyle w:val="TM-3"/>
              <w:ind w:left="0" w:right="567" w:firstLine="0"/>
              <w:rPr>
                <w:i/>
              </w:rPr>
            </w:pPr>
            <w:r w:rsidRPr="00632033">
              <w:rPr>
                <w:i/>
              </w:rPr>
              <w:t xml:space="preserve">Sarcoptes scabie (sarna), Tunga penetrans (tunguíase ou matequenha), Pediculus humanus (Pediculose) </w:t>
            </w:r>
          </w:p>
        </w:tc>
      </w:tr>
    </w:tbl>
    <w:p w:rsidR="002A6D9A" w:rsidRPr="00632033" w:rsidRDefault="002A6D9A" w:rsidP="002A6D9A">
      <w:pPr>
        <w:shd w:val="clear" w:color="auto" w:fill="B8CCE4"/>
        <w:tabs>
          <w:tab w:val="left" w:pos="1276"/>
          <w:tab w:val="right" w:pos="8640"/>
        </w:tabs>
        <w:spacing w:before="120"/>
        <w:jc w:val="both"/>
        <w:rPr>
          <w:rFonts w:cs="Arial"/>
          <w:b/>
          <w:lang w:val="pt-PT"/>
        </w:rPr>
      </w:pPr>
      <w:r w:rsidRPr="00632033">
        <w:rPr>
          <w:rFonts w:cs="Arial"/>
          <w:b/>
          <w:lang w:val="pt-PT"/>
        </w:rPr>
        <w:lastRenderedPageBreak/>
        <w:t>BLOCO 3: DEMONSTRAÇÃO DA TÉCNICA PELO DOCENTE</w:t>
      </w:r>
      <w:r w:rsidRPr="00632033">
        <w:rPr>
          <w:rFonts w:cs="Arial"/>
          <w:b/>
          <w:lang w:val="pt-PT"/>
        </w:rPr>
        <w:tab/>
        <w:t>(</w:t>
      </w:r>
      <w:r>
        <w:rPr>
          <w:rFonts w:cs="Arial"/>
          <w:b/>
          <w:lang w:val="pt-PT"/>
        </w:rPr>
        <w:t>6</w:t>
      </w:r>
      <w:r w:rsidRPr="00632033">
        <w:rPr>
          <w:rFonts w:cs="Arial"/>
          <w:b/>
          <w:lang w:val="pt-PT"/>
        </w:rPr>
        <w:t>0 min)</w:t>
      </w:r>
    </w:p>
    <w:p w:rsidR="002A6D9A" w:rsidRPr="00632033" w:rsidRDefault="002A6D9A" w:rsidP="00C52E09">
      <w:pPr>
        <w:numPr>
          <w:ilvl w:val="0"/>
          <w:numId w:val="149"/>
        </w:numPr>
        <w:spacing w:before="120" w:after="0"/>
        <w:ind w:left="450" w:hanging="450"/>
        <w:jc w:val="both"/>
        <w:rPr>
          <w:rFonts w:cs="Arial"/>
          <w:lang w:val="pt-BR"/>
        </w:rPr>
      </w:pPr>
      <w:r w:rsidRPr="00632033">
        <w:rPr>
          <w:rFonts w:cs="Arial"/>
          <w:lang w:val="pt-BR"/>
        </w:rPr>
        <w:t>Divida os alunos em 3 grupos (A, B e C)</w:t>
      </w:r>
    </w:p>
    <w:p w:rsidR="002A6D9A" w:rsidRPr="00632033" w:rsidRDefault="002A6D9A" w:rsidP="00C52E09">
      <w:pPr>
        <w:numPr>
          <w:ilvl w:val="0"/>
          <w:numId w:val="149"/>
        </w:numPr>
        <w:spacing w:before="120" w:after="0"/>
        <w:ind w:left="450" w:hanging="450"/>
        <w:jc w:val="both"/>
        <w:rPr>
          <w:rFonts w:cs="Arial"/>
          <w:lang w:val="pt-BR"/>
        </w:rPr>
      </w:pPr>
      <w:r w:rsidRPr="00632033">
        <w:rPr>
          <w:rFonts w:cs="Arial"/>
          <w:lang w:val="pt-BR"/>
        </w:rPr>
        <w:t>Entregue a cada grupo uma lista de organismos e diga aos alunos para correlacionar com a sua clasificaçao e a respectiva doença</w:t>
      </w:r>
    </w:p>
    <w:p w:rsidR="002A6D9A" w:rsidRPr="00632033" w:rsidRDefault="002A6D9A" w:rsidP="00C52E09">
      <w:pPr>
        <w:numPr>
          <w:ilvl w:val="0"/>
          <w:numId w:val="149"/>
        </w:numPr>
        <w:spacing w:before="120" w:after="0"/>
        <w:ind w:left="450" w:hanging="450"/>
        <w:jc w:val="both"/>
        <w:rPr>
          <w:rFonts w:cs="Arial"/>
          <w:lang w:val="pt-BR"/>
        </w:rPr>
      </w:pPr>
      <w:r w:rsidRPr="00632033">
        <w:rPr>
          <w:rFonts w:cs="Arial"/>
          <w:lang w:val="pt-BR"/>
        </w:rPr>
        <w:t>Cada grupo discute durante 10 minutos</w:t>
      </w:r>
    </w:p>
    <w:p w:rsidR="002A6D9A" w:rsidRPr="00632033" w:rsidRDefault="002A6D9A" w:rsidP="00C52E09">
      <w:pPr>
        <w:numPr>
          <w:ilvl w:val="0"/>
          <w:numId w:val="149"/>
        </w:numPr>
        <w:spacing w:before="120" w:after="0"/>
        <w:ind w:left="450" w:hanging="450"/>
        <w:jc w:val="both"/>
        <w:rPr>
          <w:rFonts w:cs="Arial"/>
          <w:lang w:val="pt-BR"/>
        </w:rPr>
      </w:pPr>
      <w:r w:rsidRPr="00632033">
        <w:rPr>
          <w:rFonts w:cs="Arial"/>
          <w:lang w:val="pt-BR"/>
        </w:rPr>
        <w:t>Após os 10 minutos, selecione aleatoriamente um elemento de cada grupo para efectuar a apresentação. Cada grupo terá 10 minutos de apresentação em plenária</w:t>
      </w:r>
    </w:p>
    <w:p w:rsidR="002A6D9A" w:rsidRPr="00632033" w:rsidRDefault="002A6D9A" w:rsidP="00C52E09">
      <w:pPr>
        <w:numPr>
          <w:ilvl w:val="0"/>
          <w:numId w:val="149"/>
        </w:numPr>
        <w:spacing w:before="120" w:after="0"/>
        <w:ind w:left="450" w:hanging="450"/>
        <w:jc w:val="both"/>
        <w:rPr>
          <w:rFonts w:cs="Arial"/>
          <w:lang w:val="pt-BR"/>
        </w:rPr>
      </w:pPr>
      <w:r w:rsidRPr="00632033">
        <w:rPr>
          <w:rFonts w:cs="Arial"/>
          <w:lang w:val="pt-BR"/>
        </w:rPr>
        <w:t>O docente não corrige no momento da apresentação e atribui 1 ponto por cada organismo correctamente classificado e a doença correspondente.</w:t>
      </w:r>
    </w:p>
    <w:p w:rsidR="002A6D9A" w:rsidRPr="00632033" w:rsidRDefault="002A6D9A" w:rsidP="00C52E09">
      <w:pPr>
        <w:numPr>
          <w:ilvl w:val="0"/>
          <w:numId w:val="149"/>
        </w:numPr>
        <w:spacing w:before="120" w:after="0"/>
        <w:ind w:left="450" w:hanging="450"/>
        <w:jc w:val="both"/>
        <w:rPr>
          <w:rFonts w:cs="Arial"/>
          <w:lang w:val="pt-BR"/>
        </w:rPr>
      </w:pPr>
      <w:r w:rsidRPr="00632033">
        <w:rPr>
          <w:rFonts w:cs="Arial"/>
          <w:lang w:val="pt-BR"/>
        </w:rPr>
        <w:t>No fim de todos os grupos apresentarem, o docente faz a correcção geral em plenária e atribui a nota de cada grupo</w:t>
      </w:r>
    </w:p>
    <w:p w:rsidR="002A6D9A" w:rsidRPr="00632033" w:rsidRDefault="002A6D9A" w:rsidP="00C52E09">
      <w:pPr>
        <w:numPr>
          <w:ilvl w:val="0"/>
          <w:numId w:val="149"/>
        </w:numPr>
        <w:spacing w:before="120" w:after="0"/>
        <w:ind w:left="450" w:hanging="450"/>
        <w:jc w:val="both"/>
        <w:rPr>
          <w:rFonts w:cs="Arial"/>
          <w:lang w:val="pt-BR"/>
        </w:rPr>
      </w:pPr>
      <w:r w:rsidRPr="00632033">
        <w:rPr>
          <w:rFonts w:cs="Arial"/>
          <w:lang w:val="pt-BR"/>
        </w:rPr>
        <w:t>Vence o grupo que mais pontuação tiver</w:t>
      </w:r>
    </w:p>
    <w:p w:rsidR="00BE2C41" w:rsidRDefault="00BE2C41" w:rsidP="002A6D9A">
      <w:pPr>
        <w:spacing w:before="120"/>
        <w:jc w:val="both"/>
        <w:rPr>
          <w:rFonts w:cs="Arial"/>
          <w:lang w:val="pt-BR"/>
        </w:rPr>
      </w:pPr>
    </w:p>
    <w:p w:rsidR="002A6D9A" w:rsidRPr="00632033" w:rsidRDefault="002A6D9A" w:rsidP="002A6D9A">
      <w:pPr>
        <w:spacing w:before="120"/>
        <w:jc w:val="both"/>
        <w:rPr>
          <w:rFonts w:cs="Arial"/>
          <w:lang w:val="pt-BR"/>
        </w:rPr>
      </w:pPr>
      <w:r w:rsidRPr="00632033">
        <w:rPr>
          <w:rFonts w:cs="Arial"/>
          <w:lang w:val="pt-BR"/>
        </w:rPr>
        <w:t>Exemplo de listas de organismos</w:t>
      </w:r>
      <w:r>
        <w:rPr>
          <w:rFonts w:cs="Arial"/>
          <w:lang w:val="pt-BR"/>
        </w:rPr>
        <w:t xml:space="preserve"> microbiológicos e parasitários</w:t>
      </w:r>
    </w:p>
    <w:p w:rsidR="002A6D9A" w:rsidRPr="0037747C" w:rsidRDefault="002A6D9A" w:rsidP="002A6D9A">
      <w:pPr>
        <w:spacing w:before="120"/>
        <w:jc w:val="both"/>
        <w:rPr>
          <w:rFonts w:cs="Arial"/>
          <w:b/>
          <w:lang w:val="pt-BR"/>
        </w:rPr>
      </w:pPr>
      <w:r w:rsidRPr="0037747C">
        <w:rPr>
          <w:rFonts w:cs="Arial"/>
          <w:b/>
          <w:lang w:val="pt-BR"/>
        </w:rPr>
        <w:t>Grupo A</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96"/>
        <w:gridCol w:w="3650"/>
        <w:gridCol w:w="3648"/>
      </w:tblGrid>
      <w:tr w:rsidR="002A6D9A" w:rsidRPr="00BE2C41" w:rsidTr="002A6D9A">
        <w:tc>
          <w:tcPr>
            <w:tcW w:w="1489" w:type="pct"/>
          </w:tcPr>
          <w:p w:rsidR="002A6D9A" w:rsidRPr="00BE2C41" w:rsidRDefault="002A6D9A" w:rsidP="007438CC">
            <w:pPr>
              <w:spacing w:line="240" w:lineRule="auto"/>
              <w:jc w:val="both"/>
              <w:rPr>
                <w:rFonts w:cs="Arial"/>
                <w:b/>
                <w:sz w:val="20"/>
                <w:szCs w:val="20"/>
                <w:lang w:val="pt-BR"/>
              </w:rPr>
            </w:pPr>
            <w:r w:rsidRPr="00BE2C41">
              <w:rPr>
                <w:rFonts w:cs="Arial"/>
                <w:b/>
                <w:sz w:val="20"/>
                <w:szCs w:val="20"/>
                <w:lang w:val="pt-BR"/>
              </w:rPr>
              <w:t>Organismos</w:t>
            </w:r>
          </w:p>
        </w:tc>
        <w:tc>
          <w:tcPr>
            <w:tcW w:w="1756" w:type="pct"/>
          </w:tcPr>
          <w:p w:rsidR="002A6D9A" w:rsidRPr="00BE2C41" w:rsidRDefault="002A6D9A" w:rsidP="007438CC">
            <w:pPr>
              <w:spacing w:line="240" w:lineRule="auto"/>
              <w:jc w:val="both"/>
              <w:rPr>
                <w:rFonts w:cs="Arial"/>
                <w:b/>
                <w:sz w:val="20"/>
                <w:szCs w:val="20"/>
                <w:lang w:val="pt-BR"/>
              </w:rPr>
            </w:pPr>
            <w:r w:rsidRPr="00BE2C41">
              <w:rPr>
                <w:rFonts w:cs="Arial"/>
                <w:b/>
                <w:sz w:val="20"/>
                <w:szCs w:val="20"/>
                <w:lang w:val="pt-BR"/>
              </w:rPr>
              <w:t>Classificação</w:t>
            </w:r>
          </w:p>
        </w:tc>
        <w:tc>
          <w:tcPr>
            <w:tcW w:w="1756" w:type="pct"/>
          </w:tcPr>
          <w:p w:rsidR="002A6D9A" w:rsidRPr="00BE2C41" w:rsidRDefault="002A6D9A" w:rsidP="007438CC">
            <w:pPr>
              <w:spacing w:line="240" w:lineRule="auto"/>
              <w:jc w:val="both"/>
              <w:rPr>
                <w:rFonts w:cs="Arial"/>
                <w:b/>
                <w:sz w:val="20"/>
                <w:szCs w:val="20"/>
                <w:lang w:val="pt-BR"/>
              </w:rPr>
            </w:pPr>
            <w:r w:rsidRPr="00BE2C41">
              <w:rPr>
                <w:rFonts w:cs="Arial"/>
                <w:b/>
                <w:sz w:val="20"/>
                <w:szCs w:val="20"/>
                <w:lang w:val="pt-BR"/>
              </w:rPr>
              <w:t>Doença</w:t>
            </w:r>
          </w:p>
        </w:tc>
      </w:tr>
      <w:tr w:rsidR="002A6D9A" w:rsidRPr="00BE2C41" w:rsidTr="002A6D9A">
        <w:tc>
          <w:tcPr>
            <w:tcW w:w="1489" w:type="pct"/>
          </w:tcPr>
          <w:p w:rsidR="002A6D9A" w:rsidRPr="00BE2C41" w:rsidRDefault="002A6D9A" w:rsidP="007438CC">
            <w:pPr>
              <w:spacing w:line="240" w:lineRule="auto"/>
              <w:jc w:val="both"/>
              <w:rPr>
                <w:rFonts w:cs="Arial"/>
                <w:i/>
                <w:sz w:val="20"/>
                <w:szCs w:val="20"/>
                <w:lang w:val="pt-BR"/>
              </w:rPr>
            </w:pPr>
            <w:r w:rsidRPr="00BE2C41">
              <w:rPr>
                <w:rFonts w:cs="Arial"/>
                <w:i/>
                <w:sz w:val="20"/>
                <w:szCs w:val="20"/>
                <w:lang w:val="pt-BR"/>
              </w:rPr>
              <w:t>Plasmodium falciparum</w:t>
            </w:r>
          </w:p>
        </w:tc>
        <w:tc>
          <w:tcPr>
            <w:tcW w:w="1756" w:type="pct"/>
          </w:tcPr>
          <w:p w:rsidR="002A6D9A" w:rsidRPr="00BE2C41" w:rsidRDefault="002A6D9A" w:rsidP="007438CC">
            <w:pPr>
              <w:spacing w:line="240" w:lineRule="auto"/>
              <w:jc w:val="both"/>
              <w:rPr>
                <w:rFonts w:cs="Arial"/>
                <w:sz w:val="20"/>
                <w:szCs w:val="20"/>
                <w:lang w:val="pt-BR"/>
              </w:rPr>
            </w:pPr>
          </w:p>
        </w:tc>
        <w:tc>
          <w:tcPr>
            <w:tcW w:w="1756" w:type="pct"/>
          </w:tcPr>
          <w:p w:rsidR="002A6D9A" w:rsidRPr="00BE2C41" w:rsidRDefault="002A6D9A" w:rsidP="007438CC">
            <w:pPr>
              <w:spacing w:line="240" w:lineRule="auto"/>
              <w:jc w:val="both"/>
              <w:rPr>
                <w:rFonts w:cs="Arial"/>
                <w:sz w:val="20"/>
                <w:szCs w:val="20"/>
                <w:lang w:val="pt-BR"/>
              </w:rPr>
            </w:pPr>
          </w:p>
        </w:tc>
      </w:tr>
      <w:tr w:rsidR="002A6D9A" w:rsidRPr="00BE2C41" w:rsidTr="002A6D9A">
        <w:tc>
          <w:tcPr>
            <w:tcW w:w="1489" w:type="pct"/>
          </w:tcPr>
          <w:p w:rsidR="002A6D9A" w:rsidRPr="00BE2C41" w:rsidRDefault="002A6D9A" w:rsidP="007438CC">
            <w:pPr>
              <w:spacing w:line="240" w:lineRule="auto"/>
              <w:jc w:val="both"/>
              <w:rPr>
                <w:rFonts w:cs="Arial"/>
                <w:i/>
                <w:sz w:val="20"/>
                <w:szCs w:val="20"/>
                <w:lang w:val="pt-BR"/>
              </w:rPr>
            </w:pPr>
            <w:r w:rsidRPr="00BE2C41">
              <w:rPr>
                <w:rFonts w:cs="Arial"/>
                <w:i/>
                <w:sz w:val="20"/>
                <w:szCs w:val="20"/>
                <w:lang w:val="pt-BR"/>
              </w:rPr>
              <w:t>Micobacterium learae</w:t>
            </w:r>
          </w:p>
        </w:tc>
        <w:tc>
          <w:tcPr>
            <w:tcW w:w="1756" w:type="pct"/>
          </w:tcPr>
          <w:p w:rsidR="002A6D9A" w:rsidRPr="00BE2C41" w:rsidRDefault="002A6D9A" w:rsidP="007438CC">
            <w:pPr>
              <w:spacing w:line="240" w:lineRule="auto"/>
              <w:jc w:val="both"/>
              <w:rPr>
                <w:rFonts w:cs="Arial"/>
                <w:sz w:val="20"/>
                <w:szCs w:val="20"/>
                <w:lang w:val="pt-BR"/>
              </w:rPr>
            </w:pPr>
          </w:p>
        </w:tc>
        <w:tc>
          <w:tcPr>
            <w:tcW w:w="1756" w:type="pct"/>
          </w:tcPr>
          <w:p w:rsidR="002A6D9A" w:rsidRPr="00BE2C41" w:rsidRDefault="002A6D9A" w:rsidP="007438CC">
            <w:pPr>
              <w:spacing w:line="240" w:lineRule="auto"/>
              <w:jc w:val="both"/>
              <w:rPr>
                <w:rFonts w:cs="Arial"/>
                <w:sz w:val="20"/>
                <w:szCs w:val="20"/>
                <w:lang w:val="pt-BR"/>
              </w:rPr>
            </w:pPr>
          </w:p>
        </w:tc>
      </w:tr>
      <w:tr w:rsidR="002A6D9A" w:rsidRPr="00BE2C41" w:rsidTr="002A6D9A">
        <w:tc>
          <w:tcPr>
            <w:tcW w:w="1489" w:type="pct"/>
          </w:tcPr>
          <w:p w:rsidR="002A6D9A" w:rsidRPr="00BE2C41" w:rsidRDefault="002A6D9A" w:rsidP="007438CC">
            <w:pPr>
              <w:spacing w:line="240" w:lineRule="auto"/>
              <w:jc w:val="both"/>
              <w:rPr>
                <w:rFonts w:cs="Arial"/>
                <w:i/>
                <w:sz w:val="20"/>
                <w:szCs w:val="20"/>
                <w:lang w:val="pt-BR"/>
              </w:rPr>
            </w:pPr>
            <w:r w:rsidRPr="00BE2C41">
              <w:rPr>
                <w:rFonts w:cs="Arial"/>
                <w:i/>
                <w:sz w:val="20"/>
                <w:szCs w:val="20"/>
                <w:lang w:val="pt-BR"/>
              </w:rPr>
              <w:t>Treponema pallidum</w:t>
            </w:r>
          </w:p>
        </w:tc>
        <w:tc>
          <w:tcPr>
            <w:tcW w:w="1756" w:type="pct"/>
          </w:tcPr>
          <w:p w:rsidR="002A6D9A" w:rsidRPr="00BE2C41" w:rsidRDefault="002A6D9A" w:rsidP="007438CC">
            <w:pPr>
              <w:spacing w:line="240" w:lineRule="auto"/>
              <w:jc w:val="both"/>
              <w:rPr>
                <w:rFonts w:cs="Arial"/>
                <w:sz w:val="20"/>
                <w:szCs w:val="20"/>
                <w:lang w:val="pt-BR"/>
              </w:rPr>
            </w:pPr>
          </w:p>
        </w:tc>
        <w:tc>
          <w:tcPr>
            <w:tcW w:w="1756" w:type="pct"/>
          </w:tcPr>
          <w:p w:rsidR="002A6D9A" w:rsidRPr="00BE2C41" w:rsidRDefault="002A6D9A" w:rsidP="007438CC">
            <w:pPr>
              <w:spacing w:line="240" w:lineRule="auto"/>
              <w:jc w:val="both"/>
              <w:rPr>
                <w:rFonts w:cs="Arial"/>
                <w:sz w:val="20"/>
                <w:szCs w:val="20"/>
                <w:lang w:val="pt-BR"/>
              </w:rPr>
            </w:pPr>
          </w:p>
        </w:tc>
      </w:tr>
      <w:tr w:rsidR="002A6D9A" w:rsidRPr="00BE2C41" w:rsidTr="002A6D9A">
        <w:tc>
          <w:tcPr>
            <w:tcW w:w="1489" w:type="pct"/>
          </w:tcPr>
          <w:p w:rsidR="002A6D9A" w:rsidRPr="00BE2C41" w:rsidRDefault="002A6D9A" w:rsidP="007438CC">
            <w:pPr>
              <w:spacing w:line="240" w:lineRule="auto"/>
              <w:jc w:val="both"/>
              <w:rPr>
                <w:rFonts w:cs="Arial"/>
                <w:i/>
                <w:sz w:val="20"/>
                <w:szCs w:val="20"/>
                <w:lang w:val="pt-BR"/>
              </w:rPr>
            </w:pPr>
            <w:r w:rsidRPr="00BE2C41">
              <w:rPr>
                <w:rFonts w:cs="Arial"/>
                <w:i/>
                <w:sz w:val="20"/>
                <w:szCs w:val="20"/>
                <w:lang w:val="pt-BR"/>
              </w:rPr>
              <w:t>Trypanosoma brucei rhodesiense</w:t>
            </w:r>
          </w:p>
        </w:tc>
        <w:tc>
          <w:tcPr>
            <w:tcW w:w="1756" w:type="pct"/>
          </w:tcPr>
          <w:p w:rsidR="002A6D9A" w:rsidRPr="00BE2C41" w:rsidRDefault="002A6D9A" w:rsidP="007438CC">
            <w:pPr>
              <w:spacing w:line="240" w:lineRule="auto"/>
              <w:jc w:val="both"/>
              <w:rPr>
                <w:rFonts w:cs="Arial"/>
                <w:sz w:val="20"/>
                <w:szCs w:val="20"/>
                <w:lang w:val="pt-BR"/>
              </w:rPr>
            </w:pPr>
          </w:p>
        </w:tc>
        <w:tc>
          <w:tcPr>
            <w:tcW w:w="1756" w:type="pct"/>
          </w:tcPr>
          <w:p w:rsidR="002A6D9A" w:rsidRPr="00BE2C41" w:rsidRDefault="002A6D9A" w:rsidP="007438CC">
            <w:pPr>
              <w:spacing w:line="240" w:lineRule="auto"/>
              <w:jc w:val="both"/>
              <w:rPr>
                <w:rFonts w:cs="Arial"/>
                <w:sz w:val="20"/>
                <w:szCs w:val="20"/>
                <w:lang w:val="pt-BR"/>
              </w:rPr>
            </w:pPr>
          </w:p>
        </w:tc>
      </w:tr>
      <w:tr w:rsidR="002A6D9A" w:rsidRPr="00BE2C41" w:rsidTr="002A6D9A">
        <w:tc>
          <w:tcPr>
            <w:tcW w:w="1489" w:type="pct"/>
          </w:tcPr>
          <w:p w:rsidR="002A6D9A" w:rsidRPr="00BE2C41" w:rsidRDefault="002A6D9A" w:rsidP="007438CC">
            <w:pPr>
              <w:spacing w:line="240" w:lineRule="auto"/>
              <w:jc w:val="both"/>
              <w:rPr>
                <w:rFonts w:cs="Arial"/>
                <w:i/>
                <w:sz w:val="20"/>
                <w:szCs w:val="20"/>
                <w:lang w:val="pt-BR"/>
              </w:rPr>
            </w:pPr>
            <w:r w:rsidRPr="00BE2C41">
              <w:rPr>
                <w:rFonts w:cs="Arial"/>
                <w:i/>
                <w:sz w:val="20"/>
                <w:szCs w:val="20"/>
                <w:lang w:val="pt-BR"/>
              </w:rPr>
              <w:t>Streptococcus pneumoniae</w:t>
            </w:r>
          </w:p>
        </w:tc>
        <w:tc>
          <w:tcPr>
            <w:tcW w:w="1756" w:type="pct"/>
          </w:tcPr>
          <w:p w:rsidR="002A6D9A" w:rsidRPr="00BE2C41" w:rsidRDefault="002A6D9A" w:rsidP="007438CC">
            <w:pPr>
              <w:spacing w:line="240" w:lineRule="auto"/>
              <w:jc w:val="both"/>
              <w:rPr>
                <w:rFonts w:cs="Arial"/>
                <w:sz w:val="20"/>
                <w:szCs w:val="20"/>
                <w:lang w:val="pt-BR"/>
              </w:rPr>
            </w:pPr>
          </w:p>
        </w:tc>
        <w:tc>
          <w:tcPr>
            <w:tcW w:w="1756" w:type="pct"/>
          </w:tcPr>
          <w:p w:rsidR="002A6D9A" w:rsidRPr="00BE2C41" w:rsidRDefault="002A6D9A" w:rsidP="007438CC">
            <w:pPr>
              <w:spacing w:line="240" w:lineRule="auto"/>
              <w:jc w:val="both"/>
              <w:rPr>
                <w:rFonts w:cs="Arial"/>
                <w:sz w:val="20"/>
                <w:szCs w:val="20"/>
                <w:lang w:val="pt-BR"/>
              </w:rPr>
            </w:pPr>
          </w:p>
        </w:tc>
      </w:tr>
      <w:tr w:rsidR="002A6D9A" w:rsidRPr="00BE2C41" w:rsidTr="002A6D9A">
        <w:tc>
          <w:tcPr>
            <w:tcW w:w="1489" w:type="pct"/>
          </w:tcPr>
          <w:p w:rsidR="002A6D9A" w:rsidRPr="00BE2C41" w:rsidRDefault="002A6D9A" w:rsidP="007438CC">
            <w:pPr>
              <w:spacing w:line="240" w:lineRule="auto"/>
              <w:jc w:val="both"/>
              <w:rPr>
                <w:rFonts w:cs="Arial"/>
                <w:i/>
                <w:sz w:val="20"/>
                <w:szCs w:val="20"/>
                <w:lang w:val="pt-BR"/>
              </w:rPr>
            </w:pPr>
            <w:r w:rsidRPr="00BE2C41">
              <w:rPr>
                <w:rFonts w:cs="Arial"/>
                <w:i/>
                <w:sz w:val="20"/>
                <w:szCs w:val="20"/>
                <w:lang w:val="pt-BR"/>
              </w:rPr>
              <w:t>Candida albicans</w:t>
            </w:r>
          </w:p>
        </w:tc>
        <w:tc>
          <w:tcPr>
            <w:tcW w:w="1756" w:type="pct"/>
          </w:tcPr>
          <w:p w:rsidR="002A6D9A" w:rsidRPr="00BE2C41" w:rsidRDefault="002A6D9A" w:rsidP="007438CC">
            <w:pPr>
              <w:spacing w:line="240" w:lineRule="auto"/>
              <w:jc w:val="both"/>
              <w:rPr>
                <w:rFonts w:cs="Arial"/>
                <w:sz w:val="20"/>
                <w:szCs w:val="20"/>
                <w:lang w:val="pt-BR"/>
              </w:rPr>
            </w:pPr>
          </w:p>
        </w:tc>
        <w:tc>
          <w:tcPr>
            <w:tcW w:w="1756" w:type="pct"/>
          </w:tcPr>
          <w:p w:rsidR="002A6D9A" w:rsidRPr="00BE2C41" w:rsidRDefault="002A6D9A" w:rsidP="007438CC">
            <w:pPr>
              <w:spacing w:line="240" w:lineRule="auto"/>
              <w:jc w:val="both"/>
              <w:rPr>
                <w:rFonts w:cs="Arial"/>
                <w:sz w:val="20"/>
                <w:szCs w:val="20"/>
                <w:lang w:val="pt-BR"/>
              </w:rPr>
            </w:pPr>
          </w:p>
        </w:tc>
      </w:tr>
      <w:tr w:rsidR="002A6D9A" w:rsidRPr="00BE2C41" w:rsidTr="002A6D9A">
        <w:tc>
          <w:tcPr>
            <w:tcW w:w="1489" w:type="pct"/>
          </w:tcPr>
          <w:p w:rsidR="002A6D9A" w:rsidRPr="00BE2C41" w:rsidRDefault="002A6D9A" w:rsidP="007438CC">
            <w:pPr>
              <w:spacing w:line="240" w:lineRule="auto"/>
              <w:jc w:val="both"/>
              <w:rPr>
                <w:rFonts w:cs="Arial"/>
                <w:i/>
                <w:sz w:val="20"/>
                <w:szCs w:val="20"/>
                <w:lang w:val="pt-BR"/>
              </w:rPr>
            </w:pPr>
            <w:r w:rsidRPr="00BE2C41">
              <w:rPr>
                <w:rFonts w:cs="Arial"/>
                <w:i/>
                <w:sz w:val="20"/>
                <w:szCs w:val="20"/>
                <w:lang w:val="pt-BR"/>
              </w:rPr>
              <w:t>HIV</w:t>
            </w:r>
          </w:p>
        </w:tc>
        <w:tc>
          <w:tcPr>
            <w:tcW w:w="1756" w:type="pct"/>
          </w:tcPr>
          <w:p w:rsidR="002A6D9A" w:rsidRPr="00BE2C41" w:rsidRDefault="002A6D9A" w:rsidP="007438CC">
            <w:pPr>
              <w:spacing w:line="240" w:lineRule="auto"/>
              <w:jc w:val="both"/>
              <w:rPr>
                <w:rFonts w:cs="Arial"/>
                <w:sz w:val="20"/>
                <w:szCs w:val="20"/>
                <w:lang w:val="pt-BR"/>
              </w:rPr>
            </w:pPr>
          </w:p>
        </w:tc>
        <w:tc>
          <w:tcPr>
            <w:tcW w:w="1756" w:type="pct"/>
          </w:tcPr>
          <w:p w:rsidR="002A6D9A" w:rsidRPr="00BE2C41" w:rsidRDefault="002A6D9A" w:rsidP="007438CC">
            <w:pPr>
              <w:spacing w:line="240" w:lineRule="auto"/>
              <w:jc w:val="both"/>
              <w:rPr>
                <w:rFonts w:cs="Arial"/>
                <w:sz w:val="20"/>
                <w:szCs w:val="20"/>
                <w:lang w:val="pt-BR"/>
              </w:rPr>
            </w:pPr>
          </w:p>
        </w:tc>
      </w:tr>
      <w:tr w:rsidR="002A6D9A" w:rsidRPr="00BE2C41" w:rsidTr="002A6D9A">
        <w:tc>
          <w:tcPr>
            <w:tcW w:w="1489" w:type="pct"/>
          </w:tcPr>
          <w:p w:rsidR="002A6D9A" w:rsidRPr="00BE2C41" w:rsidRDefault="002A6D9A" w:rsidP="007438CC">
            <w:pPr>
              <w:spacing w:line="240" w:lineRule="auto"/>
              <w:jc w:val="both"/>
              <w:rPr>
                <w:rFonts w:cs="Arial"/>
                <w:i/>
                <w:sz w:val="20"/>
                <w:szCs w:val="20"/>
                <w:lang w:val="pt-BR"/>
              </w:rPr>
            </w:pPr>
            <w:r w:rsidRPr="00BE2C41">
              <w:rPr>
                <w:rFonts w:cs="Arial"/>
                <w:i/>
                <w:sz w:val="20"/>
                <w:szCs w:val="20"/>
                <w:lang w:val="pt-BR"/>
              </w:rPr>
              <w:t>Schistosoma haematobium</w:t>
            </w:r>
          </w:p>
        </w:tc>
        <w:tc>
          <w:tcPr>
            <w:tcW w:w="1756" w:type="pct"/>
          </w:tcPr>
          <w:p w:rsidR="002A6D9A" w:rsidRPr="00BE2C41" w:rsidRDefault="002A6D9A" w:rsidP="007438CC">
            <w:pPr>
              <w:spacing w:line="240" w:lineRule="auto"/>
              <w:jc w:val="both"/>
              <w:rPr>
                <w:rFonts w:cs="Arial"/>
                <w:sz w:val="20"/>
                <w:szCs w:val="20"/>
                <w:lang w:val="pt-BR"/>
              </w:rPr>
            </w:pPr>
          </w:p>
        </w:tc>
        <w:tc>
          <w:tcPr>
            <w:tcW w:w="1756" w:type="pct"/>
          </w:tcPr>
          <w:p w:rsidR="002A6D9A" w:rsidRPr="00BE2C41" w:rsidRDefault="002A6D9A" w:rsidP="007438CC">
            <w:pPr>
              <w:spacing w:line="240" w:lineRule="auto"/>
              <w:jc w:val="both"/>
              <w:rPr>
                <w:rFonts w:cs="Arial"/>
                <w:sz w:val="20"/>
                <w:szCs w:val="20"/>
                <w:lang w:val="pt-BR"/>
              </w:rPr>
            </w:pPr>
          </w:p>
        </w:tc>
      </w:tr>
      <w:tr w:rsidR="002A6D9A" w:rsidRPr="00BE2C41" w:rsidTr="002A6D9A">
        <w:tc>
          <w:tcPr>
            <w:tcW w:w="1489" w:type="pct"/>
          </w:tcPr>
          <w:p w:rsidR="002A6D9A" w:rsidRPr="00BE2C41" w:rsidRDefault="002A6D9A" w:rsidP="007438CC">
            <w:pPr>
              <w:spacing w:line="240" w:lineRule="auto"/>
              <w:jc w:val="both"/>
              <w:rPr>
                <w:rFonts w:cs="Arial"/>
                <w:i/>
                <w:sz w:val="20"/>
                <w:szCs w:val="20"/>
                <w:lang w:val="pt-BR"/>
              </w:rPr>
            </w:pPr>
            <w:r w:rsidRPr="00BE2C41">
              <w:rPr>
                <w:rFonts w:cs="Arial"/>
                <w:i/>
                <w:sz w:val="20"/>
                <w:szCs w:val="20"/>
                <w:lang w:val="pt-BR"/>
              </w:rPr>
              <w:t>Sarcoptes scabiei</w:t>
            </w:r>
          </w:p>
        </w:tc>
        <w:tc>
          <w:tcPr>
            <w:tcW w:w="1756" w:type="pct"/>
          </w:tcPr>
          <w:p w:rsidR="002A6D9A" w:rsidRPr="00BE2C41" w:rsidRDefault="002A6D9A" w:rsidP="007438CC">
            <w:pPr>
              <w:spacing w:line="240" w:lineRule="auto"/>
              <w:jc w:val="both"/>
              <w:rPr>
                <w:rFonts w:cs="Arial"/>
                <w:sz w:val="20"/>
                <w:szCs w:val="20"/>
                <w:lang w:val="pt-BR"/>
              </w:rPr>
            </w:pPr>
          </w:p>
        </w:tc>
        <w:tc>
          <w:tcPr>
            <w:tcW w:w="1756" w:type="pct"/>
          </w:tcPr>
          <w:p w:rsidR="002A6D9A" w:rsidRPr="00BE2C41" w:rsidRDefault="002A6D9A" w:rsidP="007438CC">
            <w:pPr>
              <w:spacing w:line="240" w:lineRule="auto"/>
              <w:jc w:val="both"/>
              <w:rPr>
                <w:rFonts w:cs="Arial"/>
                <w:sz w:val="20"/>
                <w:szCs w:val="20"/>
                <w:lang w:val="pt-BR"/>
              </w:rPr>
            </w:pPr>
          </w:p>
        </w:tc>
      </w:tr>
      <w:tr w:rsidR="002A6D9A" w:rsidRPr="00BE2C41" w:rsidTr="002A6D9A">
        <w:tc>
          <w:tcPr>
            <w:tcW w:w="1489" w:type="pct"/>
          </w:tcPr>
          <w:p w:rsidR="002A6D9A" w:rsidRPr="00BE2C41" w:rsidRDefault="002A6D9A" w:rsidP="007438CC">
            <w:pPr>
              <w:spacing w:line="240" w:lineRule="auto"/>
              <w:jc w:val="both"/>
              <w:rPr>
                <w:rFonts w:cs="Arial"/>
                <w:i/>
                <w:sz w:val="20"/>
                <w:szCs w:val="20"/>
                <w:lang w:val="pt-BR"/>
              </w:rPr>
            </w:pPr>
            <w:r w:rsidRPr="00BE2C41">
              <w:rPr>
                <w:rFonts w:cs="Arial"/>
                <w:i/>
                <w:sz w:val="20"/>
                <w:szCs w:val="20"/>
                <w:lang w:val="pt-BR"/>
              </w:rPr>
              <w:t>HSV-1</w:t>
            </w:r>
          </w:p>
        </w:tc>
        <w:tc>
          <w:tcPr>
            <w:tcW w:w="1756" w:type="pct"/>
          </w:tcPr>
          <w:p w:rsidR="002A6D9A" w:rsidRPr="00BE2C41" w:rsidRDefault="002A6D9A" w:rsidP="007438CC">
            <w:pPr>
              <w:spacing w:line="240" w:lineRule="auto"/>
              <w:jc w:val="both"/>
              <w:rPr>
                <w:rFonts w:cs="Arial"/>
                <w:sz w:val="20"/>
                <w:szCs w:val="20"/>
                <w:lang w:val="pt-BR"/>
              </w:rPr>
            </w:pPr>
          </w:p>
        </w:tc>
        <w:tc>
          <w:tcPr>
            <w:tcW w:w="1756" w:type="pct"/>
          </w:tcPr>
          <w:p w:rsidR="002A6D9A" w:rsidRPr="00BE2C41" w:rsidRDefault="002A6D9A" w:rsidP="007438CC">
            <w:pPr>
              <w:spacing w:line="240" w:lineRule="auto"/>
              <w:jc w:val="both"/>
              <w:rPr>
                <w:rFonts w:cs="Arial"/>
                <w:sz w:val="20"/>
                <w:szCs w:val="20"/>
                <w:lang w:val="pt-BR"/>
              </w:rPr>
            </w:pPr>
          </w:p>
        </w:tc>
      </w:tr>
    </w:tbl>
    <w:p w:rsidR="00BE2C41" w:rsidRDefault="00BE2C41" w:rsidP="002A6D9A">
      <w:pPr>
        <w:spacing w:before="120"/>
        <w:jc w:val="both"/>
        <w:rPr>
          <w:rFonts w:cs="Arial"/>
          <w:b/>
          <w:lang w:val="pt-BR"/>
        </w:rPr>
      </w:pPr>
    </w:p>
    <w:p w:rsidR="002A6D9A" w:rsidRPr="0037747C" w:rsidRDefault="002A6D9A" w:rsidP="002A6D9A">
      <w:pPr>
        <w:spacing w:before="120"/>
        <w:jc w:val="both"/>
        <w:rPr>
          <w:rFonts w:cs="Arial"/>
          <w:b/>
          <w:lang w:val="pt-BR"/>
        </w:rPr>
      </w:pPr>
      <w:r w:rsidRPr="0037747C">
        <w:rPr>
          <w:rFonts w:cs="Arial"/>
          <w:b/>
          <w:lang w:val="pt-BR"/>
        </w:rPr>
        <w:t>Grupo B</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96"/>
        <w:gridCol w:w="3650"/>
        <w:gridCol w:w="3648"/>
      </w:tblGrid>
      <w:tr w:rsidR="002A6D9A" w:rsidRPr="00BE2C41" w:rsidTr="002A6D9A">
        <w:tc>
          <w:tcPr>
            <w:tcW w:w="1489" w:type="pct"/>
          </w:tcPr>
          <w:p w:rsidR="002A6D9A" w:rsidRPr="00BE2C41" w:rsidRDefault="002A6D9A" w:rsidP="007438CC">
            <w:pPr>
              <w:spacing w:line="240" w:lineRule="auto"/>
              <w:jc w:val="both"/>
              <w:rPr>
                <w:rFonts w:cs="Arial"/>
                <w:sz w:val="20"/>
                <w:szCs w:val="20"/>
                <w:lang w:val="pt-BR"/>
              </w:rPr>
            </w:pPr>
            <w:r w:rsidRPr="00BE2C41">
              <w:rPr>
                <w:rFonts w:cs="Arial"/>
                <w:sz w:val="20"/>
                <w:szCs w:val="20"/>
                <w:lang w:val="pt-BR"/>
              </w:rPr>
              <w:t>Organismos</w:t>
            </w:r>
          </w:p>
        </w:tc>
        <w:tc>
          <w:tcPr>
            <w:tcW w:w="1756" w:type="pct"/>
          </w:tcPr>
          <w:p w:rsidR="002A6D9A" w:rsidRPr="00BE2C41" w:rsidRDefault="002A6D9A" w:rsidP="007438CC">
            <w:pPr>
              <w:spacing w:line="240" w:lineRule="auto"/>
              <w:jc w:val="both"/>
              <w:rPr>
                <w:rFonts w:cs="Arial"/>
                <w:sz w:val="20"/>
                <w:szCs w:val="20"/>
                <w:lang w:val="pt-BR"/>
              </w:rPr>
            </w:pPr>
            <w:r w:rsidRPr="00BE2C41">
              <w:rPr>
                <w:rFonts w:cs="Arial"/>
                <w:sz w:val="20"/>
                <w:szCs w:val="20"/>
                <w:lang w:val="pt-BR"/>
              </w:rPr>
              <w:t>Classificação</w:t>
            </w:r>
          </w:p>
        </w:tc>
        <w:tc>
          <w:tcPr>
            <w:tcW w:w="1756" w:type="pct"/>
          </w:tcPr>
          <w:p w:rsidR="002A6D9A" w:rsidRPr="00BE2C41" w:rsidRDefault="002A6D9A" w:rsidP="007438CC">
            <w:pPr>
              <w:spacing w:line="240" w:lineRule="auto"/>
              <w:jc w:val="both"/>
              <w:rPr>
                <w:rFonts w:cs="Arial"/>
                <w:sz w:val="20"/>
                <w:szCs w:val="20"/>
                <w:lang w:val="pt-BR"/>
              </w:rPr>
            </w:pPr>
            <w:r w:rsidRPr="00BE2C41">
              <w:rPr>
                <w:rFonts w:cs="Arial"/>
                <w:sz w:val="20"/>
                <w:szCs w:val="20"/>
                <w:lang w:val="pt-BR"/>
              </w:rPr>
              <w:t>Doença</w:t>
            </w:r>
          </w:p>
        </w:tc>
      </w:tr>
      <w:tr w:rsidR="002A6D9A" w:rsidRPr="00BE2C41" w:rsidTr="002A6D9A">
        <w:tc>
          <w:tcPr>
            <w:tcW w:w="1489" w:type="pct"/>
          </w:tcPr>
          <w:p w:rsidR="002A6D9A" w:rsidRPr="00BE2C41" w:rsidRDefault="002A6D9A" w:rsidP="007438CC">
            <w:pPr>
              <w:spacing w:line="240" w:lineRule="auto"/>
              <w:jc w:val="both"/>
              <w:rPr>
                <w:rFonts w:cs="Arial"/>
                <w:i/>
                <w:sz w:val="20"/>
                <w:szCs w:val="20"/>
                <w:lang w:val="pt-BR"/>
              </w:rPr>
            </w:pPr>
            <w:r w:rsidRPr="00BE2C41">
              <w:rPr>
                <w:rFonts w:cs="Arial"/>
                <w:i/>
                <w:sz w:val="20"/>
                <w:szCs w:val="20"/>
                <w:lang w:val="pt-BR"/>
              </w:rPr>
              <w:t>Giardia lamblia</w:t>
            </w:r>
          </w:p>
        </w:tc>
        <w:tc>
          <w:tcPr>
            <w:tcW w:w="1756" w:type="pct"/>
          </w:tcPr>
          <w:p w:rsidR="002A6D9A" w:rsidRPr="00BE2C41" w:rsidRDefault="002A6D9A" w:rsidP="007438CC">
            <w:pPr>
              <w:spacing w:line="240" w:lineRule="auto"/>
              <w:jc w:val="both"/>
              <w:rPr>
                <w:rFonts w:cs="Arial"/>
                <w:sz w:val="20"/>
                <w:szCs w:val="20"/>
                <w:lang w:val="pt-BR"/>
              </w:rPr>
            </w:pPr>
          </w:p>
        </w:tc>
        <w:tc>
          <w:tcPr>
            <w:tcW w:w="1756" w:type="pct"/>
          </w:tcPr>
          <w:p w:rsidR="002A6D9A" w:rsidRPr="00BE2C41" w:rsidRDefault="002A6D9A" w:rsidP="007438CC">
            <w:pPr>
              <w:spacing w:line="240" w:lineRule="auto"/>
              <w:jc w:val="both"/>
              <w:rPr>
                <w:rFonts w:cs="Arial"/>
                <w:sz w:val="20"/>
                <w:szCs w:val="20"/>
                <w:lang w:val="pt-BR"/>
              </w:rPr>
            </w:pPr>
          </w:p>
        </w:tc>
      </w:tr>
      <w:tr w:rsidR="002A6D9A" w:rsidRPr="00BE2C41" w:rsidTr="002A6D9A">
        <w:tc>
          <w:tcPr>
            <w:tcW w:w="1489" w:type="pct"/>
          </w:tcPr>
          <w:p w:rsidR="002A6D9A" w:rsidRPr="00BE2C41" w:rsidRDefault="002A6D9A" w:rsidP="007438CC">
            <w:pPr>
              <w:spacing w:line="240" w:lineRule="auto"/>
              <w:jc w:val="both"/>
              <w:rPr>
                <w:rFonts w:cs="Arial"/>
                <w:i/>
                <w:sz w:val="20"/>
                <w:szCs w:val="20"/>
                <w:lang w:val="pt-BR"/>
              </w:rPr>
            </w:pPr>
            <w:r w:rsidRPr="00BE2C41">
              <w:rPr>
                <w:rFonts w:cs="Arial"/>
                <w:i/>
                <w:sz w:val="20"/>
                <w:szCs w:val="20"/>
                <w:lang w:val="pt-BR"/>
              </w:rPr>
              <w:t>Trichomonas vaginalis</w:t>
            </w:r>
          </w:p>
        </w:tc>
        <w:tc>
          <w:tcPr>
            <w:tcW w:w="1756" w:type="pct"/>
          </w:tcPr>
          <w:p w:rsidR="002A6D9A" w:rsidRPr="00BE2C41" w:rsidRDefault="002A6D9A" w:rsidP="007438CC">
            <w:pPr>
              <w:spacing w:line="240" w:lineRule="auto"/>
              <w:jc w:val="both"/>
              <w:rPr>
                <w:rFonts w:cs="Arial"/>
                <w:sz w:val="20"/>
                <w:szCs w:val="20"/>
                <w:lang w:val="pt-BR"/>
              </w:rPr>
            </w:pPr>
          </w:p>
        </w:tc>
        <w:tc>
          <w:tcPr>
            <w:tcW w:w="1756" w:type="pct"/>
          </w:tcPr>
          <w:p w:rsidR="002A6D9A" w:rsidRPr="00BE2C41" w:rsidRDefault="002A6D9A" w:rsidP="007438CC">
            <w:pPr>
              <w:spacing w:line="240" w:lineRule="auto"/>
              <w:jc w:val="both"/>
              <w:rPr>
                <w:rFonts w:cs="Arial"/>
                <w:sz w:val="20"/>
                <w:szCs w:val="20"/>
                <w:lang w:val="pt-BR"/>
              </w:rPr>
            </w:pPr>
          </w:p>
        </w:tc>
      </w:tr>
      <w:tr w:rsidR="002A6D9A" w:rsidRPr="00BE2C41" w:rsidTr="002A6D9A">
        <w:tc>
          <w:tcPr>
            <w:tcW w:w="1489" w:type="pct"/>
          </w:tcPr>
          <w:p w:rsidR="002A6D9A" w:rsidRPr="00BE2C41" w:rsidRDefault="002A6D9A" w:rsidP="007438CC">
            <w:pPr>
              <w:spacing w:line="240" w:lineRule="auto"/>
              <w:jc w:val="both"/>
              <w:rPr>
                <w:rFonts w:cs="Arial"/>
                <w:i/>
                <w:sz w:val="20"/>
                <w:szCs w:val="20"/>
                <w:lang w:val="pt-BR"/>
              </w:rPr>
            </w:pPr>
            <w:r w:rsidRPr="00BE2C41">
              <w:rPr>
                <w:rFonts w:cs="Arial"/>
                <w:i/>
                <w:sz w:val="20"/>
                <w:szCs w:val="20"/>
                <w:lang w:val="pt-BR"/>
              </w:rPr>
              <w:t>Toxoplasma gondii</w:t>
            </w:r>
          </w:p>
        </w:tc>
        <w:tc>
          <w:tcPr>
            <w:tcW w:w="1756" w:type="pct"/>
          </w:tcPr>
          <w:p w:rsidR="002A6D9A" w:rsidRPr="00BE2C41" w:rsidRDefault="002A6D9A" w:rsidP="007438CC">
            <w:pPr>
              <w:spacing w:line="240" w:lineRule="auto"/>
              <w:jc w:val="both"/>
              <w:rPr>
                <w:rFonts w:cs="Arial"/>
                <w:sz w:val="20"/>
                <w:szCs w:val="20"/>
                <w:lang w:val="pt-BR"/>
              </w:rPr>
            </w:pPr>
          </w:p>
        </w:tc>
        <w:tc>
          <w:tcPr>
            <w:tcW w:w="1756" w:type="pct"/>
          </w:tcPr>
          <w:p w:rsidR="002A6D9A" w:rsidRPr="00BE2C41" w:rsidRDefault="002A6D9A" w:rsidP="007438CC">
            <w:pPr>
              <w:spacing w:line="240" w:lineRule="auto"/>
              <w:jc w:val="both"/>
              <w:rPr>
                <w:rFonts w:cs="Arial"/>
                <w:sz w:val="20"/>
                <w:szCs w:val="20"/>
                <w:lang w:val="pt-BR"/>
              </w:rPr>
            </w:pPr>
          </w:p>
        </w:tc>
      </w:tr>
      <w:tr w:rsidR="002A6D9A" w:rsidRPr="00BE2C41" w:rsidTr="002A6D9A">
        <w:tc>
          <w:tcPr>
            <w:tcW w:w="1489" w:type="pct"/>
          </w:tcPr>
          <w:p w:rsidR="002A6D9A" w:rsidRPr="00BE2C41" w:rsidRDefault="002A6D9A" w:rsidP="007438CC">
            <w:pPr>
              <w:spacing w:line="240" w:lineRule="auto"/>
              <w:jc w:val="both"/>
              <w:rPr>
                <w:rFonts w:cs="Arial"/>
                <w:i/>
                <w:sz w:val="20"/>
                <w:szCs w:val="20"/>
                <w:lang w:val="pt-BR"/>
              </w:rPr>
            </w:pPr>
            <w:r w:rsidRPr="00BE2C41">
              <w:rPr>
                <w:rFonts w:cs="Arial"/>
                <w:i/>
                <w:sz w:val="20"/>
                <w:szCs w:val="20"/>
                <w:lang w:val="pt-BR"/>
              </w:rPr>
              <w:t>Wuchereria bancrofti</w:t>
            </w:r>
          </w:p>
        </w:tc>
        <w:tc>
          <w:tcPr>
            <w:tcW w:w="1756" w:type="pct"/>
          </w:tcPr>
          <w:p w:rsidR="002A6D9A" w:rsidRPr="00BE2C41" w:rsidRDefault="002A6D9A" w:rsidP="007438CC">
            <w:pPr>
              <w:spacing w:line="240" w:lineRule="auto"/>
              <w:jc w:val="both"/>
              <w:rPr>
                <w:rFonts w:cs="Arial"/>
                <w:sz w:val="20"/>
                <w:szCs w:val="20"/>
                <w:lang w:val="pt-BR"/>
              </w:rPr>
            </w:pPr>
          </w:p>
        </w:tc>
        <w:tc>
          <w:tcPr>
            <w:tcW w:w="1756" w:type="pct"/>
          </w:tcPr>
          <w:p w:rsidR="002A6D9A" w:rsidRPr="00BE2C41" w:rsidRDefault="002A6D9A" w:rsidP="007438CC">
            <w:pPr>
              <w:spacing w:line="240" w:lineRule="auto"/>
              <w:jc w:val="both"/>
              <w:rPr>
                <w:rFonts w:cs="Arial"/>
                <w:sz w:val="20"/>
                <w:szCs w:val="20"/>
                <w:lang w:val="pt-BR"/>
              </w:rPr>
            </w:pPr>
          </w:p>
        </w:tc>
      </w:tr>
      <w:tr w:rsidR="002A6D9A" w:rsidRPr="00BE2C41" w:rsidTr="002A6D9A">
        <w:tc>
          <w:tcPr>
            <w:tcW w:w="1489" w:type="pct"/>
          </w:tcPr>
          <w:p w:rsidR="002A6D9A" w:rsidRPr="00BE2C41" w:rsidRDefault="002A6D9A" w:rsidP="007438CC">
            <w:pPr>
              <w:spacing w:line="240" w:lineRule="auto"/>
              <w:jc w:val="both"/>
              <w:rPr>
                <w:rFonts w:cs="Arial"/>
                <w:i/>
                <w:sz w:val="20"/>
                <w:szCs w:val="20"/>
                <w:lang w:val="pt-BR"/>
              </w:rPr>
            </w:pPr>
            <w:r w:rsidRPr="00BE2C41">
              <w:rPr>
                <w:rFonts w:cs="Arial"/>
                <w:i/>
                <w:sz w:val="20"/>
                <w:szCs w:val="20"/>
                <w:lang w:val="pt-BR"/>
              </w:rPr>
              <w:lastRenderedPageBreak/>
              <w:t>Mycobacterium tubeculosis</w:t>
            </w:r>
          </w:p>
        </w:tc>
        <w:tc>
          <w:tcPr>
            <w:tcW w:w="1756" w:type="pct"/>
          </w:tcPr>
          <w:p w:rsidR="002A6D9A" w:rsidRPr="00BE2C41" w:rsidRDefault="002A6D9A" w:rsidP="007438CC">
            <w:pPr>
              <w:spacing w:line="240" w:lineRule="auto"/>
              <w:jc w:val="both"/>
              <w:rPr>
                <w:rFonts w:cs="Arial"/>
                <w:sz w:val="20"/>
                <w:szCs w:val="20"/>
                <w:lang w:val="pt-BR"/>
              </w:rPr>
            </w:pPr>
          </w:p>
        </w:tc>
        <w:tc>
          <w:tcPr>
            <w:tcW w:w="1756" w:type="pct"/>
          </w:tcPr>
          <w:p w:rsidR="002A6D9A" w:rsidRPr="00BE2C41" w:rsidRDefault="002A6D9A" w:rsidP="007438CC">
            <w:pPr>
              <w:spacing w:line="240" w:lineRule="auto"/>
              <w:jc w:val="both"/>
              <w:rPr>
                <w:rFonts w:cs="Arial"/>
                <w:sz w:val="20"/>
                <w:szCs w:val="20"/>
                <w:lang w:val="pt-BR"/>
              </w:rPr>
            </w:pPr>
          </w:p>
        </w:tc>
      </w:tr>
      <w:tr w:rsidR="002A6D9A" w:rsidRPr="00BE2C41" w:rsidTr="002A6D9A">
        <w:tc>
          <w:tcPr>
            <w:tcW w:w="1489" w:type="pct"/>
          </w:tcPr>
          <w:p w:rsidR="002A6D9A" w:rsidRPr="00BE2C41" w:rsidRDefault="002A6D9A" w:rsidP="007438CC">
            <w:pPr>
              <w:spacing w:line="240" w:lineRule="auto"/>
              <w:jc w:val="both"/>
              <w:rPr>
                <w:rFonts w:cs="Arial"/>
                <w:i/>
                <w:sz w:val="20"/>
                <w:szCs w:val="20"/>
                <w:lang w:val="pt-BR"/>
              </w:rPr>
            </w:pPr>
            <w:r w:rsidRPr="00BE2C41">
              <w:rPr>
                <w:rFonts w:cs="Arial"/>
                <w:i/>
                <w:sz w:val="20"/>
                <w:szCs w:val="20"/>
                <w:lang w:val="pt-BR"/>
              </w:rPr>
              <w:t>Staphylococcus aureus</w:t>
            </w:r>
          </w:p>
        </w:tc>
        <w:tc>
          <w:tcPr>
            <w:tcW w:w="1756" w:type="pct"/>
          </w:tcPr>
          <w:p w:rsidR="002A6D9A" w:rsidRPr="00BE2C41" w:rsidRDefault="002A6D9A" w:rsidP="007438CC">
            <w:pPr>
              <w:spacing w:line="240" w:lineRule="auto"/>
              <w:jc w:val="both"/>
              <w:rPr>
                <w:rFonts w:cs="Arial"/>
                <w:sz w:val="20"/>
                <w:szCs w:val="20"/>
                <w:lang w:val="pt-BR"/>
              </w:rPr>
            </w:pPr>
          </w:p>
        </w:tc>
        <w:tc>
          <w:tcPr>
            <w:tcW w:w="1756" w:type="pct"/>
          </w:tcPr>
          <w:p w:rsidR="002A6D9A" w:rsidRPr="00BE2C41" w:rsidRDefault="002A6D9A" w:rsidP="007438CC">
            <w:pPr>
              <w:spacing w:line="240" w:lineRule="auto"/>
              <w:jc w:val="both"/>
              <w:rPr>
                <w:rFonts w:cs="Arial"/>
                <w:sz w:val="20"/>
                <w:szCs w:val="20"/>
                <w:lang w:val="pt-BR"/>
              </w:rPr>
            </w:pPr>
          </w:p>
        </w:tc>
      </w:tr>
      <w:tr w:rsidR="002A6D9A" w:rsidRPr="00BE2C41" w:rsidTr="002A6D9A">
        <w:tc>
          <w:tcPr>
            <w:tcW w:w="1489" w:type="pct"/>
          </w:tcPr>
          <w:p w:rsidR="002A6D9A" w:rsidRPr="00BE2C41" w:rsidRDefault="002A6D9A" w:rsidP="007438CC">
            <w:pPr>
              <w:spacing w:line="240" w:lineRule="auto"/>
              <w:jc w:val="both"/>
              <w:rPr>
                <w:rFonts w:cs="Arial"/>
                <w:i/>
                <w:sz w:val="20"/>
                <w:szCs w:val="20"/>
                <w:lang w:val="pt-BR"/>
              </w:rPr>
            </w:pPr>
            <w:r w:rsidRPr="00BE2C41">
              <w:rPr>
                <w:rFonts w:cs="Arial"/>
                <w:i/>
                <w:sz w:val="20"/>
                <w:szCs w:val="20"/>
                <w:lang w:val="pt-BR"/>
              </w:rPr>
              <w:t>Shigella Spp</w:t>
            </w:r>
          </w:p>
        </w:tc>
        <w:tc>
          <w:tcPr>
            <w:tcW w:w="1756" w:type="pct"/>
          </w:tcPr>
          <w:p w:rsidR="002A6D9A" w:rsidRPr="00BE2C41" w:rsidRDefault="002A6D9A" w:rsidP="007438CC">
            <w:pPr>
              <w:spacing w:line="240" w:lineRule="auto"/>
              <w:jc w:val="both"/>
              <w:rPr>
                <w:rFonts w:cs="Arial"/>
                <w:sz w:val="20"/>
                <w:szCs w:val="20"/>
                <w:lang w:val="pt-BR"/>
              </w:rPr>
            </w:pPr>
          </w:p>
        </w:tc>
        <w:tc>
          <w:tcPr>
            <w:tcW w:w="1756" w:type="pct"/>
          </w:tcPr>
          <w:p w:rsidR="002A6D9A" w:rsidRPr="00BE2C41" w:rsidRDefault="002A6D9A" w:rsidP="007438CC">
            <w:pPr>
              <w:spacing w:line="240" w:lineRule="auto"/>
              <w:jc w:val="both"/>
              <w:rPr>
                <w:rFonts w:cs="Arial"/>
                <w:sz w:val="20"/>
                <w:szCs w:val="20"/>
                <w:lang w:val="pt-BR"/>
              </w:rPr>
            </w:pPr>
          </w:p>
        </w:tc>
      </w:tr>
      <w:tr w:rsidR="002A6D9A" w:rsidRPr="00BE2C41" w:rsidTr="002A6D9A">
        <w:tc>
          <w:tcPr>
            <w:tcW w:w="1489" w:type="pct"/>
          </w:tcPr>
          <w:p w:rsidR="002A6D9A" w:rsidRPr="00BE2C41" w:rsidRDefault="002A6D9A" w:rsidP="007438CC">
            <w:pPr>
              <w:spacing w:line="240" w:lineRule="auto"/>
              <w:jc w:val="both"/>
              <w:rPr>
                <w:rFonts w:cs="Arial"/>
                <w:i/>
                <w:sz w:val="20"/>
                <w:szCs w:val="20"/>
                <w:lang w:val="pt-BR"/>
              </w:rPr>
            </w:pPr>
            <w:r w:rsidRPr="00BE2C41">
              <w:rPr>
                <w:rFonts w:cs="Arial"/>
                <w:i/>
                <w:sz w:val="20"/>
                <w:szCs w:val="20"/>
                <w:lang w:val="pt-BR"/>
              </w:rPr>
              <w:t>Chlamydia spp</w:t>
            </w:r>
          </w:p>
        </w:tc>
        <w:tc>
          <w:tcPr>
            <w:tcW w:w="1756" w:type="pct"/>
          </w:tcPr>
          <w:p w:rsidR="002A6D9A" w:rsidRPr="00BE2C41" w:rsidRDefault="002A6D9A" w:rsidP="007438CC">
            <w:pPr>
              <w:spacing w:line="240" w:lineRule="auto"/>
              <w:jc w:val="both"/>
              <w:rPr>
                <w:rFonts w:cs="Arial"/>
                <w:sz w:val="20"/>
                <w:szCs w:val="20"/>
                <w:lang w:val="pt-BR"/>
              </w:rPr>
            </w:pPr>
          </w:p>
        </w:tc>
        <w:tc>
          <w:tcPr>
            <w:tcW w:w="1756" w:type="pct"/>
          </w:tcPr>
          <w:p w:rsidR="002A6D9A" w:rsidRPr="00BE2C41" w:rsidRDefault="002A6D9A" w:rsidP="007438CC">
            <w:pPr>
              <w:spacing w:line="240" w:lineRule="auto"/>
              <w:jc w:val="both"/>
              <w:rPr>
                <w:rFonts w:cs="Arial"/>
                <w:sz w:val="20"/>
                <w:szCs w:val="20"/>
                <w:lang w:val="pt-BR"/>
              </w:rPr>
            </w:pPr>
          </w:p>
        </w:tc>
      </w:tr>
      <w:tr w:rsidR="002A6D9A" w:rsidRPr="00BE2C41" w:rsidTr="002A6D9A">
        <w:tc>
          <w:tcPr>
            <w:tcW w:w="1489" w:type="pct"/>
          </w:tcPr>
          <w:p w:rsidR="002A6D9A" w:rsidRPr="00BE2C41" w:rsidRDefault="002A6D9A" w:rsidP="007438CC">
            <w:pPr>
              <w:spacing w:line="240" w:lineRule="auto"/>
              <w:jc w:val="both"/>
              <w:rPr>
                <w:rFonts w:cs="Arial"/>
                <w:i/>
                <w:sz w:val="20"/>
                <w:szCs w:val="20"/>
                <w:lang w:val="pt-BR"/>
              </w:rPr>
            </w:pPr>
            <w:r w:rsidRPr="00BE2C41">
              <w:rPr>
                <w:rFonts w:cs="Arial"/>
                <w:i/>
                <w:sz w:val="20"/>
                <w:szCs w:val="20"/>
                <w:lang w:val="pt-BR"/>
              </w:rPr>
              <w:t>Neisseria gonorrhoeae</w:t>
            </w:r>
          </w:p>
        </w:tc>
        <w:tc>
          <w:tcPr>
            <w:tcW w:w="1756" w:type="pct"/>
          </w:tcPr>
          <w:p w:rsidR="002A6D9A" w:rsidRPr="00BE2C41" w:rsidRDefault="002A6D9A" w:rsidP="007438CC">
            <w:pPr>
              <w:spacing w:line="240" w:lineRule="auto"/>
              <w:jc w:val="both"/>
              <w:rPr>
                <w:rFonts w:cs="Arial"/>
                <w:sz w:val="20"/>
                <w:szCs w:val="20"/>
                <w:lang w:val="pt-BR"/>
              </w:rPr>
            </w:pPr>
          </w:p>
        </w:tc>
        <w:tc>
          <w:tcPr>
            <w:tcW w:w="1756" w:type="pct"/>
          </w:tcPr>
          <w:p w:rsidR="002A6D9A" w:rsidRPr="00BE2C41" w:rsidRDefault="002A6D9A" w:rsidP="007438CC">
            <w:pPr>
              <w:spacing w:line="240" w:lineRule="auto"/>
              <w:jc w:val="both"/>
              <w:rPr>
                <w:rFonts w:cs="Arial"/>
                <w:sz w:val="20"/>
                <w:szCs w:val="20"/>
                <w:lang w:val="pt-BR"/>
              </w:rPr>
            </w:pPr>
          </w:p>
        </w:tc>
      </w:tr>
      <w:tr w:rsidR="002A6D9A" w:rsidRPr="00BE2C41" w:rsidTr="002A6D9A">
        <w:tc>
          <w:tcPr>
            <w:tcW w:w="1489" w:type="pct"/>
          </w:tcPr>
          <w:p w:rsidR="002A6D9A" w:rsidRPr="00BE2C41" w:rsidRDefault="002A6D9A" w:rsidP="007438CC">
            <w:pPr>
              <w:spacing w:line="240" w:lineRule="auto"/>
              <w:jc w:val="both"/>
              <w:rPr>
                <w:rFonts w:cs="Arial"/>
                <w:i/>
                <w:sz w:val="20"/>
                <w:szCs w:val="20"/>
                <w:lang w:val="pt-BR"/>
              </w:rPr>
            </w:pPr>
            <w:r w:rsidRPr="00BE2C41">
              <w:rPr>
                <w:rFonts w:cs="Arial"/>
                <w:i/>
                <w:sz w:val="20"/>
                <w:szCs w:val="20"/>
                <w:lang w:val="pt-BR"/>
              </w:rPr>
              <w:t>HSV-2</w:t>
            </w:r>
          </w:p>
        </w:tc>
        <w:tc>
          <w:tcPr>
            <w:tcW w:w="1756" w:type="pct"/>
          </w:tcPr>
          <w:p w:rsidR="002A6D9A" w:rsidRPr="00BE2C41" w:rsidRDefault="002A6D9A" w:rsidP="007438CC">
            <w:pPr>
              <w:spacing w:line="240" w:lineRule="auto"/>
              <w:jc w:val="both"/>
              <w:rPr>
                <w:rFonts w:cs="Arial"/>
                <w:sz w:val="20"/>
                <w:szCs w:val="20"/>
                <w:lang w:val="pt-BR"/>
              </w:rPr>
            </w:pPr>
          </w:p>
        </w:tc>
        <w:tc>
          <w:tcPr>
            <w:tcW w:w="1756" w:type="pct"/>
          </w:tcPr>
          <w:p w:rsidR="002A6D9A" w:rsidRPr="00BE2C41" w:rsidRDefault="002A6D9A" w:rsidP="007438CC">
            <w:pPr>
              <w:spacing w:line="240" w:lineRule="auto"/>
              <w:jc w:val="both"/>
              <w:rPr>
                <w:rFonts w:cs="Arial"/>
                <w:sz w:val="20"/>
                <w:szCs w:val="20"/>
                <w:lang w:val="pt-BR"/>
              </w:rPr>
            </w:pPr>
          </w:p>
        </w:tc>
      </w:tr>
    </w:tbl>
    <w:p w:rsidR="002A6D9A" w:rsidRPr="00632033" w:rsidRDefault="002A6D9A" w:rsidP="002A6D9A">
      <w:pPr>
        <w:jc w:val="both"/>
        <w:rPr>
          <w:rFonts w:cs="Arial"/>
          <w:lang w:val="pt-BR"/>
        </w:rPr>
      </w:pPr>
    </w:p>
    <w:p w:rsidR="002A6D9A" w:rsidRPr="0037747C" w:rsidRDefault="002A6D9A" w:rsidP="002A6D9A">
      <w:pPr>
        <w:spacing w:before="120"/>
        <w:jc w:val="both"/>
        <w:rPr>
          <w:rFonts w:cs="Arial"/>
          <w:b/>
          <w:lang w:val="pt-BR"/>
        </w:rPr>
      </w:pPr>
      <w:r w:rsidRPr="0037747C">
        <w:rPr>
          <w:rFonts w:cs="Arial"/>
          <w:b/>
          <w:lang w:val="pt-BR"/>
        </w:rPr>
        <w:t>Grupo C</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96"/>
        <w:gridCol w:w="3650"/>
        <w:gridCol w:w="3648"/>
      </w:tblGrid>
      <w:tr w:rsidR="002A6D9A" w:rsidRPr="00BE2C41" w:rsidTr="002A6D9A">
        <w:tc>
          <w:tcPr>
            <w:tcW w:w="1489" w:type="pct"/>
          </w:tcPr>
          <w:p w:rsidR="002A6D9A" w:rsidRPr="00BE2C41" w:rsidRDefault="002A6D9A" w:rsidP="007438CC">
            <w:pPr>
              <w:spacing w:line="240" w:lineRule="auto"/>
              <w:jc w:val="both"/>
              <w:rPr>
                <w:rFonts w:cs="Arial"/>
                <w:sz w:val="20"/>
                <w:szCs w:val="20"/>
                <w:lang w:val="pt-BR"/>
              </w:rPr>
            </w:pPr>
            <w:r w:rsidRPr="00BE2C41">
              <w:rPr>
                <w:rFonts w:cs="Arial"/>
                <w:sz w:val="20"/>
                <w:szCs w:val="20"/>
                <w:lang w:val="pt-BR"/>
              </w:rPr>
              <w:t>Organismos</w:t>
            </w:r>
          </w:p>
        </w:tc>
        <w:tc>
          <w:tcPr>
            <w:tcW w:w="1756" w:type="pct"/>
          </w:tcPr>
          <w:p w:rsidR="002A6D9A" w:rsidRPr="00BE2C41" w:rsidRDefault="002A6D9A" w:rsidP="007438CC">
            <w:pPr>
              <w:spacing w:line="240" w:lineRule="auto"/>
              <w:jc w:val="both"/>
              <w:rPr>
                <w:rFonts w:cs="Arial"/>
                <w:sz w:val="20"/>
                <w:szCs w:val="20"/>
                <w:lang w:val="pt-BR"/>
              </w:rPr>
            </w:pPr>
            <w:r w:rsidRPr="00BE2C41">
              <w:rPr>
                <w:rFonts w:cs="Arial"/>
                <w:sz w:val="20"/>
                <w:szCs w:val="20"/>
                <w:lang w:val="pt-BR"/>
              </w:rPr>
              <w:t>Classificação</w:t>
            </w:r>
          </w:p>
        </w:tc>
        <w:tc>
          <w:tcPr>
            <w:tcW w:w="1756" w:type="pct"/>
          </w:tcPr>
          <w:p w:rsidR="002A6D9A" w:rsidRPr="00BE2C41" w:rsidRDefault="002A6D9A" w:rsidP="007438CC">
            <w:pPr>
              <w:spacing w:line="240" w:lineRule="auto"/>
              <w:jc w:val="both"/>
              <w:rPr>
                <w:rFonts w:cs="Arial"/>
                <w:sz w:val="20"/>
                <w:szCs w:val="20"/>
                <w:lang w:val="pt-BR"/>
              </w:rPr>
            </w:pPr>
            <w:r w:rsidRPr="00BE2C41">
              <w:rPr>
                <w:rFonts w:cs="Arial"/>
                <w:sz w:val="20"/>
                <w:szCs w:val="20"/>
                <w:lang w:val="pt-BR"/>
              </w:rPr>
              <w:t>Doença</w:t>
            </w:r>
          </w:p>
        </w:tc>
      </w:tr>
      <w:tr w:rsidR="002A6D9A" w:rsidRPr="00BE2C41" w:rsidTr="002A6D9A">
        <w:tc>
          <w:tcPr>
            <w:tcW w:w="1489" w:type="pct"/>
          </w:tcPr>
          <w:p w:rsidR="002A6D9A" w:rsidRPr="00BE2C41" w:rsidRDefault="002A6D9A" w:rsidP="007438CC">
            <w:pPr>
              <w:spacing w:line="240" w:lineRule="auto"/>
              <w:jc w:val="both"/>
              <w:rPr>
                <w:rFonts w:cs="Arial"/>
                <w:i/>
                <w:sz w:val="20"/>
                <w:szCs w:val="20"/>
                <w:lang w:val="pt-BR"/>
              </w:rPr>
            </w:pPr>
            <w:r w:rsidRPr="00BE2C41">
              <w:rPr>
                <w:rFonts w:cs="Arial"/>
                <w:i/>
                <w:sz w:val="20"/>
                <w:szCs w:val="20"/>
                <w:lang w:val="pt-BR"/>
              </w:rPr>
              <w:t>Borrelia duttoni</w:t>
            </w:r>
          </w:p>
        </w:tc>
        <w:tc>
          <w:tcPr>
            <w:tcW w:w="1756" w:type="pct"/>
          </w:tcPr>
          <w:p w:rsidR="002A6D9A" w:rsidRPr="00BE2C41" w:rsidRDefault="002A6D9A" w:rsidP="007438CC">
            <w:pPr>
              <w:spacing w:line="240" w:lineRule="auto"/>
              <w:jc w:val="both"/>
              <w:rPr>
                <w:rFonts w:cs="Arial"/>
                <w:sz w:val="20"/>
                <w:szCs w:val="20"/>
                <w:lang w:val="pt-BR"/>
              </w:rPr>
            </w:pPr>
          </w:p>
        </w:tc>
        <w:tc>
          <w:tcPr>
            <w:tcW w:w="1756" w:type="pct"/>
          </w:tcPr>
          <w:p w:rsidR="002A6D9A" w:rsidRPr="00BE2C41" w:rsidRDefault="002A6D9A" w:rsidP="007438CC">
            <w:pPr>
              <w:spacing w:line="240" w:lineRule="auto"/>
              <w:jc w:val="both"/>
              <w:rPr>
                <w:rFonts w:cs="Arial"/>
                <w:sz w:val="20"/>
                <w:szCs w:val="20"/>
                <w:lang w:val="pt-BR"/>
              </w:rPr>
            </w:pPr>
          </w:p>
        </w:tc>
      </w:tr>
      <w:tr w:rsidR="002A6D9A" w:rsidRPr="00BE2C41" w:rsidTr="002A6D9A">
        <w:tc>
          <w:tcPr>
            <w:tcW w:w="1489" w:type="pct"/>
          </w:tcPr>
          <w:p w:rsidR="002A6D9A" w:rsidRPr="00BE2C41" w:rsidRDefault="002A6D9A" w:rsidP="007438CC">
            <w:pPr>
              <w:spacing w:line="240" w:lineRule="auto"/>
              <w:jc w:val="both"/>
              <w:rPr>
                <w:rFonts w:cs="Arial"/>
                <w:i/>
                <w:sz w:val="20"/>
                <w:szCs w:val="20"/>
                <w:lang w:val="pt-BR"/>
              </w:rPr>
            </w:pPr>
            <w:r w:rsidRPr="00BE2C41">
              <w:rPr>
                <w:rFonts w:cs="Arial"/>
                <w:i/>
                <w:sz w:val="20"/>
                <w:szCs w:val="20"/>
                <w:lang w:val="pt-BR"/>
              </w:rPr>
              <w:t>Salmonela tiphi</w:t>
            </w:r>
          </w:p>
        </w:tc>
        <w:tc>
          <w:tcPr>
            <w:tcW w:w="1756" w:type="pct"/>
          </w:tcPr>
          <w:p w:rsidR="002A6D9A" w:rsidRPr="00BE2C41" w:rsidRDefault="002A6D9A" w:rsidP="007438CC">
            <w:pPr>
              <w:spacing w:line="240" w:lineRule="auto"/>
              <w:jc w:val="both"/>
              <w:rPr>
                <w:rFonts w:cs="Arial"/>
                <w:sz w:val="20"/>
                <w:szCs w:val="20"/>
                <w:lang w:val="pt-BR"/>
              </w:rPr>
            </w:pPr>
          </w:p>
        </w:tc>
        <w:tc>
          <w:tcPr>
            <w:tcW w:w="1756" w:type="pct"/>
          </w:tcPr>
          <w:p w:rsidR="002A6D9A" w:rsidRPr="00BE2C41" w:rsidRDefault="002A6D9A" w:rsidP="007438CC">
            <w:pPr>
              <w:spacing w:line="240" w:lineRule="auto"/>
              <w:jc w:val="both"/>
              <w:rPr>
                <w:rFonts w:cs="Arial"/>
                <w:sz w:val="20"/>
                <w:szCs w:val="20"/>
                <w:lang w:val="pt-BR"/>
              </w:rPr>
            </w:pPr>
          </w:p>
        </w:tc>
      </w:tr>
      <w:tr w:rsidR="002A6D9A" w:rsidRPr="00BE2C41" w:rsidTr="002A6D9A">
        <w:tc>
          <w:tcPr>
            <w:tcW w:w="1489" w:type="pct"/>
          </w:tcPr>
          <w:p w:rsidR="002A6D9A" w:rsidRPr="00BE2C41" w:rsidRDefault="002A6D9A" w:rsidP="007438CC">
            <w:pPr>
              <w:spacing w:line="240" w:lineRule="auto"/>
              <w:jc w:val="both"/>
              <w:rPr>
                <w:rFonts w:cs="Arial"/>
                <w:i/>
                <w:sz w:val="20"/>
                <w:szCs w:val="20"/>
                <w:lang w:val="pt-BR"/>
              </w:rPr>
            </w:pPr>
            <w:r w:rsidRPr="00BE2C41">
              <w:rPr>
                <w:rFonts w:cs="Arial"/>
                <w:i/>
                <w:sz w:val="20"/>
                <w:szCs w:val="20"/>
                <w:lang w:val="pt-BR"/>
              </w:rPr>
              <w:t>Yersinia pestis</w:t>
            </w:r>
          </w:p>
        </w:tc>
        <w:tc>
          <w:tcPr>
            <w:tcW w:w="1756" w:type="pct"/>
          </w:tcPr>
          <w:p w:rsidR="002A6D9A" w:rsidRPr="00BE2C41" w:rsidRDefault="002A6D9A" w:rsidP="007438CC">
            <w:pPr>
              <w:spacing w:line="240" w:lineRule="auto"/>
              <w:jc w:val="both"/>
              <w:rPr>
                <w:rFonts w:cs="Arial"/>
                <w:sz w:val="20"/>
                <w:szCs w:val="20"/>
                <w:lang w:val="pt-BR"/>
              </w:rPr>
            </w:pPr>
          </w:p>
        </w:tc>
        <w:tc>
          <w:tcPr>
            <w:tcW w:w="1756" w:type="pct"/>
          </w:tcPr>
          <w:p w:rsidR="002A6D9A" w:rsidRPr="00BE2C41" w:rsidRDefault="002A6D9A" w:rsidP="007438CC">
            <w:pPr>
              <w:spacing w:line="240" w:lineRule="auto"/>
              <w:jc w:val="both"/>
              <w:rPr>
                <w:rFonts w:cs="Arial"/>
                <w:sz w:val="20"/>
                <w:szCs w:val="20"/>
                <w:lang w:val="pt-BR"/>
              </w:rPr>
            </w:pPr>
          </w:p>
        </w:tc>
      </w:tr>
      <w:tr w:rsidR="002A6D9A" w:rsidRPr="00BE2C41" w:rsidTr="002A6D9A">
        <w:tc>
          <w:tcPr>
            <w:tcW w:w="1489" w:type="pct"/>
          </w:tcPr>
          <w:p w:rsidR="002A6D9A" w:rsidRPr="00BE2C41" w:rsidRDefault="002A6D9A" w:rsidP="007438CC">
            <w:pPr>
              <w:spacing w:line="240" w:lineRule="auto"/>
              <w:jc w:val="both"/>
              <w:rPr>
                <w:rFonts w:cs="Arial"/>
                <w:i/>
                <w:sz w:val="20"/>
                <w:szCs w:val="20"/>
                <w:lang w:val="pt-BR"/>
              </w:rPr>
            </w:pPr>
            <w:r w:rsidRPr="00BE2C41">
              <w:rPr>
                <w:rFonts w:cs="Arial"/>
                <w:i/>
                <w:sz w:val="20"/>
                <w:szCs w:val="20"/>
                <w:lang w:val="pt-BR"/>
              </w:rPr>
              <w:t>Streptococcus pyogenes</w:t>
            </w:r>
          </w:p>
        </w:tc>
        <w:tc>
          <w:tcPr>
            <w:tcW w:w="1756" w:type="pct"/>
          </w:tcPr>
          <w:p w:rsidR="002A6D9A" w:rsidRPr="00BE2C41" w:rsidRDefault="002A6D9A" w:rsidP="007438CC">
            <w:pPr>
              <w:spacing w:line="240" w:lineRule="auto"/>
              <w:jc w:val="both"/>
              <w:rPr>
                <w:rFonts w:cs="Arial"/>
                <w:sz w:val="20"/>
                <w:szCs w:val="20"/>
                <w:lang w:val="pt-BR"/>
              </w:rPr>
            </w:pPr>
          </w:p>
        </w:tc>
        <w:tc>
          <w:tcPr>
            <w:tcW w:w="1756" w:type="pct"/>
          </w:tcPr>
          <w:p w:rsidR="002A6D9A" w:rsidRPr="00BE2C41" w:rsidRDefault="002A6D9A" w:rsidP="007438CC">
            <w:pPr>
              <w:spacing w:line="240" w:lineRule="auto"/>
              <w:jc w:val="both"/>
              <w:rPr>
                <w:rFonts w:cs="Arial"/>
                <w:sz w:val="20"/>
                <w:szCs w:val="20"/>
                <w:lang w:val="pt-BR"/>
              </w:rPr>
            </w:pPr>
          </w:p>
        </w:tc>
      </w:tr>
      <w:tr w:rsidR="002A6D9A" w:rsidRPr="00BE2C41" w:rsidTr="002A6D9A">
        <w:tc>
          <w:tcPr>
            <w:tcW w:w="1489" w:type="pct"/>
          </w:tcPr>
          <w:p w:rsidR="002A6D9A" w:rsidRPr="00BE2C41" w:rsidRDefault="002A6D9A" w:rsidP="007438CC">
            <w:pPr>
              <w:spacing w:line="240" w:lineRule="auto"/>
              <w:jc w:val="both"/>
              <w:rPr>
                <w:rFonts w:cs="Arial"/>
                <w:i/>
                <w:sz w:val="20"/>
                <w:szCs w:val="20"/>
                <w:lang w:val="pt-BR"/>
              </w:rPr>
            </w:pPr>
            <w:r w:rsidRPr="00BE2C41">
              <w:rPr>
                <w:rFonts w:cs="Arial"/>
                <w:i/>
                <w:sz w:val="20"/>
                <w:szCs w:val="20"/>
                <w:lang w:val="pt-BR"/>
              </w:rPr>
              <w:t>Pneumocystis jirovecii</w:t>
            </w:r>
          </w:p>
        </w:tc>
        <w:tc>
          <w:tcPr>
            <w:tcW w:w="1756" w:type="pct"/>
          </w:tcPr>
          <w:p w:rsidR="002A6D9A" w:rsidRPr="00BE2C41" w:rsidRDefault="002A6D9A" w:rsidP="007438CC">
            <w:pPr>
              <w:spacing w:line="240" w:lineRule="auto"/>
              <w:jc w:val="both"/>
              <w:rPr>
                <w:rFonts w:cs="Arial"/>
                <w:sz w:val="20"/>
                <w:szCs w:val="20"/>
                <w:lang w:val="pt-BR"/>
              </w:rPr>
            </w:pPr>
          </w:p>
        </w:tc>
        <w:tc>
          <w:tcPr>
            <w:tcW w:w="1756" w:type="pct"/>
          </w:tcPr>
          <w:p w:rsidR="002A6D9A" w:rsidRPr="00BE2C41" w:rsidRDefault="002A6D9A" w:rsidP="007438CC">
            <w:pPr>
              <w:spacing w:line="240" w:lineRule="auto"/>
              <w:jc w:val="both"/>
              <w:rPr>
                <w:rFonts w:cs="Arial"/>
                <w:sz w:val="20"/>
                <w:szCs w:val="20"/>
                <w:lang w:val="pt-BR"/>
              </w:rPr>
            </w:pPr>
          </w:p>
        </w:tc>
      </w:tr>
      <w:tr w:rsidR="002A6D9A" w:rsidRPr="00BE2C41" w:rsidTr="002A6D9A">
        <w:tc>
          <w:tcPr>
            <w:tcW w:w="1489" w:type="pct"/>
          </w:tcPr>
          <w:p w:rsidR="002A6D9A" w:rsidRPr="00BE2C41" w:rsidRDefault="002A6D9A" w:rsidP="007438CC">
            <w:pPr>
              <w:spacing w:line="240" w:lineRule="auto"/>
              <w:jc w:val="both"/>
              <w:rPr>
                <w:rFonts w:cs="Arial"/>
                <w:i/>
                <w:sz w:val="20"/>
                <w:szCs w:val="20"/>
                <w:lang w:val="pt-BR"/>
              </w:rPr>
            </w:pPr>
            <w:r w:rsidRPr="00BE2C41">
              <w:rPr>
                <w:rFonts w:cs="Arial"/>
                <w:i/>
                <w:sz w:val="20"/>
                <w:szCs w:val="20"/>
                <w:lang w:val="pt-BR"/>
              </w:rPr>
              <w:t>Cryptococcus neoformans</w:t>
            </w:r>
          </w:p>
        </w:tc>
        <w:tc>
          <w:tcPr>
            <w:tcW w:w="1756" w:type="pct"/>
          </w:tcPr>
          <w:p w:rsidR="002A6D9A" w:rsidRPr="00BE2C41" w:rsidRDefault="002A6D9A" w:rsidP="007438CC">
            <w:pPr>
              <w:spacing w:line="240" w:lineRule="auto"/>
              <w:jc w:val="both"/>
              <w:rPr>
                <w:rFonts w:cs="Arial"/>
                <w:sz w:val="20"/>
                <w:szCs w:val="20"/>
                <w:lang w:val="pt-BR"/>
              </w:rPr>
            </w:pPr>
          </w:p>
        </w:tc>
        <w:tc>
          <w:tcPr>
            <w:tcW w:w="1756" w:type="pct"/>
          </w:tcPr>
          <w:p w:rsidR="002A6D9A" w:rsidRPr="00BE2C41" w:rsidRDefault="002A6D9A" w:rsidP="007438CC">
            <w:pPr>
              <w:spacing w:line="240" w:lineRule="auto"/>
              <w:jc w:val="both"/>
              <w:rPr>
                <w:rFonts w:cs="Arial"/>
                <w:sz w:val="20"/>
                <w:szCs w:val="20"/>
                <w:lang w:val="pt-BR"/>
              </w:rPr>
            </w:pPr>
          </w:p>
        </w:tc>
      </w:tr>
      <w:tr w:rsidR="002A6D9A" w:rsidRPr="00BE2C41" w:rsidTr="002A6D9A">
        <w:trPr>
          <w:trHeight w:val="155"/>
        </w:trPr>
        <w:tc>
          <w:tcPr>
            <w:tcW w:w="1489" w:type="pct"/>
          </w:tcPr>
          <w:p w:rsidR="002A6D9A" w:rsidRPr="00BE2C41" w:rsidRDefault="002A6D9A" w:rsidP="007438CC">
            <w:pPr>
              <w:spacing w:line="240" w:lineRule="auto"/>
              <w:jc w:val="both"/>
              <w:rPr>
                <w:rFonts w:cs="Arial"/>
                <w:i/>
                <w:sz w:val="20"/>
                <w:szCs w:val="20"/>
                <w:lang w:val="pt-BR"/>
              </w:rPr>
            </w:pPr>
            <w:r w:rsidRPr="00BE2C41">
              <w:rPr>
                <w:rFonts w:cs="Arial"/>
                <w:i/>
                <w:sz w:val="20"/>
                <w:szCs w:val="20"/>
                <w:lang w:val="pt-BR"/>
              </w:rPr>
              <w:t>Onchocerca volvulus</w:t>
            </w:r>
          </w:p>
        </w:tc>
        <w:tc>
          <w:tcPr>
            <w:tcW w:w="1756" w:type="pct"/>
          </w:tcPr>
          <w:p w:rsidR="002A6D9A" w:rsidRPr="00BE2C41" w:rsidRDefault="002A6D9A" w:rsidP="007438CC">
            <w:pPr>
              <w:spacing w:line="240" w:lineRule="auto"/>
              <w:jc w:val="both"/>
              <w:rPr>
                <w:rFonts w:cs="Arial"/>
                <w:sz w:val="20"/>
                <w:szCs w:val="20"/>
                <w:lang w:val="pt-BR"/>
              </w:rPr>
            </w:pPr>
          </w:p>
        </w:tc>
        <w:tc>
          <w:tcPr>
            <w:tcW w:w="1756" w:type="pct"/>
          </w:tcPr>
          <w:p w:rsidR="002A6D9A" w:rsidRPr="00BE2C41" w:rsidRDefault="002A6D9A" w:rsidP="007438CC">
            <w:pPr>
              <w:spacing w:line="240" w:lineRule="auto"/>
              <w:jc w:val="both"/>
              <w:rPr>
                <w:rFonts w:cs="Arial"/>
                <w:sz w:val="20"/>
                <w:szCs w:val="20"/>
                <w:lang w:val="pt-BR"/>
              </w:rPr>
            </w:pPr>
          </w:p>
        </w:tc>
      </w:tr>
      <w:tr w:rsidR="002A6D9A" w:rsidRPr="00BE2C41" w:rsidTr="002A6D9A">
        <w:tc>
          <w:tcPr>
            <w:tcW w:w="1489" w:type="pct"/>
          </w:tcPr>
          <w:p w:rsidR="002A6D9A" w:rsidRPr="00BE2C41" w:rsidRDefault="002A6D9A" w:rsidP="007438CC">
            <w:pPr>
              <w:spacing w:line="240" w:lineRule="auto"/>
              <w:jc w:val="both"/>
              <w:rPr>
                <w:rFonts w:cs="Arial"/>
                <w:i/>
                <w:sz w:val="20"/>
                <w:szCs w:val="20"/>
                <w:lang w:val="pt-BR"/>
              </w:rPr>
            </w:pPr>
            <w:r w:rsidRPr="00BE2C41">
              <w:rPr>
                <w:rFonts w:cs="Arial"/>
                <w:i/>
                <w:sz w:val="20"/>
                <w:szCs w:val="20"/>
                <w:lang w:val="pt-BR"/>
              </w:rPr>
              <w:t>Pediculus humanus</w:t>
            </w:r>
          </w:p>
        </w:tc>
        <w:tc>
          <w:tcPr>
            <w:tcW w:w="1756" w:type="pct"/>
          </w:tcPr>
          <w:p w:rsidR="002A6D9A" w:rsidRPr="00BE2C41" w:rsidRDefault="002A6D9A" w:rsidP="007438CC">
            <w:pPr>
              <w:spacing w:line="240" w:lineRule="auto"/>
              <w:jc w:val="both"/>
              <w:rPr>
                <w:rFonts w:cs="Arial"/>
                <w:sz w:val="20"/>
                <w:szCs w:val="20"/>
                <w:lang w:val="pt-BR"/>
              </w:rPr>
            </w:pPr>
          </w:p>
        </w:tc>
        <w:tc>
          <w:tcPr>
            <w:tcW w:w="1756" w:type="pct"/>
          </w:tcPr>
          <w:p w:rsidR="002A6D9A" w:rsidRPr="00BE2C41" w:rsidRDefault="002A6D9A" w:rsidP="007438CC">
            <w:pPr>
              <w:spacing w:line="240" w:lineRule="auto"/>
              <w:jc w:val="both"/>
              <w:rPr>
                <w:rFonts w:cs="Arial"/>
                <w:sz w:val="20"/>
                <w:szCs w:val="20"/>
                <w:lang w:val="pt-BR"/>
              </w:rPr>
            </w:pPr>
          </w:p>
        </w:tc>
      </w:tr>
      <w:tr w:rsidR="002A6D9A" w:rsidRPr="00BE2C41" w:rsidTr="002A6D9A">
        <w:tc>
          <w:tcPr>
            <w:tcW w:w="1489" w:type="pct"/>
          </w:tcPr>
          <w:p w:rsidR="002A6D9A" w:rsidRPr="00BE2C41" w:rsidRDefault="002A6D9A" w:rsidP="007438CC">
            <w:pPr>
              <w:spacing w:line="240" w:lineRule="auto"/>
              <w:jc w:val="both"/>
              <w:rPr>
                <w:rFonts w:cs="Arial"/>
                <w:i/>
                <w:sz w:val="20"/>
                <w:szCs w:val="20"/>
                <w:lang w:val="pt-BR"/>
              </w:rPr>
            </w:pPr>
            <w:r w:rsidRPr="00BE2C41">
              <w:rPr>
                <w:rFonts w:cs="Arial"/>
                <w:i/>
                <w:sz w:val="20"/>
                <w:szCs w:val="20"/>
                <w:lang w:val="pt-BR"/>
              </w:rPr>
              <w:t>Tunga penetrans</w:t>
            </w:r>
          </w:p>
        </w:tc>
        <w:tc>
          <w:tcPr>
            <w:tcW w:w="1756" w:type="pct"/>
          </w:tcPr>
          <w:p w:rsidR="002A6D9A" w:rsidRPr="00BE2C41" w:rsidRDefault="002A6D9A" w:rsidP="007438CC">
            <w:pPr>
              <w:spacing w:line="240" w:lineRule="auto"/>
              <w:jc w:val="both"/>
              <w:rPr>
                <w:rFonts w:cs="Arial"/>
                <w:sz w:val="20"/>
                <w:szCs w:val="20"/>
                <w:lang w:val="pt-BR"/>
              </w:rPr>
            </w:pPr>
          </w:p>
        </w:tc>
        <w:tc>
          <w:tcPr>
            <w:tcW w:w="1756" w:type="pct"/>
          </w:tcPr>
          <w:p w:rsidR="002A6D9A" w:rsidRPr="00BE2C41" w:rsidRDefault="002A6D9A" w:rsidP="007438CC">
            <w:pPr>
              <w:spacing w:line="240" w:lineRule="auto"/>
              <w:jc w:val="both"/>
              <w:rPr>
                <w:rFonts w:cs="Arial"/>
                <w:sz w:val="20"/>
                <w:szCs w:val="20"/>
                <w:lang w:val="pt-BR"/>
              </w:rPr>
            </w:pPr>
          </w:p>
        </w:tc>
      </w:tr>
      <w:tr w:rsidR="002A6D9A" w:rsidRPr="00BE2C41" w:rsidTr="002A6D9A">
        <w:tc>
          <w:tcPr>
            <w:tcW w:w="1489" w:type="pct"/>
          </w:tcPr>
          <w:p w:rsidR="002A6D9A" w:rsidRPr="00BE2C41" w:rsidRDefault="002A6D9A" w:rsidP="007438CC">
            <w:pPr>
              <w:spacing w:line="240" w:lineRule="auto"/>
              <w:jc w:val="both"/>
              <w:rPr>
                <w:rFonts w:cs="Arial"/>
                <w:i/>
                <w:sz w:val="20"/>
                <w:szCs w:val="20"/>
                <w:lang w:val="pt-BR"/>
              </w:rPr>
            </w:pPr>
            <w:r w:rsidRPr="00BE2C41">
              <w:rPr>
                <w:rFonts w:cs="Arial"/>
                <w:i/>
                <w:sz w:val="20"/>
                <w:szCs w:val="20"/>
                <w:lang w:val="pt-BR"/>
              </w:rPr>
              <w:t>HHV-8</w:t>
            </w:r>
          </w:p>
        </w:tc>
        <w:tc>
          <w:tcPr>
            <w:tcW w:w="1756" w:type="pct"/>
          </w:tcPr>
          <w:p w:rsidR="002A6D9A" w:rsidRPr="00BE2C41" w:rsidRDefault="002A6D9A" w:rsidP="007438CC">
            <w:pPr>
              <w:spacing w:line="240" w:lineRule="auto"/>
              <w:jc w:val="both"/>
              <w:rPr>
                <w:rFonts w:cs="Arial"/>
                <w:sz w:val="20"/>
                <w:szCs w:val="20"/>
                <w:lang w:val="pt-BR"/>
              </w:rPr>
            </w:pPr>
          </w:p>
        </w:tc>
        <w:tc>
          <w:tcPr>
            <w:tcW w:w="1756" w:type="pct"/>
          </w:tcPr>
          <w:p w:rsidR="002A6D9A" w:rsidRPr="00BE2C41" w:rsidRDefault="002A6D9A" w:rsidP="007438CC">
            <w:pPr>
              <w:spacing w:line="240" w:lineRule="auto"/>
              <w:jc w:val="both"/>
              <w:rPr>
                <w:rFonts w:cs="Arial"/>
                <w:sz w:val="20"/>
                <w:szCs w:val="20"/>
                <w:lang w:val="pt-BR"/>
              </w:rPr>
            </w:pPr>
          </w:p>
        </w:tc>
      </w:tr>
    </w:tbl>
    <w:p w:rsidR="002A6D9A" w:rsidRPr="00632033" w:rsidRDefault="002A6D9A" w:rsidP="002A6D9A">
      <w:pPr>
        <w:jc w:val="both"/>
        <w:rPr>
          <w:rFonts w:cs="Arial"/>
          <w:lang w:val="pt-BR"/>
        </w:rPr>
      </w:pPr>
    </w:p>
    <w:p w:rsidR="002A6D9A" w:rsidRPr="0037747C" w:rsidRDefault="002A6D9A" w:rsidP="002A6D9A">
      <w:pPr>
        <w:spacing w:before="120"/>
        <w:jc w:val="both"/>
        <w:rPr>
          <w:rFonts w:cs="Arial"/>
          <w:b/>
          <w:lang w:val="pt-BR"/>
        </w:rPr>
      </w:pPr>
      <w:r w:rsidRPr="0037747C">
        <w:rPr>
          <w:rFonts w:cs="Arial"/>
          <w:b/>
          <w:lang w:val="pt-BR"/>
        </w:rPr>
        <w:t>Tempo total do bloco:</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2"/>
        <w:gridCol w:w="3715"/>
        <w:gridCol w:w="3717"/>
      </w:tblGrid>
      <w:tr w:rsidR="002A6D9A" w:rsidRPr="0037747C" w:rsidTr="002A6D9A">
        <w:tc>
          <w:tcPr>
            <w:tcW w:w="1425" w:type="pct"/>
            <w:vAlign w:val="center"/>
          </w:tcPr>
          <w:p w:rsidR="002A6D9A" w:rsidRPr="0037747C" w:rsidRDefault="002A6D9A" w:rsidP="002A6D9A">
            <w:pPr>
              <w:spacing w:before="120" w:line="240" w:lineRule="auto"/>
              <w:jc w:val="center"/>
              <w:rPr>
                <w:rFonts w:cs="Arial"/>
                <w:sz w:val="20"/>
                <w:szCs w:val="20"/>
                <w:lang w:val="pt-BR"/>
              </w:rPr>
            </w:pPr>
            <w:r w:rsidRPr="0037747C">
              <w:rPr>
                <w:rFonts w:cs="Arial"/>
                <w:sz w:val="20"/>
                <w:szCs w:val="20"/>
                <w:lang w:val="pt-BR"/>
              </w:rPr>
              <w:t>Grupos</w:t>
            </w:r>
          </w:p>
        </w:tc>
        <w:tc>
          <w:tcPr>
            <w:tcW w:w="1787" w:type="pct"/>
            <w:vAlign w:val="center"/>
          </w:tcPr>
          <w:p w:rsidR="002A6D9A" w:rsidRPr="0037747C" w:rsidRDefault="002A6D9A" w:rsidP="002A6D9A">
            <w:pPr>
              <w:spacing w:before="120" w:line="240" w:lineRule="auto"/>
              <w:jc w:val="center"/>
              <w:rPr>
                <w:rFonts w:cs="Arial"/>
                <w:sz w:val="20"/>
                <w:szCs w:val="20"/>
                <w:lang w:val="pt-BR"/>
              </w:rPr>
            </w:pPr>
            <w:r w:rsidRPr="0037747C">
              <w:rPr>
                <w:rFonts w:cs="Arial"/>
                <w:sz w:val="20"/>
                <w:szCs w:val="20"/>
                <w:lang w:val="pt-BR"/>
              </w:rPr>
              <w:t>Análise dos organismos</w:t>
            </w:r>
          </w:p>
        </w:tc>
        <w:tc>
          <w:tcPr>
            <w:tcW w:w="1787" w:type="pct"/>
            <w:vAlign w:val="center"/>
          </w:tcPr>
          <w:p w:rsidR="002A6D9A" w:rsidRPr="0037747C" w:rsidRDefault="002A6D9A" w:rsidP="002A6D9A">
            <w:pPr>
              <w:spacing w:before="120" w:line="240" w:lineRule="auto"/>
              <w:jc w:val="center"/>
              <w:rPr>
                <w:rFonts w:cs="Arial"/>
                <w:sz w:val="20"/>
                <w:szCs w:val="20"/>
                <w:lang w:val="pt-BR"/>
              </w:rPr>
            </w:pPr>
            <w:r w:rsidRPr="0037747C">
              <w:rPr>
                <w:rFonts w:cs="Arial"/>
                <w:sz w:val="20"/>
                <w:szCs w:val="20"/>
                <w:lang w:val="pt-BR"/>
              </w:rPr>
              <w:t>Apresentação  plenária</w:t>
            </w:r>
          </w:p>
        </w:tc>
      </w:tr>
      <w:tr w:rsidR="002A6D9A" w:rsidRPr="0037747C" w:rsidTr="002A6D9A">
        <w:tc>
          <w:tcPr>
            <w:tcW w:w="1425" w:type="pct"/>
            <w:vAlign w:val="center"/>
          </w:tcPr>
          <w:p w:rsidR="002A6D9A" w:rsidRPr="0037747C" w:rsidRDefault="002A6D9A" w:rsidP="002A6D9A">
            <w:pPr>
              <w:spacing w:before="120" w:line="240" w:lineRule="auto"/>
              <w:jc w:val="center"/>
              <w:rPr>
                <w:rFonts w:cs="Arial"/>
                <w:sz w:val="20"/>
                <w:szCs w:val="20"/>
                <w:lang w:val="pt-BR"/>
              </w:rPr>
            </w:pPr>
            <w:r w:rsidRPr="0037747C">
              <w:rPr>
                <w:rFonts w:cs="Arial"/>
                <w:sz w:val="20"/>
                <w:szCs w:val="20"/>
                <w:lang w:val="pt-BR"/>
              </w:rPr>
              <w:t>A</w:t>
            </w:r>
          </w:p>
        </w:tc>
        <w:tc>
          <w:tcPr>
            <w:tcW w:w="1787" w:type="pct"/>
            <w:vAlign w:val="center"/>
          </w:tcPr>
          <w:p w:rsidR="002A6D9A" w:rsidRPr="0037747C" w:rsidRDefault="002A6D9A" w:rsidP="002A6D9A">
            <w:pPr>
              <w:spacing w:before="120" w:line="240" w:lineRule="auto"/>
              <w:jc w:val="center"/>
              <w:rPr>
                <w:rFonts w:cs="Arial"/>
                <w:sz w:val="20"/>
                <w:szCs w:val="20"/>
                <w:lang w:val="pt-BR"/>
              </w:rPr>
            </w:pPr>
            <w:r w:rsidRPr="0037747C">
              <w:rPr>
                <w:rFonts w:cs="Arial"/>
                <w:sz w:val="20"/>
                <w:szCs w:val="20"/>
                <w:lang w:val="pt-BR"/>
              </w:rPr>
              <w:t>15 min</w:t>
            </w:r>
          </w:p>
        </w:tc>
        <w:tc>
          <w:tcPr>
            <w:tcW w:w="1787" w:type="pct"/>
            <w:vAlign w:val="center"/>
          </w:tcPr>
          <w:p w:rsidR="002A6D9A" w:rsidRPr="0037747C" w:rsidRDefault="002A6D9A" w:rsidP="002A6D9A">
            <w:pPr>
              <w:spacing w:before="120" w:line="240" w:lineRule="auto"/>
              <w:jc w:val="center"/>
              <w:rPr>
                <w:rFonts w:cs="Arial"/>
                <w:sz w:val="20"/>
                <w:szCs w:val="20"/>
                <w:lang w:val="pt-BR"/>
              </w:rPr>
            </w:pPr>
            <w:r w:rsidRPr="0037747C">
              <w:rPr>
                <w:rFonts w:cs="Arial"/>
                <w:sz w:val="20"/>
                <w:szCs w:val="20"/>
                <w:lang w:val="pt-BR"/>
              </w:rPr>
              <w:t>15 min</w:t>
            </w:r>
          </w:p>
        </w:tc>
      </w:tr>
      <w:tr w:rsidR="002A6D9A" w:rsidRPr="0037747C" w:rsidTr="002A6D9A">
        <w:tc>
          <w:tcPr>
            <w:tcW w:w="1425" w:type="pct"/>
            <w:vAlign w:val="center"/>
          </w:tcPr>
          <w:p w:rsidR="002A6D9A" w:rsidRPr="0037747C" w:rsidRDefault="002A6D9A" w:rsidP="002A6D9A">
            <w:pPr>
              <w:spacing w:before="120" w:line="240" w:lineRule="auto"/>
              <w:jc w:val="center"/>
              <w:rPr>
                <w:rFonts w:cs="Arial"/>
                <w:sz w:val="20"/>
                <w:szCs w:val="20"/>
                <w:lang w:val="pt-BR"/>
              </w:rPr>
            </w:pPr>
            <w:r w:rsidRPr="0037747C">
              <w:rPr>
                <w:rFonts w:cs="Arial"/>
                <w:sz w:val="20"/>
                <w:szCs w:val="20"/>
                <w:lang w:val="pt-BR"/>
              </w:rPr>
              <w:t>B</w:t>
            </w:r>
          </w:p>
        </w:tc>
        <w:tc>
          <w:tcPr>
            <w:tcW w:w="1787" w:type="pct"/>
            <w:vAlign w:val="center"/>
          </w:tcPr>
          <w:p w:rsidR="002A6D9A" w:rsidRPr="0037747C" w:rsidRDefault="002A6D9A" w:rsidP="002A6D9A">
            <w:pPr>
              <w:spacing w:before="120" w:line="240" w:lineRule="auto"/>
              <w:jc w:val="center"/>
              <w:rPr>
                <w:rFonts w:cs="Arial"/>
                <w:sz w:val="20"/>
                <w:szCs w:val="20"/>
                <w:lang w:val="pt-BR"/>
              </w:rPr>
            </w:pPr>
            <w:r w:rsidRPr="0037747C">
              <w:rPr>
                <w:rFonts w:cs="Arial"/>
                <w:sz w:val="20"/>
                <w:szCs w:val="20"/>
                <w:lang w:val="pt-BR"/>
              </w:rPr>
              <w:t>15 min</w:t>
            </w:r>
          </w:p>
        </w:tc>
        <w:tc>
          <w:tcPr>
            <w:tcW w:w="1787" w:type="pct"/>
            <w:vAlign w:val="center"/>
          </w:tcPr>
          <w:p w:rsidR="002A6D9A" w:rsidRPr="0037747C" w:rsidRDefault="002A6D9A" w:rsidP="002A6D9A">
            <w:pPr>
              <w:spacing w:before="120" w:line="240" w:lineRule="auto"/>
              <w:jc w:val="center"/>
              <w:rPr>
                <w:rFonts w:cs="Arial"/>
                <w:sz w:val="20"/>
                <w:szCs w:val="20"/>
                <w:lang w:val="pt-BR"/>
              </w:rPr>
            </w:pPr>
            <w:r w:rsidRPr="0037747C">
              <w:rPr>
                <w:rFonts w:cs="Arial"/>
                <w:sz w:val="20"/>
                <w:szCs w:val="20"/>
                <w:lang w:val="pt-BR"/>
              </w:rPr>
              <w:t>15 min</w:t>
            </w:r>
          </w:p>
        </w:tc>
      </w:tr>
      <w:tr w:rsidR="002A6D9A" w:rsidRPr="0037747C" w:rsidTr="002A6D9A">
        <w:tc>
          <w:tcPr>
            <w:tcW w:w="1425" w:type="pct"/>
            <w:vAlign w:val="center"/>
          </w:tcPr>
          <w:p w:rsidR="002A6D9A" w:rsidRPr="0037747C" w:rsidRDefault="002A6D9A" w:rsidP="002A6D9A">
            <w:pPr>
              <w:spacing w:before="120" w:line="240" w:lineRule="auto"/>
              <w:jc w:val="center"/>
              <w:rPr>
                <w:rFonts w:cs="Arial"/>
                <w:sz w:val="20"/>
                <w:szCs w:val="20"/>
                <w:lang w:val="pt-BR"/>
              </w:rPr>
            </w:pPr>
            <w:r w:rsidRPr="0037747C">
              <w:rPr>
                <w:rFonts w:cs="Arial"/>
                <w:sz w:val="20"/>
                <w:szCs w:val="20"/>
                <w:lang w:val="pt-BR"/>
              </w:rPr>
              <w:t>C</w:t>
            </w:r>
          </w:p>
        </w:tc>
        <w:tc>
          <w:tcPr>
            <w:tcW w:w="1787" w:type="pct"/>
            <w:vAlign w:val="center"/>
          </w:tcPr>
          <w:p w:rsidR="002A6D9A" w:rsidRPr="0037747C" w:rsidRDefault="002A6D9A" w:rsidP="002A6D9A">
            <w:pPr>
              <w:spacing w:before="120" w:line="240" w:lineRule="auto"/>
              <w:jc w:val="center"/>
              <w:rPr>
                <w:rFonts w:cs="Arial"/>
                <w:sz w:val="20"/>
                <w:szCs w:val="20"/>
                <w:lang w:val="pt-BR"/>
              </w:rPr>
            </w:pPr>
            <w:r w:rsidRPr="0037747C">
              <w:rPr>
                <w:rFonts w:cs="Arial"/>
                <w:sz w:val="20"/>
                <w:szCs w:val="20"/>
                <w:lang w:val="pt-BR"/>
              </w:rPr>
              <w:t>15 min</w:t>
            </w:r>
          </w:p>
        </w:tc>
        <w:tc>
          <w:tcPr>
            <w:tcW w:w="1787" w:type="pct"/>
            <w:vAlign w:val="center"/>
          </w:tcPr>
          <w:p w:rsidR="002A6D9A" w:rsidRPr="0037747C" w:rsidRDefault="002A6D9A" w:rsidP="002A6D9A">
            <w:pPr>
              <w:spacing w:before="120" w:line="240" w:lineRule="auto"/>
              <w:jc w:val="center"/>
              <w:rPr>
                <w:rFonts w:cs="Arial"/>
                <w:sz w:val="20"/>
                <w:szCs w:val="20"/>
                <w:lang w:val="pt-BR"/>
              </w:rPr>
            </w:pPr>
            <w:r w:rsidRPr="0037747C">
              <w:rPr>
                <w:rFonts w:cs="Arial"/>
                <w:sz w:val="20"/>
                <w:szCs w:val="20"/>
                <w:lang w:val="pt-BR"/>
              </w:rPr>
              <w:t>15 min</w:t>
            </w:r>
          </w:p>
        </w:tc>
      </w:tr>
      <w:tr w:rsidR="002A6D9A" w:rsidRPr="0037747C" w:rsidTr="002A6D9A">
        <w:tc>
          <w:tcPr>
            <w:tcW w:w="1425" w:type="pct"/>
            <w:vAlign w:val="center"/>
          </w:tcPr>
          <w:p w:rsidR="002A6D9A" w:rsidRPr="0037747C" w:rsidRDefault="002A6D9A" w:rsidP="002A6D9A">
            <w:pPr>
              <w:spacing w:before="120" w:line="240" w:lineRule="auto"/>
              <w:jc w:val="center"/>
              <w:rPr>
                <w:rFonts w:cs="Arial"/>
                <w:sz w:val="20"/>
                <w:szCs w:val="20"/>
                <w:lang w:val="pt-BR"/>
              </w:rPr>
            </w:pPr>
            <w:r w:rsidRPr="0037747C">
              <w:rPr>
                <w:rFonts w:cs="Arial"/>
                <w:sz w:val="20"/>
                <w:szCs w:val="20"/>
                <w:lang w:val="pt-BR"/>
              </w:rPr>
              <w:t>Total</w:t>
            </w:r>
          </w:p>
        </w:tc>
        <w:tc>
          <w:tcPr>
            <w:tcW w:w="1787" w:type="pct"/>
            <w:vAlign w:val="center"/>
          </w:tcPr>
          <w:p w:rsidR="002A6D9A" w:rsidRPr="0037747C" w:rsidRDefault="002A6D9A" w:rsidP="002A6D9A">
            <w:pPr>
              <w:spacing w:before="120" w:line="240" w:lineRule="auto"/>
              <w:jc w:val="center"/>
              <w:rPr>
                <w:rFonts w:cs="Arial"/>
                <w:sz w:val="20"/>
                <w:szCs w:val="20"/>
                <w:lang w:val="pt-BR"/>
              </w:rPr>
            </w:pPr>
            <w:r w:rsidRPr="0037747C">
              <w:rPr>
                <w:rFonts w:cs="Arial"/>
                <w:sz w:val="20"/>
                <w:szCs w:val="20"/>
                <w:lang w:val="pt-BR"/>
              </w:rPr>
              <w:t>15 min</w:t>
            </w:r>
          </w:p>
        </w:tc>
        <w:tc>
          <w:tcPr>
            <w:tcW w:w="1787" w:type="pct"/>
            <w:vAlign w:val="center"/>
          </w:tcPr>
          <w:p w:rsidR="002A6D9A" w:rsidRPr="0037747C" w:rsidRDefault="002A6D9A" w:rsidP="002A6D9A">
            <w:pPr>
              <w:spacing w:before="120" w:line="240" w:lineRule="auto"/>
              <w:jc w:val="center"/>
              <w:rPr>
                <w:rFonts w:cs="Arial"/>
                <w:sz w:val="20"/>
                <w:szCs w:val="20"/>
                <w:lang w:val="pt-BR"/>
              </w:rPr>
            </w:pPr>
            <w:r w:rsidRPr="0037747C">
              <w:rPr>
                <w:rFonts w:cs="Arial"/>
                <w:sz w:val="20"/>
                <w:szCs w:val="20"/>
                <w:lang w:val="pt-BR"/>
              </w:rPr>
              <w:t>45 min</w:t>
            </w:r>
          </w:p>
        </w:tc>
      </w:tr>
      <w:tr w:rsidR="002A6D9A" w:rsidRPr="0037747C" w:rsidTr="002A6D9A">
        <w:tc>
          <w:tcPr>
            <w:tcW w:w="1425" w:type="pct"/>
            <w:vAlign w:val="center"/>
          </w:tcPr>
          <w:p w:rsidR="002A6D9A" w:rsidRPr="0037747C" w:rsidRDefault="002A6D9A" w:rsidP="002A6D9A">
            <w:pPr>
              <w:spacing w:before="120" w:line="240" w:lineRule="auto"/>
              <w:jc w:val="center"/>
              <w:rPr>
                <w:rFonts w:cs="Arial"/>
                <w:sz w:val="20"/>
                <w:szCs w:val="20"/>
                <w:lang w:val="pt-BR"/>
              </w:rPr>
            </w:pPr>
            <w:r w:rsidRPr="0037747C">
              <w:rPr>
                <w:rFonts w:cs="Arial"/>
                <w:sz w:val="20"/>
                <w:szCs w:val="20"/>
                <w:lang w:val="pt-BR"/>
              </w:rPr>
              <w:t>Total do Bloco</w:t>
            </w:r>
          </w:p>
        </w:tc>
        <w:tc>
          <w:tcPr>
            <w:tcW w:w="3575" w:type="pct"/>
            <w:gridSpan w:val="2"/>
            <w:vAlign w:val="center"/>
          </w:tcPr>
          <w:p w:rsidR="002A6D9A" w:rsidRPr="0037747C" w:rsidRDefault="002A6D9A" w:rsidP="002A6D9A">
            <w:pPr>
              <w:spacing w:before="120" w:line="240" w:lineRule="auto"/>
              <w:jc w:val="center"/>
              <w:rPr>
                <w:rFonts w:cs="Arial"/>
                <w:sz w:val="20"/>
                <w:szCs w:val="20"/>
                <w:lang w:val="pt-BR"/>
              </w:rPr>
            </w:pPr>
            <w:r w:rsidRPr="0037747C">
              <w:rPr>
                <w:rFonts w:cs="Arial"/>
                <w:sz w:val="20"/>
                <w:szCs w:val="20"/>
                <w:lang w:val="pt-BR"/>
              </w:rPr>
              <w:t>60 min</w:t>
            </w:r>
          </w:p>
        </w:tc>
      </w:tr>
    </w:tbl>
    <w:p w:rsidR="00C46A1F" w:rsidRDefault="00C46A1F" w:rsidP="002A6D9A">
      <w:pPr>
        <w:pStyle w:val="TM-0"/>
      </w:pPr>
    </w:p>
    <w:p w:rsidR="00C46A1F" w:rsidRDefault="00C46A1F">
      <w:pPr>
        <w:rPr>
          <w:rFonts w:eastAsia="Times New Roman" w:cs="Arial"/>
          <w:szCs w:val="20"/>
          <w:lang w:val="pt-PT" w:eastAsia="es-ES"/>
        </w:rPr>
      </w:pPr>
      <w:r>
        <w:br w:type="page"/>
      </w:r>
    </w:p>
    <w:p w:rsidR="002A6D9A" w:rsidRPr="00632033" w:rsidRDefault="002A6D9A" w:rsidP="002A6D9A">
      <w:pPr>
        <w:shd w:val="clear" w:color="auto" w:fill="B8CCE4"/>
        <w:tabs>
          <w:tab w:val="left" w:pos="1276"/>
          <w:tab w:val="right" w:pos="8640"/>
        </w:tabs>
        <w:spacing w:before="120"/>
        <w:jc w:val="both"/>
        <w:rPr>
          <w:rFonts w:cs="Arial"/>
          <w:b/>
          <w:lang w:val="pt-PT"/>
        </w:rPr>
      </w:pPr>
      <w:r w:rsidRPr="00632033">
        <w:rPr>
          <w:rFonts w:cs="Arial"/>
          <w:b/>
          <w:lang w:val="pt-PT"/>
        </w:rPr>
        <w:lastRenderedPageBreak/>
        <w:t>BLOCO 4: PRÁTICA DA TÉCNICA PELOS ALUNOS</w:t>
      </w:r>
      <w:r w:rsidRPr="00632033">
        <w:rPr>
          <w:rFonts w:cs="Arial"/>
          <w:b/>
          <w:lang w:val="pt-PT"/>
        </w:rPr>
        <w:tab/>
        <w:t>(</w:t>
      </w:r>
      <w:r>
        <w:rPr>
          <w:rFonts w:cs="Arial"/>
          <w:b/>
          <w:lang w:val="pt-PT"/>
        </w:rPr>
        <w:t>95</w:t>
      </w:r>
      <w:r w:rsidRPr="00632033">
        <w:rPr>
          <w:rFonts w:cs="Arial"/>
          <w:b/>
          <w:lang w:val="pt-PT"/>
        </w:rPr>
        <w:t xml:space="preserve"> min)</w:t>
      </w:r>
    </w:p>
    <w:p w:rsidR="002A6D9A" w:rsidRPr="00632033" w:rsidRDefault="002A6D9A" w:rsidP="00C52E09">
      <w:pPr>
        <w:numPr>
          <w:ilvl w:val="0"/>
          <w:numId w:val="150"/>
        </w:numPr>
        <w:spacing w:before="120" w:after="0"/>
        <w:ind w:left="450" w:hanging="450"/>
        <w:jc w:val="both"/>
        <w:rPr>
          <w:rFonts w:cs="Arial"/>
          <w:lang w:val="pt-BR"/>
        </w:rPr>
      </w:pPr>
      <w:r w:rsidRPr="00632033">
        <w:rPr>
          <w:rFonts w:cs="Arial"/>
          <w:lang w:val="pt-BR"/>
        </w:rPr>
        <w:t>Dividir os alunos em 4 grupos</w:t>
      </w:r>
    </w:p>
    <w:p w:rsidR="002A6D9A" w:rsidRPr="00632033" w:rsidRDefault="002A6D9A" w:rsidP="00C52E09">
      <w:pPr>
        <w:numPr>
          <w:ilvl w:val="0"/>
          <w:numId w:val="150"/>
        </w:numPr>
        <w:spacing w:before="120" w:after="0"/>
        <w:ind w:left="450" w:hanging="450"/>
        <w:jc w:val="both"/>
        <w:rPr>
          <w:rFonts w:cs="Arial"/>
          <w:lang w:val="pt-BR"/>
        </w:rPr>
      </w:pPr>
      <w:r w:rsidRPr="00632033">
        <w:rPr>
          <w:rFonts w:cs="Arial"/>
          <w:lang w:val="pt-BR"/>
        </w:rPr>
        <w:t>Cada aluno irá se posicionar em cada microscópio por 2 minutos</w:t>
      </w:r>
    </w:p>
    <w:p w:rsidR="002A6D9A" w:rsidRPr="00632033" w:rsidRDefault="002A6D9A" w:rsidP="00C52E09">
      <w:pPr>
        <w:numPr>
          <w:ilvl w:val="0"/>
          <w:numId w:val="150"/>
        </w:numPr>
        <w:spacing w:before="120" w:after="0"/>
        <w:ind w:left="450" w:hanging="450"/>
        <w:jc w:val="both"/>
        <w:rPr>
          <w:rFonts w:cs="Arial"/>
          <w:lang w:val="pt-BR"/>
        </w:rPr>
      </w:pPr>
      <w:r w:rsidRPr="00632033">
        <w:rPr>
          <w:rFonts w:cs="Arial"/>
          <w:lang w:val="pt-BR"/>
        </w:rPr>
        <w:t>Cada microscópio deverá conter uma preparação microbiológica ou parasitológica das amostras acima mencionadas</w:t>
      </w:r>
    </w:p>
    <w:p w:rsidR="002A6D9A" w:rsidRPr="00632033" w:rsidRDefault="002A6D9A" w:rsidP="00C52E09">
      <w:pPr>
        <w:numPr>
          <w:ilvl w:val="0"/>
          <w:numId w:val="150"/>
        </w:numPr>
        <w:spacing w:before="120" w:after="0"/>
        <w:ind w:left="450" w:hanging="450"/>
        <w:jc w:val="both"/>
        <w:rPr>
          <w:rFonts w:cs="Arial"/>
          <w:lang w:val="pt-BR"/>
        </w:rPr>
      </w:pPr>
      <w:r w:rsidRPr="00632033">
        <w:rPr>
          <w:rFonts w:cs="Arial"/>
          <w:lang w:val="pt-BR"/>
        </w:rPr>
        <w:t>O docente deve circular por entre os alunos durante a observação para apoiar em quaisquer dificuldades que possa surgir</w:t>
      </w:r>
      <w:r w:rsidRPr="00632033" w:rsidDel="00FB6393">
        <w:rPr>
          <w:rFonts w:cs="Arial"/>
          <w:lang w:val="pt-BR"/>
        </w:rPr>
        <w:t xml:space="preserve"> </w:t>
      </w:r>
    </w:p>
    <w:p w:rsidR="002A6D9A" w:rsidRPr="00632033" w:rsidRDefault="002A6D9A" w:rsidP="00C52E09">
      <w:pPr>
        <w:numPr>
          <w:ilvl w:val="0"/>
          <w:numId w:val="150"/>
        </w:numPr>
        <w:spacing w:before="120" w:after="0"/>
        <w:ind w:left="450" w:hanging="450"/>
        <w:jc w:val="both"/>
        <w:rPr>
          <w:rFonts w:cs="Arial"/>
          <w:lang w:val="pt-BR"/>
        </w:rPr>
      </w:pPr>
      <w:r w:rsidRPr="00632033">
        <w:rPr>
          <w:rFonts w:cs="Arial"/>
          <w:lang w:val="pt-BR"/>
        </w:rPr>
        <w:t>Findo o tempo do 1º grupo, entrará o 2º grupo, e repetir-se-á todo o procedimento</w:t>
      </w:r>
      <w:r w:rsidRPr="00632033" w:rsidDel="00FB6393">
        <w:rPr>
          <w:rFonts w:cs="Arial"/>
          <w:lang w:val="pt-BR"/>
        </w:rPr>
        <w:t xml:space="preserve"> </w:t>
      </w:r>
    </w:p>
    <w:p w:rsidR="002A6D9A" w:rsidRPr="00632033" w:rsidRDefault="002A6D9A" w:rsidP="00C52E09">
      <w:pPr>
        <w:numPr>
          <w:ilvl w:val="0"/>
          <w:numId w:val="150"/>
        </w:numPr>
        <w:spacing w:before="120" w:after="0"/>
        <w:ind w:left="450" w:hanging="450"/>
        <w:jc w:val="both"/>
        <w:rPr>
          <w:rFonts w:cs="Arial"/>
          <w:lang w:val="pt-BR"/>
        </w:rPr>
      </w:pPr>
      <w:r w:rsidRPr="00632033">
        <w:rPr>
          <w:rFonts w:cs="Arial"/>
          <w:lang w:val="pt-BR"/>
        </w:rPr>
        <w:t>Reserve os últimos 10 minutos, após rotação de todos grupos, para analisar o decorrer da aula e solicitar questões por parte dos alunos</w:t>
      </w:r>
      <w:r w:rsidRPr="00632033" w:rsidDel="00FB6393">
        <w:rPr>
          <w:rFonts w:cs="Arial"/>
          <w:lang w:val="pt-BR"/>
        </w:rPr>
        <w:t xml:space="preserve"> </w:t>
      </w:r>
    </w:p>
    <w:p w:rsidR="00BE2C41" w:rsidRDefault="00BE2C41">
      <w:pPr>
        <w:rPr>
          <w:rFonts w:eastAsia="Times New Roman" w:cs="Arial"/>
          <w:szCs w:val="20"/>
          <w:lang w:val="pt-PT" w:eastAsia="es-ES"/>
        </w:rPr>
      </w:pPr>
      <w:r w:rsidRPr="00850CFC">
        <w:rPr>
          <w:lang w:val="pt-PT"/>
        </w:rPr>
        <w:br w:type="page"/>
      </w:r>
    </w:p>
    <w:tbl>
      <w:tblPr>
        <w:tblW w:w="10150" w:type="dxa"/>
        <w:tblLayout w:type="fixed"/>
        <w:tblCellMar>
          <w:left w:w="70" w:type="dxa"/>
          <w:right w:w="70" w:type="dxa"/>
        </w:tblCellMar>
        <w:tblLook w:val="0020" w:firstRow="1" w:lastRow="0" w:firstColumn="0" w:lastColumn="0" w:noHBand="0" w:noVBand="0"/>
      </w:tblPr>
      <w:tblGrid>
        <w:gridCol w:w="1418"/>
        <w:gridCol w:w="4502"/>
        <w:gridCol w:w="2430"/>
        <w:gridCol w:w="1800"/>
      </w:tblGrid>
      <w:tr w:rsidR="002A6D9A" w:rsidRPr="009C56EC" w:rsidTr="002A6D9A">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2A6D9A" w:rsidRPr="009C56EC" w:rsidRDefault="002A6D9A" w:rsidP="002A6D9A">
            <w:pPr>
              <w:spacing w:line="240" w:lineRule="auto"/>
              <w:jc w:val="both"/>
              <w:rPr>
                <w:rFonts w:eastAsia="Calibri" w:cs="Arial"/>
                <w:b/>
                <w:szCs w:val="24"/>
              </w:rPr>
            </w:pPr>
            <w:r w:rsidRPr="009C56EC">
              <w:rPr>
                <w:rFonts w:eastAsia="Calibri" w:cs="Arial"/>
                <w:b/>
                <w:szCs w:val="24"/>
              </w:rPr>
              <w:lastRenderedPageBreak/>
              <w:t>Disciplina</w:t>
            </w:r>
          </w:p>
        </w:tc>
        <w:tc>
          <w:tcPr>
            <w:tcW w:w="4502" w:type="dxa"/>
            <w:tcBorders>
              <w:top w:val="single" w:sz="6" w:space="0" w:color="000000"/>
              <w:left w:val="single" w:sz="6" w:space="0" w:color="000000"/>
              <w:bottom w:val="single" w:sz="6" w:space="0" w:color="000000"/>
              <w:right w:val="single" w:sz="6" w:space="0" w:color="000000"/>
            </w:tcBorders>
            <w:vAlign w:val="center"/>
          </w:tcPr>
          <w:p w:rsidR="002A6D9A" w:rsidRPr="009C56EC" w:rsidRDefault="002A6D9A" w:rsidP="002A6D9A">
            <w:pPr>
              <w:spacing w:line="240" w:lineRule="auto"/>
              <w:jc w:val="both"/>
              <w:rPr>
                <w:rFonts w:eastAsia="Calibri" w:cs="Arial"/>
                <w:szCs w:val="24"/>
              </w:rPr>
            </w:pPr>
            <w:r w:rsidRPr="009C56EC">
              <w:rPr>
                <w:rFonts w:eastAsia="Calibri" w:cs="Arial"/>
                <w:szCs w:val="24"/>
              </w:rPr>
              <w:t>Introdução às Ciências Médicas</w:t>
            </w:r>
          </w:p>
        </w:tc>
        <w:tc>
          <w:tcPr>
            <w:tcW w:w="2430" w:type="dxa"/>
            <w:tcBorders>
              <w:top w:val="single" w:sz="6" w:space="0" w:color="000000"/>
              <w:left w:val="single" w:sz="6" w:space="0" w:color="000000"/>
              <w:bottom w:val="single" w:sz="6" w:space="0" w:color="000000"/>
              <w:right w:val="single" w:sz="6" w:space="0" w:color="000000"/>
            </w:tcBorders>
            <w:vAlign w:val="center"/>
          </w:tcPr>
          <w:p w:rsidR="002A6D9A" w:rsidRPr="009C56EC" w:rsidRDefault="002A6D9A" w:rsidP="002A6D9A">
            <w:pPr>
              <w:spacing w:line="240" w:lineRule="auto"/>
              <w:jc w:val="both"/>
              <w:rPr>
                <w:rFonts w:eastAsia="Calibri" w:cs="Arial"/>
                <w:b/>
                <w:szCs w:val="24"/>
              </w:rPr>
            </w:pPr>
            <w:r w:rsidRPr="009C56EC">
              <w:rPr>
                <w:rFonts w:eastAsia="Calibri" w:cs="Arial"/>
                <w:b/>
                <w:szCs w:val="24"/>
              </w:rPr>
              <w:t xml:space="preserve">N° da Aula </w:t>
            </w:r>
          </w:p>
        </w:tc>
        <w:tc>
          <w:tcPr>
            <w:tcW w:w="1800" w:type="dxa"/>
            <w:tcBorders>
              <w:top w:val="single" w:sz="6" w:space="0" w:color="000000"/>
              <w:left w:val="single" w:sz="6" w:space="0" w:color="000000"/>
              <w:bottom w:val="single" w:sz="6" w:space="0" w:color="000000"/>
              <w:right w:val="single" w:sz="6" w:space="0" w:color="000000"/>
            </w:tcBorders>
            <w:vAlign w:val="center"/>
          </w:tcPr>
          <w:p w:rsidR="002A6D9A" w:rsidRPr="009C56EC" w:rsidRDefault="002A6D9A" w:rsidP="002A6D9A">
            <w:pPr>
              <w:spacing w:line="240" w:lineRule="auto"/>
              <w:jc w:val="both"/>
              <w:rPr>
                <w:rFonts w:eastAsia="Calibri" w:cs="Arial"/>
              </w:rPr>
            </w:pPr>
            <w:r>
              <w:rPr>
                <w:rFonts w:eastAsia="Calibri" w:cs="Arial"/>
              </w:rPr>
              <w:t>16</w:t>
            </w:r>
          </w:p>
        </w:tc>
      </w:tr>
      <w:tr w:rsidR="002A6D9A" w:rsidRPr="009C56EC" w:rsidTr="002A6D9A">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2A6D9A" w:rsidRPr="009C56EC" w:rsidRDefault="002A6D9A" w:rsidP="002A6D9A">
            <w:pPr>
              <w:spacing w:line="240" w:lineRule="auto"/>
              <w:jc w:val="both"/>
              <w:rPr>
                <w:rFonts w:eastAsia="Calibri" w:cs="Arial"/>
                <w:b/>
                <w:szCs w:val="24"/>
              </w:rPr>
            </w:pPr>
            <w:r w:rsidRPr="009C56EC">
              <w:rPr>
                <w:rFonts w:eastAsia="Calibri" w:cs="Arial"/>
                <w:b/>
                <w:szCs w:val="24"/>
              </w:rPr>
              <w:t>Tópico</w:t>
            </w:r>
          </w:p>
        </w:tc>
        <w:tc>
          <w:tcPr>
            <w:tcW w:w="4502" w:type="dxa"/>
            <w:tcBorders>
              <w:top w:val="single" w:sz="6" w:space="0" w:color="000000"/>
              <w:left w:val="single" w:sz="6" w:space="0" w:color="000000"/>
              <w:bottom w:val="single" w:sz="6" w:space="0" w:color="000000"/>
              <w:right w:val="single" w:sz="6" w:space="0" w:color="000000"/>
            </w:tcBorders>
            <w:vAlign w:val="center"/>
          </w:tcPr>
          <w:p w:rsidR="002A6D9A" w:rsidRPr="009C56EC" w:rsidRDefault="002A6D9A" w:rsidP="002A6D9A">
            <w:pPr>
              <w:spacing w:line="240" w:lineRule="auto"/>
              <w:jc w:val="both"/>
              <w:rPr>
                <w:rFonts w:eastAsia="Calibri" w:cs="Arial"/>
                <w:szCs w:val="24"/>
              </w:rPr>
            </w:pPr>
            <w:r w:rsidRPr="009C56EC">
              <w:rPr>
                <w:rFonts w:eastAsia="Calibri" w:cs="Arial"/>
                <w:szCs w:val="24"/>
              </w:rPr>
              <w:t>Farmacologia</w:t>
            </w:r>
          </w:p>
        </w:tc>
        <w:tc>
          <w:tcPr>
            <w:tcW w:w="2430" w:type="dxa"/>
            <w:tcBorders>
              <w:top w:val="single" w:sz="6" w:space="0" w:color="000000"/>
              <w:left w:val="single" w:sz="6" w:space="0" w:color="000000"/>
              <w:bottom w:val="single" w:sz="6" w:space="0" w:color="000000"/>
              <w:right w:val="single" w:sz="6" w:space="0" w:color="000000"/>
            </w:tcBorders>
            <w:vAlign w:val="center"/>
          </w:tcPr>
          <w:p w:rsidR="002A6D9A" w:rsidRPr="009C56EC" w:rsidRDefault="002A6D9A" w:rsidP="002A6D9A">
            <w:pPr>
              <w:spacing w:line="240" w:lineRule="auto"/>
              <w:jc w:val="both"/>
              <w:rPr>
                <w:rFonts w:eastAsia="Calibri" w:cs="Arial"/>
                <w:b/>
                <w:szCs w:val="24"/>
              </w:rPr>
            </w:pPr>
            <w:r w:rsidRPr="009C56EC">
              <w:rPr>
                <w:rFonts w:eastAsia="Calibri" w:cs="Arial"/>
                <w:b/>
                <w:szCs w:val="24"/>
              </w:rPr>
              <w:t xml:space="preserve">Tipo </w:t>
            </w:r>
          </w:p>
        </w:tc>
        <w:tc>
          <w:tcPr>
            <w:tcW w:w="1800" w:type="dxa"/>
            <w:tcBorders>
              <w:top w:val="single" w:sz="6" w:space="0" w:color="000000"/>
              <w:left w:val="single" w:sz="6" w:space="0" w:color="000000"/>
              <w:bottom w:val="single" w:sz="6" w:space="0" w:color="000000"/>
              <w:right w:val="single" w:sz="6" w:space="0" w:color="000000"/>
            </w:tcBorders>
            <w:vAlign w:val="center"/>
          </w:tcPr>
          <w:p w:rsidR="002A6D9A" w:rsidRPr="009C56EC" w:rsidRDefault="002A6D9A" w:rsidP="002A6D9A">
            <w:pPr>
              <w:spacing w:line="240" w:lineRule="auto"/>
              <w:jc w:val="both"/>
              <w:rPr>
                <w:rFonts w:eastAsia="Calibri" w:cs="Arial"/>
              </w:rPr>
            </w:pPr>
            <w:r w:rsidRPr="009C56EC">
              <w:rPr>
                <w:rFonts w:eastAsia="Calibri" w:cs="Arial"/>
              </w:rPr>
              <w:t>Teórica</w:t>
            </w:r>
          </w:p>
        </w:tc>
      </w:tr>
      <w:tr w:rsidR="002A6D9A" w:rsidRPr="009C56EC" w:rsidTr="002A6D9A">
        <w:trPr>
          <w:cantSplit/>
          <w:trHeight w:val="414"/>
        </w:trPr>
        <w:tc>
          <w:tcPr>
            <w:tcW w:w="1418" w:type="dxa"/>
            <w:tcBorders>
              <w:top w:val="single" w:sz="6" w:space="0" w:color="000000"/>
              <w:left w:val="single" w:sz="6" w:space="0" w:color="000000"/>
              <w:bottom w:val="single" w:sz="6" w:space="0" w:color="000000"/>
              <w:right w:val="single" w:sz="6" w:space="0" w:color="000000"/>
            </w:tcBorders>
            <w:vAlign w:val="center"/>
          </w:tcPr>
          <w:p w:rsidR="002A6D9A" w:rsidRPr="009C56EC" w:rsidRDefault="002A6D9A" w:rsidP="002A6D9A">
            <w:pPr>
              <w:spacing w:line="240" w:lineRule="auto"/>
              <w:jc w:val="both"/>
              <w:rPr>
                <w:rFonts w:eastAsia="Calibri" w:cs="Arial"/>
                <w:b/>
                <w:szCs w:val="24"/>
              </w:rPr>
            </w:pPr>
            <w:r w:rsidRPr="009C56EC">
              <w:rPr>
                <w:rFonts w:eastAsia="Calibri" w:cs="Arial"/>
                <w:b/>
                <w:szCs w:val="24"/>
              </w:rPr>
              <w:t>Conteúdos</w:t>
            </w:r>
          </w:p>
        </w:tc>
        <w:tc>
          <w:tcPr>
            <w:tcW w:w="4502" w:type="dxa"/>
            <w:tcBorders>
              <w:top w:val="single" w:sz="6" w:space="0" w:color="000000"/>
              <w:left w:val="single" w:sz="6" w:space="0" w:color="000000"/>
              <w:bottom w:val="single" w:sz="6" w:space="0" w:color="000000"/>
              <w:right w:val="single" w:sz="6" w:space="0" w:color="000000"/>
            </w:tcBorders>
            <w:vAlign w:val="center"/>
          </w:tcPr>
          <w:p w:rsidR="002A6D9A" w:rsidRPr="00BE2C41" w:rsidRDefault="002A6D9A" w:rsidP="002A6D9A">
            <w:pPr>
              <w:pStyle w:val="Heading1"/>
              <w:rPr>
                <w:rFonts w:eastAsia="Calibri"/>
                <w:b w:val="0"/>
                <w:sz w:val="22"/>
                <w:szCs w:val="22"/>
              </w:rPr>
            </w:pPr>
            <w:bookmarkStart w:id="21" w:name="_Toc329099764"/>
            <w:r w:rsidRPr="00BE2C41">
              <w:rPr>
                <w:rFonts w:eastAsia="Calibri"/>
                <w:b w:val="0"/>
                <w:sz w:val="22"/>
                <w:szCs w:val="22"/>
              </w:rPr>
              <w:t>Farmacocinética</w:t>
            </w:r>
            <w:bookmarkEnd w:id="21"/>
          </w:p>
        </w:tc>
        <w:tc>
          <w:tcPr>
            <w:tcW w:w="2430" w:type="dxa"/>
            <w:tcBorders>
              <w:top w:val="single" w:sz="6" w:space="0" w:color="000000"/>
              <w:left w:val="single" w:sz="6" w:space="0" w:color="000000"/>
              <w:bottom w:val="single" w:sz="6" w:space="0" w:color="000000"/>
              <w:right w:val="single" w:sz="6" w:space="0" w:color="000000"/>
            </w:tcBorders>
            <w:vAlign w:val="center"/>
          </w:tcPr>
          <w:p w:rsidR="002A6D9A" w:rsidRPr="009C56EC" w:rsidRDefault="002A6D9A" w:rsidP="002A6D9A">
            <w:pPr>
              <w:spacing w:line="240" w:lineRule="auto"/>
              <w:jc w:val="both"/>
              <w:rPr>
                <w:rFonts w:eastAsia="Calibri" w:cs="Arial"/>
                <w:b/>
                <w:szCs w:val="24"/>
              </w:rPr>
            </w:pPr>
            <w:r w:rsidRPr="009C56EC">
              <w:rPr>
                <w:rFonts w:eastAsia="Calibri" w:cs="Arial"/>
                <w:b/>
                <w:szCs w:val="24"/>
              </w:rPr>
              <w:t>Duração</w:t>
            </w:r>
          </w:p>
        </w:tc>
        <w:tc>
          <w:tcPr>
            <w:tcW w:w="1800" w:type="dxa"/>
            <w:tcBorders>
              <w:top w:val="single" w:sz="6" w:space="0" w:color="000000"/>
              <w:left w:val="single" w:sz="6" w:space="0" w:color="000000"/>
              <w:bottom w:val="single" w:sz="6" w:space="0" w:color="000000"/>
              <w:right w:val="single" w:sz="6" w:space="0" w:color="000000"/>
            </w:tcBorders>
            <w:vAlign w:val="center"/>
          </w:tcPr>
          <w:p w:rsidR="002A6D9A" w:rsidRPr="009C56EC" w:rsidRDefault="002A6D9A" w:rsidP="002A6D9A">
            <w:pPr>
              <w:spacing w:line="240" w:lineRule="auto"/>
              <w:jc w:val="both"/>
              <w:rPr>
                <w:rFonts w:eastAsia="Calibri" w:cs="Arial"/>
              </w:rPr>
            </w:pPr>
            <w:r w:rsidRPr="009C56EC">
              <w:rPr>
                <w:rFonts w:eastAsia="Calibri" w:cs="Arial"/>
              </w:rPr>
              <w:t>2 h</w:t>
            </w:r>
          </w:p>
        </w:tc>
      </w:tr>
    </w:tbl>
    <w:p w:rsidR="002A6D9A" w:rsidRPr="009C56EC" w:rsidRDefault="002A6D9A" w:rsidP="002A6D9A">
      <w:pPr>
        <w:jc w:val="both"/>
        <w:outlineLvl w:val="0"/>
        <w:rPr>
          <w:rFonts w:cs="Arial"/>
          <w:b/>
          <w:bCs/>
        </w:rPr>
      </w:pPr>
    </w:p>
    <w:p w:rsidR="002A6D9A" w:rsidRPr="0052785B" w:rsidRDefault="002A6D9A" w:rsidP="0052785B">
      <w:pPr>
        <w:rPr>
          <w:b/>
        </w:rPr>
      </w:pPr>
      <w:r w:rsidRPr="0052785B">
        <w:rPr>
          <w:b/>
        </w:rPr>
        <w:t>Objectivos de Aprendizagem:</w:t>
      </w:r>
    </w:p>
    <w:p w:rsidR="002A6D9A" w:rsidRPr="002A6D9A" w:rsidRDefault="002A6D9A" w:rsidP="002A6D9A">
      <w:pPr>
        <w:jc w:val="both"/>
        <w:rPr>
          <w:rFonts w:cs="Arial"/>
          <w:lang w:val="pt-BR"/>
        </w:rPr>
      </w:pPr>
      <w:r w:rsidRPr="002A6D9A">
        <w:rPr>
          <w:rFonts w:cs="Arial"/>
          <w:lang w:val="pt-BR"/>
        </w:rPr>
        <w:t>Até ao fim da aula os alunos devem ser capazes de:</w:t>
      </w:r>
    </w:p>
    <w:p w:rsidR="002A6D9A" w:rsidRPr="009C56EC" w:rsidRDefault="002A6D9A" w:rsidP="00C52E09">
      <w:pPr>
        <w:numPr>
          <w:ilvl w:val="1"/>
          <w:numId w:val="256"/>
        </w:numPr>
        <w:spacing w:after="0"/>
        <w:jc w:val="both"/>
        <w:rPr>
          <w:rFonts w:cs="Arial"/>
        </w:rPr>
      </w:pPr>
      <w:r w:rsidRPr="009C56EC">
        <w:rPr>
          <w:rFonts w:cs="Arial"/>
        </w:rPr>
        <w:t>Definir farmacocinética;</w:t>
      </w:r>
    </w:p>
    <w:p w:rsidR="002A6D9A" w:rsidRPr="002A6D9A" w:rsidRDefault="002A6D9A" w:rsidP="00C52E09">
      <w:pPr>
        <w:numPr>
          <w:ilvl w:val="1"/>
          <w:numId w:val="256"/>
        </w:numPr>
        <w:spacing w:after="0"/>
        <w:jc w:val="both"/>
        <w:rPr>
          <w:rFonts w:cs="Arial"/>
          <w:lang w:val="pt-BR"/>
        </w:rPr>
      </w:pPr>
      <w:r w:rsidRPr="002A6D9A">
        <w:rPr>
          <w:rFonts w:cs="Arial"/>
          <w:lang w:val="pt-BR"/>
        </w:rPr>
        <w:t>Explicar a absorção de fármacos e identificar as diferentes vias de administração;</w:t>
      </w:r>
    </w:p>
    <w:p w:rsidR="002A6D9A" w:rsidRPr="002A6D9A" w:rsidRDefault="002A6D9A" w:rsidP="00C52E09">
      <w:pPr>
        <w:pStyle w:val="ListParagraph"/>
        <w:numPr>
          <w:ilvl w:val="1"/>
          <w:numId w:val="256"/>
        </w:numPr>
        <w:spacing w:after="0"/>
        <w:contextualSpacing w:val="0"/>
        <w:jc w:val="both"/>
        <w:rPr>
          <w:rFonts w:cs="Arial"/>
          <w:lang w:val="pt-BR"/>
        </w:rPr>
      </w:pPr>
      <w:r w:rsidRPr="002A6D9A">
        <w:rPr>
          <w:rFonts w:cs="Arial"/>
          <w:lang w:val="pt-BR"/>
        </w:rPr>
        <w:t>Resumir os factos básicos sobre distribuição, transformação, e excreção de fármacos;</w:t>
      </w:r>
    </w:p>
    <w:p w:rsidR="002A6D9A" w:rsidRPr="002A6D9A" w:rsidRDefault="002A6D9A" w:rsidP="00C52E09">
      <w:pPr>
        <w:pStyle w:val="ListParagraph"/>
        <w:numPr>
          <w:ilvl w:val="1"/>
          <w:numId w:val="256"/>
        </w:numPr>
        <w:spacing w:after="0"/>
        <w:contextualSpacing w:val="0"/>
        <w:jc w:val="both"/>
        <w:rPr>
          <w:rFonts w:cs="Arial"/>
          <w:lang w:val="pt-BR"/>
        </w:rPr>
      </w:pPr>
      <w:r w:rsidRPr="002A6D9A">
        <w:rPr>
          <w:rFonts w:cs="Arial"/>
          <w:lang w:val="pt-BR"/>
        </w:rPr>
        <w:t>Explicar o conceito de vida média</w:t>
      </w:r>
    </w:p>
    <w:p w:rsidR="002A6D9A" w:rsidRPr="002A6D9A" w:rsidRDefault="002A6D9A" w:rsidP="00EB2A96">
      <w:pPr>
        <w:tabs>
          <w:tab w:val="left" w:pos="244"/>
        </w:tabs>
        <w:spacing w:line="240" w:lineRule="auto"/>
        <w:jc w:val="both"/>
        <w:outlineLvl w:val="0"/>
        <w:rPr>
          <w:rFonts w:cs="Arial"/>
          <w:b/>
          <w:bCs/>
          <w:lang w:val="pt-BR"/>
        </w:rPr>
      </w:pPr>
    </w:p>
    <w:p w:rsidR="002A6D9A" w:rsidRPr="0052785B" w:rsidRDefault="002A6D9A" w:rsidP="0052785B">
      <w:pPr>
        <w:rPr>
          <w:b/>
        </w:rPr>
      </w:pPr>
      <w:r w:rsidRPr="0052785B">
        <w:rPr>
          <w:b/>
        </w:rPr>
        <w:t>Estrutura da Aula</w:t>
      </w:r>
    </w:p>
    <w:tbl>
      <w:tblPr>
        <w:tblW w:w="10188" w:type="dxa"/>
        <w:tblBorders>
          <w:top w:val="single" w:sz="18" w:space="0" w:color="auto"/>
          <w:bottom w:val="single" w:sz="18" w:space="0" w:color="auto"/>
        </w:tblBorders>
        <w:tblLayout w:type="fixed"/>
        <w:tblLook w:val="0400" w:firstRow="0" w:lastRow="0" w:firstColumn="0" w:lastColumn="0" w:noHBand="0" w:noVBand="1"/>
      </w:tblPr>
      <w:tblGrid>
        <w:gridCol w:w="738"/>
        <w:gridCol w:w="3690"/>
        <w:gridCol w:w="4140"/>
        <w:gridCol w:w="1620"/>
      </w:tblGrid>
      <w:tr w:rsidR="002A6D9A" w:rsidRPr="009C56EC" w:rsidTr="002A6D9A">
        <w:trPr>
          <w:trHeight w:val="432"/>
        </w:trPr>
        <w:tc>
          <w:tcPr>
            <w:tcW w:w="738" w:type="dxa"/>
            <w:tcBorders>
              <w:top w:val="single" w:sz="18" w:space="0" w:color="auto"/>
              <w:bottom w:val="single" w:sz="18" w:space="0" w:color="auto"/>
              <w:right w:val="single" w:sz="4" w:space="0" w:color="auto"/>
            </w:tcBorders>
            <w:shd w:val="clear" w:color="auto" w:fill="B8CCE4"/>
          </w:tcPr>
          <w:p w:rsidR="002A6D9A" w:rsidRPr="009C56EC" w:rsidRDefault="002A6D9A" w:rsidP="002A6D9A">
            <w:pPr>
              <w:spacing w:before="60" w:line="600" w:lineRule="auto"/>
              <w:ind w:left="-110" w:right="-108"/>
              <w:jc w:val="both"/>
              <w:rPr>
                <w:rFonts w:cs="Arial"/>
                <w:b/>
                <w:sz w:val="20"/>
                <w:szCs w:val="20"/>
              </w:rPr>
            </w:pPr>
            <w:r w:rsidRPr="009C56EC">
              <w:rPr>
                <w:rFonts w:cs="Arial"/>
                <w:b/>
                <w:sz w:val="20"/>
                <w:szCs w:val="20"/>
              </w:rPr>
              <w:t>Bloco</w:t>
            </w:r>
          </w:p>
        </w:tc>
        <w:tc>
          <w:tcPr>
            <w:tcW w:w="3690" w:type="dxa"/>
            <w:tcBorders>
              <w:top w:val="single" w:sz="18" w:space="0" w:color="auto"/>
              <w:left w:val="single" w:sz="4" w:space="0" w:color="auto"/>
              <w:bottom w:val="single" w:sz="18" w:space="0" w:color="auto"/>
              <w:right w:val="single" w:sz="4" w:space="0" w:color="auto"/>
            </w:tcBorders>
            <w:shd w:val="clear" w:color="auto" w:fill="B8CCE4"/>
          </w:tcPr>
          <w:p w:rsidR="002A6D9A" w:rsidRPr="009C56EC" w:rsidRDefault="002A6D9A" w:rsidP="002A6D9A">
            <w:pPr>
              <w:spacing w:before="60" w:line="600" w:lineRule="auto"/>
              <w:jc w:val="both"/>
              <w:rPr>
                <w:rFonts w:cs="Arial"/>
                <w:b/>
                <w:sz w:val="20"/>
                <w:szCs w:val="20"/>
              </w:rPr>
            </w:pPr>
            <w:r w:rsidRPr="009C56EC">
              <w:rPr>
                <w:rFonts w:cs="Arial"/>
                <w:b/>
                <w:sz w:val="20"/>
                <w:szCs w:val="20"/>
              </w:rPr>
              <w:t>Título do Bloco</w:t>
            </w:r>
          </w:p>
        </w:tc>
        <w:tc>
          <w:tcPr>
            <w:tcW w:w="4140" w:type="dxa"/>
            <w:tcBorders>
              <w:top w:val="single" w:sz="18" w:space="0" w:color="auto"/>
              <w:left w:val="single" w:sz="4" w:space="0" w:color="auto"/>
              <w:bottom w:val="single" w:sz="18" w:space="0" w:color="auto"/>
              <w:right w:val="single" w:sz="4" w:space="0" w:color="auto"/>
            </w:tcBorders>
            <w:shd w:val="clear" w:color="auto" w:fill="B8CCE4"/>
          </w:tcPr>
          <w:p w:rsidR="002A6D9A" w:rsidRPr="009C56EC" w:rsidRDefault="002A6D9A" w:rsidP="002A6D9A">
            <w:pPr>
              <w:tabs>
                <w:tab w:val="left" w:pos="244"/>
              </w:tabs>
              <w:spacing w:before="60" w:line="600" w:lineRule="auto"/>
              <w:jc w:val="both"/>
              <w:rPr>
                <w:rFonts w:cs="Arial"/>
                <w:b/>
                <w:sz w:val="20"/>
                <w:szCs w:val="20"/>
              </w:rPr>
            </w:pPr>
            <w:r w:rsidRPr="009C56EC">
              <w:rPr>
                <w:rFonts w:cs="Arial"/>
                <w:b/>
                <w:sz w:val="20"/>
                <w:szCs w:val="20"/>
              </w:rPr>
              <w:t>Método de Ensino</w:t>
            </w:r>
          </w:p>
        </w:tc>
        <w:tc>
          <w:tcPr>
            <w:tcW w:w="1620" w:type="dxa"/>
            <w:tcBorders>
              <w:top w:val="single" w:sz="18" w:space="0" w:color="auto"/>
              <w:left w:val="single" w:sz="4" w:space="0" w:color="auto"/>
              <w:bottom w:val="single" w:sz="18" w:space="0" w:color="auto"/>
            </w:tcBorders>
            <w:shd w:val="clear" w:color="auto" w:fill="B8CCE4"/>
          </w:tcPr>
          <w:p w:rsidR="002A6D9A" w:rsidRPr="009C56EC" w:rsidRDefault="002A6D9A" w:rsidP="002A6D9A">
            <w:pPr>
              <w:tabs>
                <w:tab w:val="left" w:pos="244"/>
              </w:tabs>
              <w:spacing w:before="60" w:line="600" w:lineRule="auto"/>
              <w:jc w:val="both"/>
              <w:rPr>
                <w:rFonts w:cs="Arial"/>
                <w:b/>
                <w:sz w:val="20"/>
                <w:szCs w:val="20"/>
              </w:rPr>
            </w:pPr>
            <w:r w:rsidRPr="009C56EC">
              <w:rPr>
                <w:rFonts w:cs="Arial"/>
                <w:b/>
                <w:sz w:val="20"/>
                <w:szCs w:val="20"/>
              </w:rPr>
              <w:t>Duração</w:t>
            </w:r>
          </w:p>
        </w:tc>
      </w:tr>
      <w:tr w:rsidR="002A6D9A" w:rsidRPr="009C56EC" w:rsidTr="002A6D9A">
        <w:tc>
          <w:tcPr>
            <w:tcW w:w="738" w:type="dxa"/>
            <w:tcBorders>
              <w:top w:val="single" w:sz="18" w:space="0" w:color="auto"/>
              <w:bottom w:val="single" w:sz="4" w:space="0" w:color="auto"/>
              <w:right w:val="single" w:sz="4" w:space="0" w:color="auto"/>
            </w:tcBorders>
          </w:tcPr>
          <w:p w:rsidR="002A6D9A" w:rsidRPr="009C56EC" w:rsidRDefault="002A6D9A" w:rsidP="002A6D9A">
            <w:pPr>
              <w:spacing w:before="60" w:after="60" w:line="600" w:lineRule="auto"/>
              <w:ind w:left="-110" w:right="-108"/>
              <w:jc w:val="center"/>
              <w:rPr>
                <w:rFonts w:cs="Arial"/>
                <w:sz w:val="20"/>
                <w:szCs w:val="20"/>
              </w:rPr>
            </w:pPr>
            <w:r w:rsidRPr="009C56EC">
              <w:rPr>
                <w:rFonts w:cs="Arial"/>
                <w:sz w:val="20"/>
                <w:szCs w:val="20"/>
              </w:rPr>
              <w:t>1</w:t>
            </w:r>
          </w:p>
        </w:tc>
        <w:tc>
          <w:tcPr>
            <w:tcW w:w="3690" w:type="dxa"/>
            <w:tcBorders>
              <w:top w:val="single" w:sz="18" w:space="0" w:color="auto"/>
              <w:left w:val="single" w:sz="4" w:space="0" w:color="auto"/>
              <w:bottom w:val="single" w:sz="4" w:space="0" w:color="auto"/>
              <w:right w:val="single" w:sz="4" w:space="0" w:color="auto"/>
            </w:tcBorders>
          </w:tcPr>
          <w:p w:rsidR="002A6D9A" w:rsidRPr="009C56EC" w:rsidRDefault="002A6D9A" w:rsidP="002A6D9A">
            <w:pPr>
              <w:tabs>
                <w:tab w:val="left" w:pos="244"/>
              </w:tabs>
              <w:spacing w:before="60" w:after="60" w:line="600" w:lineRule="auto"/>
              <w:jc w:val="both"/>
              <w:rPr>
                <w:rFonts w:cs="Arial"/>
                <w:sz w:val="20"/>
                <w:szCs w:val="20"/>
              </w:rPr>
            </w:pPr>
            <w:r w:rsidRPr="009C56EC">
              <w:rPr>
                <w:rFonts w:cs="Arial"/>
                <w:sz w:val="20"/>
                <w:szCs w:val="20"/>
              </w:rPr>
              <w:t>Introdução à Aula</w:t>
            </w:r>
          </w:p>
        </w:tc>
        <w:tc>
          <w:tcPr>
            <w:tcW w:w="4140" w:type="dxa"/>
            <w:tcBorders>
              <w:top w:val="single" w:sz="18" w:space="0" w:color="auto"/>
              <w:left w:val="single" w:sz="4" w:space="0" w:color="auto"/>
              <w:bottom w:val="single" w:sz="4" w:space="0" w:color="auto"/>
              <w:right w:val="single" w:sz="4" w:space="0" w:color="auto"/>
            </w:tcBorders>
          </w:tcPr>
          <w:p w:rsidR="002A6D9A" w:rsidRPr="009C56EC" w:rsidRDefault="002A6D9A" w:rsidP="002A6D9A">
            <w:pPr>
              <w:tabs>
                <w:tab w:val="left" w:pos="244"/>
              </w:tabs>
              <w:spacing w:before="60" w:after="60" w:line="600" w:lineRule="auto"/>
              <w:jc w:val="both"/>
              <w:rPr>
                <w:rFonts w:cs="Arial"/>
                <w:sz w:val="20"/>
                <w:szCs w:val="20"/>
              </w:rPr>
            </w:pPr>
          </w:p>
        </w:tc>
        <w:tc>
          <w:tcPr>
            <w:tcW w:w="1620" w:type="dxa"/>
            <w:tcBorders>
              <w:top w:val="single" w:sz="18" w:space="0" w:color="auto"/>
              <w:left w:val="single" w:sz="4" w:space="0" w:color="auto"/>
              <w:bottom w:val="single" w:sz="4" w:space="0" w:color="auto"/>
            </w:tcBorders>
          </w:tcPr>
          <w:p w:rsidR="002A6D9A" w:rsidRPr="009C56EC" w:rsidRDefault="002A6D9A" w:rsidP="002A6D9A">
            <w:pPr>
              <w:tabs>
                <w:tab w:val="left" w:pos="244"/>
              </w:tabs>
              <w:spacing w:before="60" w:after="60" w:line="600" w:lineRule="auto"/>
              <w:jc w:val="both"/>
              <w:rPr>
                <w:rFonts w:cs="Arial"/>
                <w:sz w:val="20"/>
                <w:szCs w:val="20"/>
              </w:rPr>
            </w:pPr>
          </w:p>
        </w:tc>
      </w:tr>
      <w:tr w:rsidR="002A6D9A" w:rsidRPr="009C56EC" w:rsidTr="00EB2A96">
        <w:tc>
          <w:tcPr>
            <w:tcW w:w="738" w:type="dxa"/>
            <w:tcBorders>
              <w:top w:val="single" w:sz="18" w:space="0" w:color="auto"/>
              <w:bottom w:val="single" w:sz="4" w:space="0" w:color="auto"/>
              <w:right w:val="single" w:sz="4" w:space="0" w:color="auto"/>
            </w:tcBorders>
            <w:shd w:val="clear" w:color="auto" w:fill="D9D9D9" w:themeFill="background1" w:themeFillShade="D9"/>
          </w:tcPr>
          <w:p w:rsidR="002A6D9A" w:rsidRPr="009C56EC" w:rsidRDefault="002A6D9A" w:rsidP="002A6D9A">
            <w:pPr>
              <w:spacing w:before="60" w:after="60" w:line="600" w:lineRule="auto"/>
              <w:ind w:left="-110" w:right="-108"/>
              <w:jc w:val="center"/>
              <w:rPr>
                <w:rFonts w:cs="Arial"/>
                <w:sz w:val="20"/>
                <w:szCs w:val="20"/>
              </w:rPr>
            </w:pPr>
            <w:r>
              <w:rPr>
                <w:rFonts w:cs="Arial"/>
                <w:sz w:val="20"/>
                <w:szCs w:val="20"/>
              </w:rPr>
              <w:t>2</w:t>
            </w:r>
          </w:p>
        </w:tc>
        <w:tc>
          <w:tcPr>
            <w:tcW w:w="3690" w:type="dxa"/>
            <w:tcBorders>
              <w:top w:val="single" w:sz="18" w:space="0" w:color="auto"/>
              <w:left w:val="single" w:sz="4" w:space="0" w:color="auto"/>
              <w:bottom w:val="single" w:sz="4" w:space="0" w:color="auto"/>
              <w:right w:val="single" w:sz="4" w:space="0" w:color="auto"/>
            </w:tcBorders>
            <w:shd w:val="clear" w:color="auto" w:fill="D9D9D9" w:themeFill="background1" w:themeFillShade="D9"/>
          </w:tcPr>
          <w:p w:rsidR="002A6D9A" w:rsidRPr="009C56EC" w:rsidRDefault="002A6D9A" w:rsidP="002A6D9A">
            <w:pPr>
              <w:tabs>
                <w:tab w:val="left" w:pos="244"/>
              </w:tabs>
              <w:spacing w:before="60" w:after="60" w:line="600" w:lineRule="auto"/>
              <w:jc w:val="both"/>
              <w:rPr>
                <w:rFonts w:cs="Arial"/>
                <w:sz w:val="20"/>
                <w:szCs w:val="20"/>
              </w:rPr>
            </w:pPr>
            <w:r>
              <w:rPr>
                <w:rFonts w:cs="Arial"/>
                <w:sz w:val="20"/>
                <w:szCs w:val="20"/>
              </w:rPr>
              <w:t>Farmacologia: Conceitos Básicos</w:t>
            </w:r>
          </w:p>
        </w:tc>
        <w:tc>
          <w:tcPr>
            <w:tcW w:w="4140" w:type="dxa"/>
            <w:tcBorders>
              <w:top w:val="single" w:sz="18" w:space="0" w:color="auto"/>
              <w:left w:val="single" w:sz="4" w:space="0" w:color="auto"/>
              <w:bottom w:val="single" w:sz="4" w:space="0" w:color="auto"/>
              <w:right w:val="single" w:sz="4" w:space="0" w:color="auto"/>
            </w:tcBorders>
            <w:shd w:val="clear" w:color="auto" w:fill="D9D9D9" w:themeFill="background1" w:themeFillShade="D9"/>
          </w:tcPr>
          <w:p w:rsidR="002A6D9A" w:rsidRPr="009C56EC" w:rsidRDefault="002A6D9A" w:rsidP="002A6D9A">
            <w:pPr>
              <w:tabs>
                <w:tab w:val="left" w:pos="244"/>
              </w:tabs>
              <w:spacing w:before="60" w:after="60" w:line="600" w:lineRule="auto"/>
              <w:jc w:val="both"/>
              <w:rPr>
                <w:rFonts w:cs="Arial"/>
                <w:sz w:val="20"/>
                <w:szCs w:val="20"/>
              </w:rPr>
            </w:pPr>
          </w:p>
        </w:tc>
        <w:tc>
          <w:tcPr>
            <w:tcW w:w="1620" w:type="dxa"/>
            <w:tcBorders>
              <w:top w:val="single" w:sz="18" w:space="0" w:color="auto"/>
              <w:left w:val="single" w:sz="4" w:space="0" w:color="auto"/>
              <w:bottom w:val="single" w:sz="4" w:space="0" w:color="auto"/>
            </w:tcBorders>
            <w:shd w:val="clear" w:color="auto" w:fill="D9D9D9" w:themeFill="background1" w:themeFillShade="D9"/>
          </w:tcPr>
          <w:p w:rsidR="002A6D9A" w:rsidRPr="009C56EC" w:rsidRDefault="002A6D9A" w:rsidP="002A6D9A">
            <w:pPr>
              <w:tabs>
                <w:tab w:val="left" w:pos="244"/>
              </w:tabs>
              <w:spacing w:before="60" w:after="60" w:line="600" w:lineRule="auto"/>
              <w:jc w:val="both"/>
              <w:rPr>
                <w:rFonts w:cs="Arial"/>
                <w:sz w:val="20"/>
                <w:szCs w:val="20"/>
              </w:rPr>
            </w:pPr>
          </w:p>
        </w:tc>
      </w:tr>
      <w:tr w:rsidR="002A6D9A" w:rsidRPr="009C56EC" w:rsidTr="00EB2A96">
        <w:tc>
          <w:tcPr>
            <w:tcW w:w="738" w:type="dxa"/>
            <w:tcBorders>
              <w:top w:val="single" w:sz="4" w:space="0" w:color="auto"/>
              <w:bottom w:val="single" w:sz="4" w:space="0" w:color="auto"/>
              <w:right w:val="single" w:sz="4" w:space="0" w:color="auto"/>
            </w:tcBorders>
            <w:shd w:val="clear" w:color="auto" w:fill="auto"/>
          </w:tcPr>
          <w:p w:rsidR="002A6D9A" w:rsidRPr="009C56EC" w:rsidRDefault="002A6D9A" w:rsidP="002A6D9A">
            <w:pPr>
              <w:spacing w:before="60" w:after="60" w:line="600" w:lineRule="auto"/>
              <w:ind w:left="-110" w:right="-108"/>
              <w:jc w:val="center"/>
              <w:rPr>
                <w:rFonts w:cs="Arial"/>
                <w:sz w:val="20"/>
                <w:szCs w:val="20"/>
              </w:rPr>
            </w:pPr>
            <w:r>
              <w:rPr>
                <w:rFonts w:cs="Arial"/>
                <w:sz w:val="20"/>
                <w:szCs w:val="20"/>
              </w:rPr>
              <w:t>3</w:t>
            </w:r>
          </w:p>
        </w:tc>
        <w:tc>
          <w:tcPr>
            <w:tcW w:w="3690" w:type="dxa"/>
            <w:tcBorders>
              <w:top w:val="single" w:sz="4" w:space="0" w:color="auto"/>
              <w:left w:val="single" w:sz="4" w:space="0" w:color="auto"/>
              <w:bottom w:val="single" w:sz="4" w:space="0" w:color="auto"/>
              <w:right w:val="single" w:sz="4" w:space="0" w:color="auto"/>
            </w:tcBorders>
            <w:shd w:val="clear" w:color="auto" w:fill="auto"/>
          </w:tcPr>
          <w:p w:rsidR="002A6D9A" w:rsidRPr="009C56EC" w:rsidRDefault="002A6D9A" w:rsidP="002A6D9A">
            <w:pPr>
              <w:tabs>
                <w:tab w:val="left" w:pos="244"/>
              </w:tabs>
              <w:spacing w:before="60" w:after="60" w:line="600" w:lineRule="auto"/>
              <w:jc w:val="both"/>
              <w:rPr>
                <w:rFonts w:cs="Arial"/>
                <w:sz w:val="20"/>
                <w:szCs w:val="20"/>
              </w:rPr>
            </w:pPr>
            <w:r w:rsidRPr="009C56EC">
              <w:rPr>
                <w:rFonts w:cs="Arial"/>
                <w:sz w:val="20"/>
                <w:szCs w:val="20"/>
              </w:rPr>
              <w:t>Farmacocinética: Conceitos Básicos</w:t>
            </w:r>
          </w:p>
        </w:tc>
        <w:tc>
          <w:tcPr>
            <w:tcW w:w="4140" w:type="dxa"/>
            <w:tcBorders>
              <w:top w:val="single" w:sz="4" w:space="0" w:color="auto"/>
              <w:left w:val="single" w:sz="4" w:space="0" w:color="auto"/>
              <w:bottom w:val="single" w:sz="4" w:space="0" w:color="auto"/>
              <w:right w:val="single" w:sz="4" w:space="0" w:color="auto"/>
            </w:tcBorders>
            <w:shd w:val="clear" w:color="auto" w:fill="auto"/>
          </w:tcPr>
          <w:p w:rsidR="002A6D9A" w:rsidRPr="009C56EC" w:rsidRDefault="002A6D9A" w:rsidP="002A6D9A">
            <w:pPr>
              <w:tabs>
                <w:tab w:val="left" w:pos="244"/>
              </w:tabs>
              <w:spacing w:before="60" w:after="60" w:line="600" w:lineRule="auto"/>
              <w:jc w:val="both"/>
              <w:rPr>
                <w:rFonts w:cs="Arial"/>
                <w:sz w:val="20"/>
                <w:szCs w:val="20"/>
              </w:rPr>
            </w:pPr>
          </w:p>
        </w:tc>
        <w:tc>
          <w:tcPr>
            <w:tcW w:w="1620" w:type="dxa"/>
            <w:tcBorders>
              <w:top w:val="single" w:sz="4" w:space="0" w:color="auto"/>
              <w:left w:val="single" w:sz="4" w:space="0" w:color="auto"/>
              <w:bottom w:val="single" w:sz="4" w:space="0" w:color="auto"/>
            </w:tcBorders>
            <w:shd w:val="clear" w:color="auto" w:fill="auto"/>
          </w:tcPr>
          <w:p w:rsidR="002A6D9A" w:rsidRPr="009C56EC" w:rsidRDefault="002A6D9A" w:rsidP="002A6D9A">
            <w:pPr>
              <w:tabs>
                <w:tab w:val="left" w:pos="244"/>
              </w:tabs>
              <w:spacing w:before="60" w:after="60" w:line="600" w:lineRule="auto"/>
              <w:jc w:val="both"/>
              <w:rPr>
                <w:rFonts w:cs="Arial"/>
                <w:sz w:val="20"/>
                <w:szCs w:val="20"/>
              </w:rPr>
            </w:pPr>
          </w:p>
        </w:tc>
      </w:tr>
      <w:tr w:rsidR="002A6D9A" w:rsidRPr="009C56EC" w:rsidTr="00EB2A96">
        <w:tc>
          <w:tcPr>
            <w:tcW w:w="738" w:type="dxa"/>
            <w:tcBorders>
              <w:top w:val="single" w:sz="4" w:space="0" w:color="auto"/>
              <w:bottom w:val="single" w:sz="4" w:space="0" w:color="auto"/>
              <w:right w:val="single" w:sz="4" w:space="0" w:color="auto"/>
            </w:tcBorders>
            <w:shd w:val="clear" w:color="auto" w:fill="D9D9D9" w:themeFill="background1" w:themeFillShade="D9"/>
          </w:tcPr>
          <w:p w:rsidR="002A6D9A" w:rsidRPr="009C56EC" w:rsidRDefault="002A6D9A" w:rsidP="002A6D9A">
            <w:pPr>
              <w:spacing w:before="60" w:after="60" w:line="600" w:lineRule="auto"/>
              <w:ind w:left="-110" w:right="-108"/>
              <w:jc w:val="center"/>
              <w:rPr>
                <w:rFonts w:cs="Arial"/>
                <w:sz w:val="20"/>
                <w:szCs w:val="20"/>
              </w:rPr>
            </w:pPr>
            <w:r>
              <w:rPr>
                <w:rFonts w:cs="Arial"/>
                <w:sz w:val="20"/>
                <w:szCs w:val="20"/>
              </w:rPr>
              <w:t>4</w:t>
            </w:r>
          </w:p>
        </w:tc>
        <w:tc>
          <w:tcPr>
            <w:tcW w:w="36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A6D9A" w:rsidRPr="009C56EC" w:rsidRDefault="002A6D9A" w:rsidP="002A6D9A">
            <w:pPr>
              <w:tabs>
                <w:tab w:val="left" w:pos="244"/>
              </w:tabs>
              <w:spacing w:before="60" w:after="60" w:line="600" w:lineRule="auto"/>
              <w:jc w:val="both"/>
              <w:rPr>
                <w:rFonts w:cs="Arial"/>
                <w:iCs/>
                <w:sz w:val="20"/>
                <w:szCs w:val="20"/>
              </w:rPr>
            </w:pPr>
            <w:r w:rsidRPr="009C56EC">
              <w:rPr>
                <w:rFonts w:cs="Arial"/>
                <w:iCs/>
                <w:sz w:val="20"/>
                <w:szCs w:val="20"/>
              </w:rPr>
              <w:t>Vias de Administração</w:t>
            </w:r>
          </w:p>
        </w:tc>
        <w:tc>
          <w:tcPr>
            <w:tcW w:w="41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A6D9A" w:rsidRPr="009C56EC" w:rsidRDefault="002A6D9A" w:rsidP="002A6D9A">
            <w:pPr>
              <w:spacing w:before="60" w:after="60" w:line="600" w:lineRule="auto"/>
              <w:ind w:left="-18" w:firstLine="18"/>
              <w:jc w:val="both"/>
              <w:rPr>
                <w:rFonts w:cs="Arial"/>
                <w:sz w:val="20"/>
                <w:szCs w:val="20"/>
              </w:rPr>
            </w:pPr>
          </w:p>
        </w:tc>
        <w:tc>
          <w:tcPr>
            <w:tcW w:w="1620" w:type="dxa"/>
            <w:tcBorders>
              <w:top w:val="single" w:sz="4" w:space="0" w:color="auto"/>
              <w:left w:val="single" w:sz="4" w:space="0" w:color="auto"/>
              <w:bottom w:val="single" w:sz="4" w:space="0" w:color="auto"/>
            </w:tcBorders>
            <w:shd w:val="clear" w:color="auto" w:fill="D9D9D9" w:themeFill="background1" w:themeFillShade="D9"/>
          </w:tcPr>
          <w:p w:rsidR="002A6D9A" w:rsidRPr="009C56EC" w:rsidRDefault="002A6D9A" w:rsidP="002A6D9A">
            <w:pPr>
              <w:spacing w:before="60" w:after="60" w:line="600" w:lineRule="auto"/>
              <w:ind w:left="-18" w:firstLine="18"/>
              <w:jc w:val="both"/>
              <w:rPr>
                <w:rFonts w:cs="Arial"/>
                <w:sz w:val="20"/>
                <w:szCs w:val="20"/>
              </w:rPr>
            </w:pPr>
          </w:p>
        </w:tc>
      </w:tr>
      <w:tr w:rsidR="002A6D9A" w:rsidRPr="009C56EC" w:rsidTr="00EB2A96">
        <w:tc>
          <w:tcPr>
            <w:tcW w:w="738" w:type="dxa"/>
            <w:tcBorders>
              <w:top w:val="single" w:sz="4" w:space="0" w:color="auto"/>
              <w:bottom w:val="single" w:sz="4" w:space="0" w:color="auto"/>
              <w:right w:val="single" w:sz="4" w:space="0" w:color="auto"/>
            </w:tcBorders>
            <w:shd w:val="clear" w:color="auto" w:fill="auto"/>
          </w:tcPr>
          <w:p w:rsidR="002A6D9A" w:rsidRPr="009C56EC" w:rsidRDefault="002A6D9A" w:rsidP="002A6D9A">
            <w:pPr>
              <w:spacing w:before="60" w:after="60" w:line="600" w:lineRule="auto"/>
              <w:ind w:left="-110" w:right="-108"/>
              <w:jc w:val="center"/>
              <w:rPr>
                <w:rFonts w:cs="Arial"/>
                <w:sz w:val="20"/>
                <w:szCs w:val="20"/>
              </w:rPr>
            </w:pPr>
            <w:r>
              <w:rPr>
                <w:rFonts w:cs="Arial"/>
                <w:sz w:val="20"/>
                <w:szCs w:val="20"/>
              </w:rPr>
              <w:t>5</w:t>
            </w:r>
          </w:p>
        </w:tc>
        <w:tc>
          <w:tcPr>
            <w:tcW w:w="3690" w:type="dxa"/>
            <w:tcBorders>
              <w:top w:val="single" w:sz="4" w:space="0" w:color="auto"/>
              <w:left w:val="single" w:sz="4" w:space="0" w:color="auto"/>
              <w:bottom w:val="single" w:sz="4" w:space="0" w:color="auto"/>
              <w:right w:val="single" w:sz="4" w:space="0" w:color="auto"/>
            </w:tcBorders>
            <w:shd w:val="clear" w:color="auto" w:fill="auto"/>
          </w:tcPr>
          <w:p w:rsidR="002A6D9A" w:rsidRPr="009C56EC" w:rsidRDefault="002A6D9A" w:rsidP="002A6D9A">
            <w:pPr>
              <w:tabs>
                <w:tab w:val="left" w:pos="244"/>
              </w:tabs>
              <w:spacing w:before="60" w:after="60" w:line="600" w:lineRule="auto"/>
              <w:jc w:val="both"/>
              <w:rPr>
                <w:rFonts w:cs="Arial"/>
                <w:iCs/>
                <w:sz w:val="20"/>
                <w:szCs w:val="20"/>
              </w:rPr>
            </w:pPr>
            <w:r w:rsidRPr="009C56EC">
              <w:rPr>
                <w:rFonts w:cs="Arial"/>
                <w:iCs/>
                <w:sz w:val="20"/>
                <w:szCs w:val="20"/>
              </w:rPr>
              <w:t>Etapas do Processo Farmacocinético</w:t>
            </w:r>
          </w:p>
        </w:tc>
        <w:tc>
          <w:tcPr>
            <w:tcW w:w="4140" w:type="dxa"/>
            <w:tcBorders>
              <w:top w:val="single" w:sz="4" w:space="0" w:color="auto"/>
              <w:left w:val="single" w:sz="4" w:space="0" w:color="auto"/>
              <w:bottom w:val="single" w:sz="4" w:space="0" w:color="auto"/>
              <w:right w:val="single" w:sz="4" w:space="0" w:color="auto"/>
            </w:tcBorders>
            <w:shd w:val="clear" w:color="auto" w:fill="auto"/>
          </w:tcPr>
          <w:p w:rsidR="002A6D9A" w:rsidRPr="009C56EC" w:rsidRDefault="002A6D9A" w:rsidP="002A6D9A">
            <w:pPr>
              <w:spacing w:before="60" w:after="60" w:line="600" w:lineRule="auto"/>
              <w:ind w:left="-18" w:firstLine="18"/>
              <w:jc w:val="both"/>
              <w:rPr>
                <w:rFonts w:cs="Arial"/>
                <w:sz w:val="20"/>
                <w:szCs w:val="20"/>
              </w:rPr>
            </w:pPr>
          </w:p>
        </w:tc>
        <w:tc>
          <w:tcPr>
            <w:tcW w:w="1620" w:type="dxa"/>
            <w:tcBorders>
              <w:top w:val="single" w:sz="4" w:space="0" w:color="auto"/>
              <w:left w:val="single" w:sz="4" w:space="0" w:color="auto"/>
              <w:bottom w:val="single" w:sz="4" w:space="0" w:color="auto"/>
            </w:tcBorders>
            <w:shd w:val="clear" w:color="auto" w:fill="auto"/>
          </w:tcPr>
          <w:p w:rsidR="002A6D9A" w:rsidRPr="009C56EC" w:rsidRDefault="002A6D9A" w:rsidP="002A6D9A">
            <w:pPr>
              <w:spacing w:before="60" w:after="60" w:line="600" w:lineRule="auto"/>
              <w:ind w:left="-18" w:firstLine="18"/>
              <w:jc w:val="both"/>
              <w:rPr>
                <w:rFonts w:cs="Arial"/>
                <w:sz w:val="20"/>
                <w:szCs w:val="20"/>
              </w:rPr>
            </w:pPr>
          </w:p>
        </w:tc>
      </w:tr>
      <w:tr w:rsidR="002A6D9A" w:rsidRPr="009C56EC" w:rsidTr="00EB2A96">
        <w:tc>
          <w:tcPr>
            <w:tcW w:w="738" w:type="dxa"/>
            <w:tcBorders>
              <w:top w:val="single" w:sz="4" w:space="0" w:color="auto"/>
              <w:bottom w:val="single" w:sz="18" w:space="0" w:color="auto"/>
              <w:right w:val="single" w:sz="4" w:space="0" w:color="auto"/>
            </w:tcBorders>
            <w:shd w:val="clear" w:color="auto" w:fill="D9D9D9" w:themeFill="background1" w:themeFillShade="D9"/>
          </w:tcPr>
          <w:p w:rsidR="002A6D9A" w:rsidRPr="009C56EC" w:rsidRDefault="002A6D9A" w:rsidP="002A6D9A">
            <w:pPr>
              <w:spacing w:before="60" w:after="60" w:line="600" w:lineRule="auto"/>
              <w:ind w:left="-110" w:right="-108"/>
              <w:jc w:val="center"/>
              <w:rPr>
                <w:rFonts w:cs="Arial"/>
                <w:sz w:val="20"/>
                <w:szCs w:val="20"/>
              </w:rPr>
            </w:pPr>
            <w:r>
              <w:rPr>
                <w:rFonts w:cs="Arial"/>
                <w:sz w:val="20"/>
                <w:szCs w:val="20"/>
              </w:rPr>
              <w:t>6</w:t>
            </w:r>
          </w:p>
        </w:tc>
        <w:tc>
          <w:tcPr>
            <w:tcW w:w="3690" w:type="dxa"/>
            <w:tcBorders>
              <w:top w:val="single" w:sz="4" w:space="0" w:color="auto"/>
              <w:left w:val="single" w:sz="4" w:space="0" w:color="auto"/>
              <w:bottom w:val="single" w:sz="18" w:space="0" w:color="auto"/>
              <w:right w:val="single" w:sz="4" w:space="0" w:color="auto"/>
            </w:tcBorders>
            <w:shd w:val="clear" w:color="auto" w:fill="D9D9D9" w:themeFill="background1" w:themeFillShade="D9"/>
          </w:tcPr>
          <w:p w:rsidR="002A6D9A" w:rsidRPr="009C56EC" w:rsidRDefault="002A6D9A" w:rsidP="002A6D9A">
            <w:pPr>
              <w:tabs>
                <w:tab w:val="left" w:pos="244"/>
              </w:tabs>
              <w:spacing w:before="60" w:after="60" w:line="600" w:lineRule="auto"/>
              <w:jc w:val="both"/>
              <w:rPr>
                <w:rFonts w:cs="Arial"/>
                <w:i/>
                <w:iCs/>
                <w:sz w:val="20"/>
                <w:szCs w:val="20"/>
              </w:rPr>
            </w:pPr>
            <w:r w:rsidRPr="009C56EC">
              <w:rPr>
                <w:rFonts w:cs="Arial"/>
                <w:sz w:val="20"/>
                <w:szCs w:val="20"/>
              </w:rPr>
              <w:t>Pontos-chave</w:t>
            </w:r>
          </w:p>
        </w:tc>
        <w:tc>
          <w:tcPr>
            <w:tcW w:w="4140" w:type="dxa"/>
            <w:tcBorders>
              <w:top w:val="single" w:sz="4" w:space="0" w:color="auto"/>
              <w:left w:val="single" w:sz="4" w:space="0" w:color="auto"/>
              <w:bottom w:val="single" w:sz="18" w:space="0" w:color="auto"/>
              <w:right w:val="single" w:sz="4" w:space="0" w:color="auto"/>
            </w:tcBorders>
            <w:shd w:val="clear" w:color="auto" w:fill="D9D9D9" w:themeFill="background1" w:themeFillShade="D9"/>
          </w:tcPr>
          <w:p w:rsidR="002A6D9A" w:rsidRPr="009C56EC" w:rsidRDefault="002A6D9A" w:rsidP="002A6D9A">
            <w:pPr>
              <w:spacing w:before="60" w:after="60" w:line="600" w:lineRule="auto"/>
              <w:ind w:left="-18" w:firstLine="18"/>
              <w:jc w:val="both"/>
              <w:rPr>
                <w:rFonts w:cs="Arial"/>
                <w:sz w:val="20"/>
                <w:szCs w:val="20"/>
              </w:rPr>
            </w:pPr>
          </w:p>
        </w:tc>
        <w:tc>
          <w:tcPr>
            <w:tcW w:w="1620" w:type="dxa"/>
            <w:tcBorders>
              <w:top w:val="single" w:sz="4" w:space="0" w:color="auto"/>
              <w:left w:val="single" w:sz="4" w:space="0" w:color="auto"/>
              <w:bottom w:val="single" w:sz="18" w:space="0" w:color="auto"/>
            </w:tcBorders>
            <w:shd w:val="clear" w:color="auto" w:fill="D9D9D9" w:themeFill="background1" w:themeFillShade="D9"/>
          </w:tcPr>
          <w:p w:rsidR="002A6D9A" w:rsidRPr="009C56EC" w:rsidRDefault="002A6D9A" w:rsidP="002A6D9A">
            <w:pPr>
              <w:spacing w:before="60" w:after="60" w:line="600" w:lineRule="auto"/>
              <w:ind w:left="-18" w:firstLine="18"/>
              <w:jc w:val="both"/>
              <w:rPr>
                <w:rFonts w:cs="Arial"/>
                <w:sz w:val="20"/>
                <w:szCs w:val="20"/>
              </w:rPr>
            </w:pPr>
          </w:p>
        </w:tc>
      </w:tr>
    </w:tbl>
    <w:p w:rsidR="00BE2C41" w:rsidRDefault="00BE2C41" w:rsidP="00EB2A96">
      <w:pPr>
        <w:tabs>
          <w:tab w:val="left" w:pos="424"/>
        </w:tabs>
        <w:spacing w:before="60" w:line="240" w:lineRule="auto"/>
        <w:jc w:val="both"/>
        <w:rPr>
          <w:rFonts w:cs="Arial"/>
          <w:b/>
          <w:lang w:val="pt-BR"/>
        </w:rPr>
      </w:pPr>
    </w:p>
    <w:p w:rsidR="002A6D9A" w:rsidRPr="002A6D9A" w:rsidRDefault="002A6D9A" w:rsidP="002A6D9A">
      <w:pPr>
        <w:tabs>
          <w:tab w:val="left" w:pos="424"/>
        </w:tabs>
        <w:spacing w:before="60"/>
        <w:jc w:val="both"/>
        <w:rPr>
          <w:rFonts w:cs="Arial"/>
          <w:b/>
          <w:lang w:val="pt-BR"/>
        </w:rPr>
      </w:pPr>
      <w:r w:rsidRPr="002A6D9A">
        <w:rPr>
          <w:rFonts w:cs="Arial"/>
          <w:b/>
          <w:lang w:val="pt-BR"/>
        </w:rPr>
        <w:t>Equipamentos e meios audiovisuais necessários:</w:t>
      </w:r>
    </w:p>
    <w:p w:rsidR="002A6D9A" w:rsidRPr="002A6D9A" w:rsidRDefault="002A6D9A" w:rsidP="002A6D9A">
      <w:pPr>
        <w:tabs>
          <w:tab w:val="left" w:pos="424"/>
        </w:tabs>
        <w:jc w:val="both"/>
        <w:rPr>
          <w:rFonts w:cs="Arial"/>
          <w:lang w:val="pt-BR"/>
        </w:rPr>
      </w:pPr>
    </w:p>
    <w:p w:rsidR="002A6D9A" w:rsidRPr="002A6D9A" w:rsidRDefault="002A6D9A" w:rsidP="002A6D9A">
      <w:pPr>
        <w:tabs>
          <w:tab w:val="left" w:pos="424"/>
        </w:tabs>
        <w:jc w:val="both"/>
        <w:rPr>
          <w:rFonts w:cs="Arial"/>
          <w:lang w:val="pt-BR"/>
        </w:rPr>
      </w:pPr>
      <w:r w:rsidRPr="002A6D9A">
        <w:rPr>
          <w:rFonts w:cs="Arial"/>
          <w:b/>
          <w:lang w:val="pt-BR"/>
        </w:rPr>
        <w:t>Trabalhos para casa (TPC), exercícios e textos para leitura – incluir data a ser entregue:</w:t>
      </w:r>
      <w:r w:rsidRPr="002A6D9A">
        <w:rPr>
          <w:rFonts w:cs="Arial"/>
          <w:lang w:val="pt-BR"/>
        </w:rPr>
        <w:t xml:space="preserve"> </w:t>
      </w:r>
    </w:p>
    <w:p w:rsidR="002A6D9A" w:rsidRPr="002A6D9A" w:rsidRDefault="002A6D9A" w:rsidP="002A6D9A">
      <w:pPr>
        <w:tabs>
          <w:tab w:val="left" w:pos="424"/>
        </w:tabs>
        <w:jc w:val="both"/>
        <w:rPr>
          <w:rFonts w:cs="Arial"/>
          <w:lang w:val="pt-BR"/>
        </w:rPr>
      </w:pPr>
    </w:p>
    <w:p w:rsidR="002A6D9A" w:rsidRPr="00927EAF" w:rsidRDefault="002A6D9A" w:rsidP="00927EAF">
      <w:pPr>
        <w:rPr>
          <w:b/>
          <w:lang w:val="pt-BR"/>
        </w:rPr>
      </w:pPr>
      <w:r w:rsidRPr="00927EAF">
        <w:rPr>
          <w:b/>
          <w:sz w:val="24"/>
          <w:szCs w:val="24"/>
          <w:lang w:val="pt-BR"/>
        </w:rPr>
        <w:t>Bibliografia (r</w:t>
      </w:r>
      <w:r w:rsidRPr="00927EAF">
        <w:rPr>
          <w:b/>
          <w:lang w:val="pt-BR"/>
        </w:rPr>
        <w:t>eferências usadas para o desenvolvimento do conteúdo):</w:t>
      </w:r>
    </w:p>
    <w:p w:rsidR="002A6D9A" w:rsidRPr="00F47FAF" w:rsidRDefault="002A6D9A" w:rsidP="002A6D9A">
      <w:pPr>
        <w:rPr>
          <w:lang w:val="pt-BR"/>
        </w:rPr>
      </w:pPr>
      <w:r w:rsidRPr="00553D4C">
        <w:rPr>
          <w:lang w:val="en-GB"/>
        </w:rPr>
        <w:t xml:space="preserve">Brunton LL, Lazo JS, Parker KL. </w:t>
      </w:r>
      <w:r w:rsidRPr="002A6D9A">
        <w:rPr>
          <w:lang w:val="pt-BR"/>
        </w:rPr>
        <w:t xml:space="preserve">Goodman e Gilman - As bases farmacológicas da terapêutica. </w:t>
      </w:r>
      <w:r w:rsidRPr="00F47FAF">
        <w:rPr>
          <w:lang w:val="pt-BR"/>
        </w:rPr>
        <w:t>11 Edição. Brasil: Mcgraw-Hill; 2006.</w:t>
      </w:r>
    </w:p>
    <w:p w:rsidR="002A6D9A" w:rsidRPr="00F47FAF" w:rsidRDefault="002A6D9A" w:rsidP="002A6D9A">
      <w:pPr>
        <w:rPr>
          <w:lang w:val="pt-BR"/>
        </w:rPr>
      </w:pPr>
      <w:r w:rsidRPr="002A6D9A">
        <w:rPr>
          <w:lang w:val="pt-BR"/>
        </w:rPr>
        <w:t xml:space="preserve">Katzung B. Farmacologia básica e clínica. </w:t>
      </w:r>
      <w:r w:rsidRPr="00F47FAF">
        <w:rPr>
          <w:lang w:val="pt-BR"/>
        </w:rPr>
        <w:t xml:space="preserve">9 Edição. Brasil: Guanabara Koogan; 2006. </w:t>
      </w:r>
    </w:p>
    <w:p w:rsidR="002A6D9A" w:rsidRPr="00BE2C41" w:rsidRDefault="002A6D9A" w:rsidP="002A6D9A">
      <w:pPr>
        <w:rPr>
          <w:lang w:val="pt-PT"/>
        </w:rPr>
      </w:pPr>
      <w:r w:rsidRPr="002A6D9A">
        <w:rPr>
          <w:lang w:val="pt-BR"/>
        </w:rPr>
        <w:t xml:space="preserve">Nelson DL, Cox MM. Princípios de bioquímica do Lehninger. </w:t>
      </w:r>
      <w:r w:rsidRPr="00BE2C41">
        <w:rPr>
          <w:lang w:val="pt-PT"/>
        </w:rPr>
        <w:t xml:space="preserve">4 edição. W.H. Freeman; 2004. </w:t>
      </w:r>
    </w:p>
    <w:p w:rsidR="002A6D9A" w:rsidRPr="009C56EC" w:rsidRDefault="002A6D9A" w:rsidP="00BE2C41">
      <w:pPr>
        <w:pStyle w:val="TM-1n"/>
        <w:numPr>
          <w:ilvl w:val="0"/>
          <w:numId w:val="0"/>
        </w:numPr>
        <w:shd w:val="clear" w:color="auto" w:fill="C6D9F1"/>
        <w:tabs>
          <w:tab w:val="clear" w:pos="9072"/>
        </w:tabs>
        <w:spacing w:before="120" w:after="0" w:line="276" w:lineRule="auto"/>
      </w:pPr>
      <w:r w:rsidRPr="002A6D9A">
        <w:rPr>
          <w:bCs/>
          <w:caps/>
          <w:lang w:eastAsia="en-US"/>
        </w:rPr>
        <w:lastRenderedPageBreak/>
        <w:t>BLOCO 1: INTRODUÇÃO à AULA</w:t>
      </w:r>
      <w:r w:rsidRPr="009C56EC">
        <w:tab/>
      </w:r>
    </w:p>
    <w:p w:rsidR="0055505E" w:rsidRDefault="002A6D9A" w:rsidP="00C52E09">
      <w:pPr>
        <w:pStyle w:val="TM-2n"/>
        <w:numPr>
          <w:ilvl w:val="1"/>
          <w:numId w:val="257"/>
        </w:numPr>
        <w:spacing w:before="120" w:after="0" w:line="276" w:lineRule="auto"/>
      </w:pPr>
      <w:r w:rsidRPr="009C56EC">
        <w:t>Apresentação do tópico, conteúdos e objectivos de aprendizagem.</w:t>
      </w:r>
    </w:p>
    <w:p w:rsidR="0055505E" w:rsidRDefault="002A6D9A" w:rsidP="00C52E09">
      <w:pPr>
        <w:pStyle w:val="TM-2n"/>
        <w:numPr>
          <w:ilvl w:val="1"/>
          <w:numId w:val="257"/>
        </w:numPr>
        <w:spacing w:before="120" w:after="0" w:line="276" w:lineRule="auto"/>
      </w:pPr>
      <w:r w:rsidRPr="009C56EC">
        <w:t>Apresentação da estrutura da aula.</w:t>
      </w:r>
    </w:p>
    <w:p w:rsidR="002A6D9A" w:rsidRPr="009C56EC" w:rsidRDefault="002A6D9A" w:rsidP="00C52E09">
      <w:pPr>
        <w:pStyle w:val="TM-2n"/>
        <w:numPr>
          <w:ilvl w:val="1"/>
          <w:numId w:val="257"/>
        </w:numPr>
        <w:spacing w:before="120" w:after="0" w:line="276" w:lineRule="auto"/>
      </w:pPr>
      <w:r w:rsidRPr="009C56EC">
        <w:t xml:space="preserve">Apresentação da bibliografia que o aluno deverá consultar para ampliar </w:t>
      </w:r>
      <w:r>
        <w:t xml:space="preserve">os </w:t>
      </w:r>
      <w:r w:rsidRPr="009C56EC">
        <w:t>conhecimentos.</w:t>
      </w:r>
    </w:p>
    <w:p w:rsidR="002A6D9A" w:rsidRPr="009C56EC" w:rsidRDefault="002A6D9A" w:rsidP="002A6D9A">
      <w:pPr>
        <w:pStyle w:val="TM-0"/>
        <w:jc w:val="both"/>
      </w:pPr>
    </w:p>
    <w:p w:rsidR="002A6D9A" w:rsidRPr="009C56EC" w:rsidRDefault="00BE2C41" w:rsidP="00BE2C41">
      <w:pPr>
        <w:pStyle w:val="TM-1n"/>
        <w:numPr>
          <w:ilvl w:val="0"/>
          <w:numId w:val="0"/>
        </w:numPr>
        <w:shd w:val="clear" w:color="auto" w:fill="C6D9F1"/>
        <w:spacing w:before="120" w:after="0" w:line="276" w:lineRule="auto"/>
        <w:rPr>
          <w:bCs/>
          <w:caps/>
          <w:lang w:eastAsia="en-US"/>
        </w:rPr>
      </w:pPr>
      <w:r>
        <w:rPr>
          <w:bCs/>
          <w:caps/>
          <w:lang w:eastAsia="en-US"/>
        </w:rPr>
        <w:t xml:space="preserve">BLOCO 2: </w:t>
      </w:r>
      <w:r w:rsidR="002A6D9A" w:rsidRPr="009C56EC">
        <w:rPr>
          <w:bCs/>
          <w:caps/>
          <w:lang w:eastAsia="en-US"/>
        </w:rPr>
        <w:t>FARMACOLOGIA: CONCEITOS BÁSICOS</w:t>
      </w:r>
      <w:r w:rsidR="002A6D9A" w:rsidRPr="009C56EC">
        <w:rPr>
          <w:bCs/>
          <w:caps/>
          <w:lang w:eastAsia="en-US"/>
        </w:rPr>
        <w:tab/>
      </w:r>
    </w:p>
    <w:p w:rsidR="002A6D9A" w:rsidRPr="002A6D9A" w:rsidRDefault="002A6D9A" w:rsidP="00C52E09">
      <w:pPr>
        <w:numPr>
          <w:ilvl w:val="0"/>
          <w:numId w:val="151"/>
        </w:numPr>
        <w:spacing w:before="120" w:after="0"/>
        <w:ind w:left="446" w:hanging="446"/>
        <w:jc w:val="both"/>
        <w:rPr>
          <w:rFonts w:cs="Arial"/>
          <w:lang w:val="pt-BR"/>
        </w:rPr>
      </w:pPr>
      <w:r w:rsidRPr="002A6D9A">
        <w:rPr>
          <w:rFonts w:cs="Arial"/>
          <w:lang w:val="pt-BR"/>
        </w:rPr>
        <w:t xml:space="preserve">A farmacologia é a ciência que estuda as interacções que ocorrem  quando um organismo vivo é exposto a  substâncias químicas que afectam às suas funções bioquímicas. </w:t>
      </w:r>
    </w:p>
    <w:p w:rsidR="002A6D9A" w:rsidRPr="002A6D9A" w:rsidRDefault="002A6D9A" w:rsidP="00C52E09">
      <w:pPr>
        <w:numPr>
          <w:ilvl w:val="0"/>
          <w:numId w:val="151"/>
        </w:numPr>
        <w:spacing w:before="120" w:after="0"/>
        <w:ind w:left="446" w:hanging="446"/>
        <w:jc w:val="both"/>
        <w:rPr>
          <w:rFonts w:cs="Arial"/>
          <w:lang w:val="pt-BR"/>
        </w:rPr>
      </w:pPr>
      <w:r w:rsidRPr="002A6D9A">
        <w:rPr>
          <w:rFonts w:cs="Arial"/>
          <w:lang w:val="pt-BR"/>
        </w:rPr>
        <w:t>A farmacologia abrange diferentes assuntos nomeadamente: a composição e propriedades dos fármacos, as interacções entre dois ou mais fármacos, terapêutica (tratamento das diversas doenças), e toxicologia.</w:t>
      </w:r>
    </w:p>
    <w:p w:rsidR="002A6D9A" w:rsidRPr="002A6D9A" w:rsidRDefault="002A6D9A" w:rsidP="00C52E09">
      <w:pPr>
        <w:numPr>
          <w:ilvl w:val="0"/>
          <w:numId w:val="151"/>
        </w:numPr>
        <w:spacing w:before="120" w:after="0"/>
        <w:ind w:left="446" w:hanging="446"/>
        <w:jc w:val="both"/>
        <w:rPr>
          <w:rFonts w:cs="Arial"/>
          <w:lang w:val="pt-BR"/>
        </w:rPr>
      </w:pPr>
      <w:r w:rsidRPr="002A6D9A">
        <w:rPr>
          <w:rFonts w:cs="Arial"/>
          <w:lang w:val="pt-BR"/>
        </w:rPr>
        <w:t>As duas áreas principais da farmacologia são a farmacocinética e a farmacodinâmica.</w:t>
      </w:r>
    </w:p>
    <w:p w:rsidR="002A6D9A" w:rsidRPr="002A6D9A" w:rsidRDefault="002A6D9A" w:rsidP="00C52E09">
      <w:pPr>
        <w:numPr>
          <w:ilvl w:val="0"/>
          <w:numId w:val="151"/>
        </w:numPr>
        <w:spacing w:before="120" w:after="0"/>
        <w:ind w:left="446" w:hanging="446"/>
        <w:jc w:val="both"/>
        <w:rPr>
          <w:rFonts w:cs="Arial"/>
          <w:lang w:val="pt-BR"/>
        </w:rPr>
      </w:pPr>
      <w:r w:rsidRPr="002A6D9A">
        <w:rPr>
          <w:rFonts w:cs="Arial"/>
          <w:lang w:val="pt-BR"/>
        </w:rPr>
        <w:t>A farmacocinética estuda a absorção, distribuição, biotransformação e excreção das substâncias químicas utilizadas como fármacos.</w:t>
      </w:r>
    </w:p>
    <w:p w:rsidR="002A6D9A" w:rsidRPr="002A6D9A" w:rsidRDefault="002A6D9A" w:rsidP="00C52E09">
      <w:pPr>
        <w:numPr>
          <w:ilvl w:val="0"/>
          <w:numId w:val="151"/>
        </w:numPr>
        <w:spacing w:before="120" w:after="0"/>
        <w:ind w:left="446" w:hanging="446"/>
        <w:jc w:val="both"/>
        <w:rPr>
          <w:rFonts w:cs="Arial"/>
          <w:lang w:val="pt-BR"/>
        </w:rPr>
      </w:pPr>
      <w:r w:rsidRPr="002A6D9A">
        <w:rPr>
          <w:rFonts w:cs="Arial"/>
          <w:lang w:val="pt-BR"/>
        </w:rPr>
        <w:t>A farmacodinâmica estuda o que acontece ao organismo devido a acção dos fármacos. Isto é, local de acção, os seus mecanismos de acção, e a relação entre a concentração dum fármaco e o seu efeito.</w:t>
      </w:r>
    </w:p>
    <w:p w:rsidR="002A6D9A" w:rsidRPr="002A6D9A" w:rsidRDefault="002A6D9A" w:rsidP="00C52E09">
      <w:pPr>
        <w:numPr>
          <w:ilvl w:val="0"/>
          <w:numId w:val="151"/>
        </w:numPr>
        <w:spacing w:before="120" w:after="0"/>
        <w:ind w:left="446" w:hanging="446"/>
        <w:jc w:val="both"/>
        <w:rPr>
          <w:rFonts w:cs="Arial"/>
          <w:lang w:val="pt-BR"/>
        </w:rPr>
      </w:pPr>
      <w:r w:rsidRPr="002A6D9A">
        <w:rPr>
          <w:rFonts w:cs="Arial"/>
          <w:lang w:val="pt-BR"/>
        </w:rPr>
        <w:t xml:space="preserve">Droga – substância que é capaz de modificar a função dos organismos vivos, resultando em mudanças fisiológicas ou de comportamento. Se estas alterações forem benéficas, podemos denominar de </w:t>
      </w:r>
      <w:r w:rsidRPr="002A6D9A">
        <w:rPr>
          <w:rFonts w:cs="Arial"/>
          <w:b/>
          <w:lang w:val="pt-BR"/>
        </w:rPr>
        <w:t>fármaco</w:t>
      </w:r>
      <w:r w:rsidRPr="002A6D9A">
        <w:rPr>
          <w:rFonts w:cs="Arial"/>
          <w:lang w:val="pt-BR"/>
        </w:rPr>
        <w:t xml:space="preserve"> ou droga-medicamento ou apenas de medicamento. Se as alterações forem maléficas (prejudiciais ao organismo) chamamos de </w:t>
      </w:r>
      <w:r w:rsidRPr="002A6D9A">
        <w:rPr>
          <w:rFonts w:cs="Arial"/>
          <w:b/>
          <w:lang w:val="pt-BR"/>
        </w:rPr>
        <w:t xml:space="preserve">Tóxico </w:t>
      </w:r>
      <w:r w:rsidRPr="002A6D9A">
        <w:rPr>
          <w:rFonts w:cs="Arial"/>
          <w:lang w:val="pt-BR"/>
        </w:rPr>
        <w:t>ou droga-tóxico.</w:t>
      </w:r>
    </w:p>
    <w:p w:rsidR="002A6D9A" w:rsidRPr="002A6D9A" w:rsidRDefault="002A6D9A" w:rsidP="00C52E09">
      <w:pPr>
        <w:numPr>
          <w:ilvl w:val="0"/>
          <w:numId w:val="151"/>
        </w:numPr>
        <w:spacing w:before="120" w:after="0"/>
        <w:ind w:left="446" w:hanging="446"/>
        <w:jc w:val="both"/>
        <w:rPr>
          <w:rFonts w:cs="Arial"/>
          <w:lang w:val="pt-BR"/>
        </w:rPr>
      </w:pPr>
      <w:r w:rsidRPr="002A6D9A">
        <w:rPr>
          <w:rFonts w:cs="Arial"/>
          <w:lang w:val="pt-BR"/>
        </w:rPr>
        <w:t>Princípio activo – corresponde à substância (ou grupo de substâncias), responsável pela acção terapêutica, com composição química e acção farmacológica conhecidas.</w:t>
      </w:r>
    </w:p>
    <w:p w:rsidR="002A6D9A" w:rsidRPr="002A6D9A" w:rsidRDefault="002A6D9A" w:rsidP="00C52E09">
      <w:pPr>
        <w:numPr>
          <w:ilvl w:val="0"/>
          <w:numId w:val="151"/>
        </w:numPr>
        <w:spacing w:before="120" w:after="0"/>
        <w:ind w:left="446" w:hanging="446"/>
        <w:jc w:val="both"/>
        <w:rPr>
          <w:rFonts w:cs="Arial"/>
          <w:lang w:val="pt-BR"/>
        </w:rPr>
      </w:pPr>
      <w:r w:rsidRPr="002A6D9A">
        <w:rPr>
          <w:rFonts w:cs="Arial"/>
          <w:lang w:val="pt-BR"/>
        </w:rPr>
        <w:t>Efeito terapêutico – consiste na acção provocada pelo fármaco de acordo com o efeito desejado (cura, controlo da doença, entre outros)</w:t>
      </w:r>
    </w:p>
    <w:p w:rsidR="002A6D9A" w:rsidRPr="009C56EC" w:rsidRDefault="002A6D9A" w:rsidP="00C52E09">
      <w:pPr>
        <w:numPr>
          <w:ilvl w:val="0"/>
          <w:numId w:val="151"/>
        </w:numPr>
        <w:spacing w:before="120" w:after="0"/>
        <w:ind w:left="446" w:hanging="446"/>
        <w:jc w:val="both"/>
        <w:rPr>
          <w:rFonts w:cs="Arial"/>
        </w:rPr>
      </w:pPr>
      <w:r w:rsidRPr="002A6D9A">
        <w:rPr>
          <w:rFonts w:cs="Arial"/>
          <w:lang w:val="pt-BR"/>
        </w:rPr>
        <w:t xml:space="preserve">Efeito adverso – consiste na acção provocada pelo fármaco diferente do efeito planejado. </w:t>
      </w:r>
      <w:r>
        <w:rPr>
          <w:rFonts w:cs="Arial"/>
        </w:rPr>
        <w:t>Também é chamado de efeito colateral ou secundário.</w:t>
      </w:r>
    </w:p>
    <w:p w:rsidR="002A6D9A" w:rsidRPr="009C56EC" w:rsidRDefault="002A6D9A" w:rsidP="002A6D9A">
      <w:pPr>
        <w:pStyle w:val="TM-0"/>
        <w:jc w:val="both"/>
      </w:pPr>
    </w:p>
    <w:p w:rsidR="002A6D9A" w:rsidRPr="009C56EC" w:rsidRDefault="00BE2C41" w:rsidP="00BE2C41">
      <w:pPr>
        <w:pStyle w:val="TM-1n"/>
        <w:numPr>
          <w:ilvl w:val="0"/>
          <w:numId w:val="0"/>
        </w:numPr>
        <w:shd w:val="clear" w:color="auto" w:fill="C6D9F1"/>
        <w:spacing w:before="120" w:after="0" w:line="276" w:lineRule="auto"/>
        <w:rPr>
          <w:bCs/>
          <w:caps/>
          <w:lang w:eastAsia="en-US"/>
        </w:rPr>
      </w:pPr>
      <w:r>
        <w:rPr>
          <w:bCs/>
          <w:caps/>
          <w:lang w:eastAsia="en-US"/>
        </w:rPr>
        <w:t xml:space="preserve">BLOCO 3: </w:t>
      </w:r>
      <w:r w:rsidR="002A6D9A" w:rsidRPr="009C56EC">
        <w:rPr>
          <w:bCs/>
          <w:caps/>
          <w:lang w:eastAsia="en-US"/>
        </w:rPr>
        <w:t>FARMACOCINÉTICA: CONCEITOS BÁSICOS</w:t>
      </w:r>
      <w:r w:rsidR="002A6D9A" w:rsidRPr="009C56EC">
        <w:rPr>
          <w:bCs/>
          <w:caps/>
          <w:lang w:eastAsia="en-US"/>
        </w:rPr>
        <w:tab/>
      </w:r>
    </w:p>
    <w:p w:rsidR="002A6D9A" w:rsidRPr="002A6D9A" w:rsidRDefault="002A6D9A" w:rsidP="00C52E09">
      <w:pPr>
        <w:numPr>
          <w:ilvl w:val="0"/>
          <w:numId w:val="152"/>
        </w:numPr>
        <w:spacing w:before="120" w:after="0"/>
        <w:ind w:left="450" w:hanging="450"/>
        <w:jc w:val="both"/>
        <w:rPr>
          <w:rFonts w:cs="Arial"/>
          <w:lang w:val="pt-BR"/>
        </w:rPr>
      </w:pPr>
      <w:r w:rsidRPr="002A6D9A">
        <w:rPr>
          <w:rFonts w:cs="Arial"/>
          <w:lang w:val="pt-BR"/>
        </w:rPr>
        <w:t>A farmacocinética é a parte da farmacologia que estuda as etapas através dos  quais o fármaco sofre desde a sua administração até a sua eliminação. Isto é, a farmacocinética estuda o que acontece com um fármaco quando entra no corpo.</w:t>
      </w:r>
    </w:p>
    <w:p w:rsidR="002A6D9A" w:rsidRPr="009C56EC" w:rsidRDefault="002A6D9A" w:rsidP="00C52E09">
      <w:pPr>
        <w:numPr>
          <w:ilvl w:val="0"/>
          <w:numId w:val="152"/>
        </w:numPr>
        <w:spacing w:before="120" w:after="0"/>
        <w:ind w:left="450" w:hanging="450"/>
        <w:jc w:val="both"/>
        <w:rPr>
          <w:rFonts w:cs="Arial"/>
        </w:rPr>
      </w:pPr>
      <w:r w:rsidRPr="002A6D9A">
        <w:rPr>
          <w:rFonts w:cs="Arial"/>
          <w:lang w:val="pt-BR"/>
        </w:rPr>
        <w:t xml:space="preserve">Na farmacocinética existem uma série de parâmetros de grande utilidade através dos quais pode-se compreender o caminho percorrido por um fármaco dentro do organismo humano. </w:t>
      </w:r>
      <w:r w:rsidRPr="009C56EC">
        <w:rPr>
          <w:rFonts w:cs="Arial"/>
        </w:rPr>
        <w:t xml:space="preserve">Parâmetros a destacar: </w:t>
      </w:r>
    </w:p>
    <w:p w:rsidR="002A6D9A" w:rsidRPr="002A6D9A" w:rsidRDefault="002A6D9A" w:rsidP="00C52E09">
      <w:pPr>
        <w:numPr>
          <w:ilvl w:val="0"/>
          <w:numId w:val="153"/>
        </w:numPr>
        <w:spacing w:before="120" w:after="0"/>
        <w:ind w:left="1080" w:hanging="630"/>
        <w:jc w:val="both"/>
        <w:rPr>
          <w:rFonts w:cs="Arial"/>
          <w:lang w:val="pt-BR"/>
        </w:rPr>
      </w:pPr>
      <w:r w:rsidRPr="002A6D9A">
        <w:rPr>
          <w:rFonts w:cs="Arial"/>
          <w:b/>
          <w:i/>
          <w:lang w:val="pt-BR"/>
        </w:rPr>
        <w:t>Dose.</w:t>
      </w:r>
      <w:r w:rsidRPr="002A6D9A">
        <w:rPr>
          <w:rFonts w:cs="Arial"/>
          <w:lang w:val="pt-BR"/>
        </w:rPr>
        <w:t xml:space="preserve"> É a quantidade de fármaco que é administrada d</w:t>
      </w:r>
      <w:r w:rsidR="006225C7">
        <w:rPr>
          <w:rFonts w:cs="Arial"/>
          <w:lang w:val="pt-BR"/>
        </w:rPr>
        <w:t>e uma só vez ou durante um dia:</w:t>
      </w:r>
    </w:p>
    <w:p w:rsidR="002A6D9A" w:rsidRPr="009C56EC" w:rsidRDefault="002A6D9A" w:rsidP="00C52E09">
      <w:pPr>
        <w:pStyle w:val="TM-4n"/>
        <w:numPr>
          <w:ilvl w:val="0"/>
          <w:numId w:val="154"/>
        </w:numPr>
        <w:tabs>
          <w:tab w:val="clear" w:pos="1134"/>
        </w:tabs>
        <w:spacing w:before="120" w:after="0" w:line="276" w:lineRule="auto"/>
      </w:pPr>
      <w:r w:rsidRPr="009C56EC">
        <w:t xml:space="preserve">A dose de ataque </w:t>
      </w:r>
      <w:r>
        <w:t xml:space="preserve">consiste na dose única que é suficiente para elevar rapidamente a quantidade do fármaco no organismo </w:t>
      </w:r>
      <w:r w:rsidRPr="009C56EC">
        <w:t>com o objectivo de alcançar rapidamente os efeitos terapêuticos desejados</w:t>
      </w:r>
      <w:r>
        <w:t>. Na maioria dos casos, não há dose de ataque.</w:t>
      </w:r>
    </w:p>
    <w:p w:rsidR="002A6D9A" w:rsidRPr="009C56EC" w:rsidRDefault="002A6D9A" w:rsidP="00C52E09">
      <w:pPr>
        <w:pStyle w:val="TM-4n"/>
        <w:numPr>
          <w:ilvl w:val="0"/>
          <w:numId w:val="154"/>
        </w:numPr>
        <w:tabs>
          <w:tab w:val="clear" w:pos="1134"/>
        </w:tabs>
        <w:spacing w:before="120" w:after="0" w:line="276" w:lineRule="auto"/>
      </w:pPr>
      <w:r>
        <w:t>D</w:t>
      </w:r>
      <w:r w:rsidRPr="009C56EC">
        <w:t>ose de manutenção, que é a quantidade necessária para manter os efeitos conseguidos</w:t>
      </w:r>
      <w:r>
        <w:t xml:space="preserve"> (manter o estado de equilíbrio do fármaco no organismo)</w:t>
      </w:r>
      <w:r w:rsidRPr="009C56EC">
        <w:t xml:space="preserve">, através da </w:t>
      </w:r>
      <w:r w:rsidRPr="009C56EC">
        <w:lastRenderedPageBreak/>
        <w:t>administração duma certa quantidade de fármaco suficiente para substituir a quantidade de fármaco que foi eliminado (depurado) do organismo</w:t>
      </w:r>
      <w:r>
        <w:t xml:space="preserve"> desde a dose anterior</w:t>
      </w:r>
      <w:r w:rsidRPr="009C56EC">
        <w:t>.</w:t>
      </w:r>
    </w:p>
    <w:p w:rsidR="002A6D9A" w:rsidRDefault="002A6D9A" w:rsidP="00C52E09">
      <w:pPr>
        <w:pStyle w:val="TM-4n"/>
        <w:numPr>
          <w:ilvl w:val="0"/>
          <w:numId w:val="154"/>
        </w:numPr>
        <w:tabs>
          <w:tab w:val="clear" w:pos="1134"/>
        </w:tabs>
        <w:spacing w:before="120" w:after="0" w:line="276" w:lineRule="auto"/>
      </w:pPr>
      <w:r w:rsidRPr="009C56EC">
        <w:t>Alguns fármacos precisam de dose inicial de indução, que é mais baixa e serve para induzir a libertação de enzimas específicas para o seu metabolismo pelo organismo.</w:t>
      </w:r>
    </w:p>
    <w:p w:rsidR="002A6D9A" w:rsidRPr="009C56EC" w:rsidRDefault="002A6D9A" w:rsidP="00C52E09">
      <w:pPr>
        <w:pStyle w:val="TM-4n"/>
        <w:numPr>
          <w:ilvl w:val="0"/>
          <w:numId w:val="154"/>
        </w:numPr>
        <w:tabs>
          <w:tab w:val="clear" w:pos="1134"/>
        </w:tabs>
        <w:spacing w:before="120" w:after="0" w:line="276" w:lineRule="auto"/>
      </w:pPr>
      <w:r w:rsidRPr="009134C7">
        <w:rPr>
          <w:b/>
        </w:rPr>
        <w:t>Dosagem</w:t>
      </w:r>
      <w:r>
        <w:t xml:space="preserve"> – é a quantidade de fármaco activo que se administra de cada vez.</w:t>
      </w:r>
    </w:p>
    <w:p w:rsidR="002A6D9A" w:rsidRPr="002A6D9A" w:rsidRDefault="002A6D9A" w:rsidP="00C52E09">
      <w:pPr>
        <w:numPr>
          <w:ilvl w:val="0"/>
          <w:numId w:val="153"/>
        </w:numPr>
        <w:spacing w:before="120" w:after="0"/>
        <w:ind w:left="1080" w:hanging="630"/>
        <w:jc w:val="both"/>
        <w:rPr>
          <w:rFonts w:cs="Arial"/>
          <w:lang w:val="pt-BR"/>
        </w:rPr>
      </w:pPr>
      <w:r w:rsidRPr="002A6D9A">
        <w:rPr>
          <w:rFonts w:cs="Arial"/>
          <w:b/>
          <w:i/>
          <w:lang w:val="pt-BR"/>
        </w:rPr>
        <w:t>Concentração</w:t>
      </w:r>
      <w:r w:rsidRPr="002A6D9A">
        <w:rPr>
          <w:rFonts w:cs="Arial"/>
          <w:lang w:val="pt-BR"/>
        </w:rPr>
        <w:t>: É a quantidade de fármaco por unidade de volume (litro), que geralmente mede-se no plasma sanguíneo.</w:t>
      </w:r>
    </w:p>
    <w:p w:rsidR="002A6D9A" w:rsidRPr="009C56EC" w:rsidRDefault="002A6D9A" w:rsidP="00C52E09">
      <w:pPr>
        <w:pStyle w:val="TM-4n"/>
        <w:numPr>
          <w:ilvl w:val="0"/>
          <w:numId w:val="154"/>
        </w:numPr>
        <w:tabs>
          <w:tab w:val="clear" w:pos="1134"/>
        </w:tabs>
        <w:spacing w:before="120" w:after="0" w:line="276" w:lineRule="auto"/>
      </w:pPr>
      <w:r w:rsidRPr="009C56EC">
        <w:rPr>
          <w:i/>
        </w:rPr>
        <w:t>Concentração máxima</w:t>
      </w:r>
      <w:r w:rsidRPr="009C56EC">
        <w:t>: É a concentração máxima do fármaco depois da sua administração.</w:t>
      </w:r>
    </w:p>
    <w:p w:rsidR="002A6D9A" w:rsidRPr="009C56EC" w:rsidRDefault="002A6D9A" w:rsidP="00C52E09">
      <w:pPr>
        <w:pStyle w:val="TM-4n"/>
        <w:numPr>
          <w:ilvl w:val="0"/>
          <w:numId w:val="154"/>
        </w:numPr>
        <w:tabs>
          <w:tab w:val="clear" w:pos="1134"/>
        </w:tabs>
        <w:spacing w:before="120" w:after="0" w:line="276" w:lineRule="auto"/>
      </w:pPr>
      <w:r w:rsidRPr="009C56EC">
        <w:rPr>
          <w:i/>
        </w:rPr>
        <w:t>Concentração mínima</w:t>
      </w:r>
      <w:r w:rsidRPr="009C56EC">
        <w:t>: É a concentração mínima que o fármaco alcança antes da administração duma nova dose.</w:t>
      </w:r>
    </w:p>
    <w:p w:rsidR="002A6D9A" w:rsidRPr="002A6D9A" w:rsidRDefault="002A6D9A" w:rsidP="00C52E09">
      <w:pPr>
        <w:numPr>
          <w:ilvl w:val="0"/>
          <w:numId w:val="153"/>
        </w:numPr>
        <w:spacing w:before="120" w:after="0"/>
        <w:ind w:left="1080" w:hanging="630"/>
        <w:jc w:val="both"/>
        <w:rPr>
          <w:rFonts w:cs="Arial"/>
          <w:lang w:val="pt-BR"/>
        </w:rPr>
      </w:pPr>
      <w:r w:rsidRPr="002A6D9A">
        <w:rPr>
          <w:rFonts w:cs="Arial"/>
          <w:b/>
          <w:i/>
          <w:lang w:val="pt-BR"/>
        </w:rPr>
        <w:t>Volume de distribuição</w:t>
      </w:r>
      <w:r w:rsidRPr="002A6D9A">
        <w:rPr>
          <w:rFonts w:cs="Arial"/>
          <w:lang w:val="pt-BR"/>
        </w:rPr>
        <w:t>: É o volume no qual se distribui o fármaco depois de ser administrado e chegar aos seus tecidos-alvo. Relaciona a quantidade do fármaco no organismo com a concentração do fármaco no sangue ou plasma.</w:t>
      </w:r>
    </w:p>
    <w:p w:rsidR="002A6D9A" w:rsidRPr="002A6D9A" w:rsidRDefault="002A6D9A" w:rsidP="00C52E09">
      <w:pPr>
        <w:numPr>
          <w:ilvl w:val="0"/>
          <w:numId w:val="153"/>
        </w:numPr>
        <w:spacing w:before="120" w:after="0"/>
        <w:ind w:left="1080" w:hanging="630"/>
        <w:jc w:val="both"/>
        <w:rPr>
          <w:rFonts w:cs="Arial"/>
          <w:lang w:val="pt-BR"/>
        </w:rPr>
      </w:pPr>
      <w:r w:rsidRPr="002A6D9A">
        <w:rPr>
          <w:rFonts w:cs="Arial"/>
          <w:b/>
          <w:i/>
          <w:lang w:val="pt-BR"/>
        </w:rPr>
        <w:t>Vida média</w:t>
      </w:r>
      <w:r w:rsidRPr="002A6D9A">
        <w:rPr>
          <w:rFonts w:cs="Arial"/>
          <w:lang w:val="pt-BR"/>
        </w:rPr>
        <w:t>: É o tempo necessário para que a concentração inicial de fármaco diminua à metade.</w:t>
      </w:r>
    </w:p>
    <w:p w:rsidR="002A6D9A" w:rsidRPr="009C56EC" w:rsidRDefault="002A6D9A" w:rsidP="00C52E09">
      <w:pPr>
        <w:numPr>
          <w:ilvl w:val="0"/>
          <w:numId w:val="153"/>
        </w:numPr>
        <w:spacing w:before="120" w:after="0"/>
        <w:ind w:left="1080" w:hanging="630"/>
        <w:jc w:val="both"/>
        <w:rPr>
          <w:rFonts w:cs="Arial"/>
        </w:rPr>
      </w:pPr>
      <w:r w:rsidRPr="002A6D9A">
        <w:rPr>
          <w:rFonts w:cs="Arial"/>
          <w:b/>
          <w:i/>
          <w:lang w:val="pt-BR"/>
        </w:rPr>
        <w:t>Depuração</w:t>
      </w:r>
      <w:r w:rsidRPr="002A6D9A">
        <w:rPr>
          <w:rFonts w:cs="Arial"/>
          <w:lang w:val="pt-BR"/>
        </w:rPr>
        <w:t xml:space="preserve"> (também chamada </w:t>
      </w:r>
      <w:r w:rsidRPr="002A6D9A">
        <w:rPr>
          <w:rFonts w:cs="Arial"/>
          <w:i/>
          <w:lang w:val="pt-BR"/>
        </w:rPr>
        <w:t>clearance</w:t>
      </w:r>
      <w:r w:rsidRPr="002A6D9A">
        <w:rPr>
          <w:rFonts w:cs="Arial"/>
          <w:lang w:val="pt-BR"/>
        </w:rPr>
        <w:t xml:space="preserve">): É o volume de plasma depurado (livre) dum fármaco por unidade de tempo. </w:t>
      </w:r>
      <w:r w:rsidRPr="009C56EC">
        <w:rPr>
          <w:rFonts w:cs="Arial"/>
        </w:rPr>
        <w:t>Normalmente mede-se em mililitros por minuto.</w:t>
      </w:r>
    </w:p>
    <w:p w:rsidR="002A6D9A" w:rsidRDefault="002A6D9A" w:rsidP="00C52E09">
      <w:pPr>
        <w:numPr>
          <w:ilvl w:val="0"/>
          <w:numId w:val="153"/>
        </w:numPr>
        <w:spacing w:before="120" w:after="0"/>
        <w:ind w:left="1080" w:hanging="630"/>
        <w:jc w:val="both"/>
        <w:rPr>
          <w:rFonts w:cs="Arial"/>
          <w:lang w:val="pt-BR"/>
        </w:rPr>
      </w:pPr>
      <w:r w:rsidRPr="002A6D9A">
        <w:rPr>
          <w:rFonts w:cs="Arial"/>
          <w:b/>
          <w:i/>
          <w:lang w:val="pt-BR"/>
        </w:rPr>
        <w:t>Biodisponibilidade</w:t>
      </w:r>
      <w:r w:rsidRPr="002A6D9A">
        <w:rPr>
          <w:rFonts w:cs="Arial"/>
          <w:lang w:val="pt-BR"/>
        </w:rPr>
        <w:t>: É a percentagem do fármaco administrado que chega à corrente sanguínea sem ser modificado. No caso da injecção intravenosa, o seu valor é do 100%.</w:t>
      </w:r>
    </w:p>
    <w:p w:rsidR="006B444A" w:rsidRPr="002A6D9A" w:rsidRDefault="006B444A" w:rsidP="006B444A">
      <w:pPr>
        <w:spacing w:before="120" w:after="0"/>
        <w:ind w:left="1080"/>
        <w:jc w:val="both"/>
        <w:rPr>
          <w:rFonts w:cs="Arial"/>
          <w:lang w:val="pt-BR"/>
        </w:rPr>
      </w:pPr>
    </w:p>
    <w:p w:rsidR="002A6D9A" w:rsidRPr="00D137BC" w:rsidRDefault="00BE2C41" w:rsidP="00BE2C41">
      <w:pPr>
        <w:pStyle w:val="TM-1n"/>
        <w:numPr>
          <w:ilvl w:val="0"/>
          <w:numId w:val="0"/>
        </w:numPr>
        <w:shd w:val="clear" w:color="auto" w:fill="C6D9F1"/>
        <w:spacing w:before="120" w:after="0" w:line="276" w:lineRule="auto"/>
        <w:rPr>
          <w:bCs/>
          <w:caps/>
          <w:lang w:eastAsia="en-US"/>
        </w:rPr>
      </w:pPr>
      <w:r>
        <w:rPr>
          <w:bCs/>
          <w:caps/>
          <w:lang w:eastAsia="en-US"/>
        </w:rPr>
        <w:t xml:space="preserve">BLOCO 4: </w:t>
      </w:r>
      <w:r w:rsidR="002A6D9A">
        <w:rPr>
          <w:bCs/>
          <w:caps/>
          <w:lang w:eastAsia="en-US"/>
        </w:rPr>
        <w:t xml:space="preserve"> </w:t>
      </w:r>
      <w:r w:rsidR="002A6D9A" w:rsidRPr="00D137BC">
        <w:rPr>
          <w:bCs/>
          <w:caps/>
          <w:lang w:eastAsia="en-US"/>
        </w:rPr>
        <w:t>VIAS DE ADMINISTRAÇÃO</w:t>
      </w:r>
      <w:r w:rsidR="002A6D9A" w:rsidRPr="00D137BC">
        <w:rPr>
          <w:bCs/>
          <w:caps/>
          <w:lang w:eastAsia="en-US"/>
        </w:rPr>
        <w:tab/>
      </w:r>
    </w:p>
    <w:p w:rsidR="002A6D9A" w:rsidRDefault="002A6D9A" w:rsidP="00C52E09">
      <w:pPr>
        <w:numPr>
          <w:ilvl w:val="1"/>
          <w:numId w:val="156"/>
        </w:numPr>
        <w:spacing w:before="120" w:after="0"/>
        <w:ind w:left="540" w:hanging="450"/>
        <w:jc w:val="both"/>
        <w:rPr>
          <w:rFonts w:cs="Arial"/>
          <w:lang w:val="pt-BR"/>
        </w:rPr>
      </w:pPr>
      <w:r>
        <w:rPr>
          <w:rFonts w:cs="Arial"/>
          <w:lang w:val="pt-BR"/>
        </w:rPr>
        <w:t>Antes de abordar-se as quatro etapas do processo farmacocinético (absorção, distribuição, biotransformação e excreção), iremos abordar as vias de administração (introdução) dos fármacos.</w:t>
      </w:r>
    </w:p>
    <w:p w:rsidR="002A6D9A" w:rsidRPr="006A64B0" w:rsidRDefault="002A6D9A" w:rsidP="00C52E09">
      <w:pPr>
        <w:numPr>
          <w:ilvl w:val="1"/>
          <w:numId w:val="156"/>
        </w:numPr>
        <w:spacing w:before="120" w:after="0"/>
        <w:ind w:left="540" w:hanging="450"/>
        <w:jc w:val="both"/>
        <w:rPr>
          <w:rFonts w:cs="Arial"/>
          <w:lang w:val="pt-BR"/>
        </w:rPr>
      </w:pPr>
      <w:r w:rsidRPr="006A64B0">
        <w:rPr>
          <w:rFonts w:cs="Arial"/>
          <w:lang w:val="pt-BR"/>
        </w:rPr>
        <w:t>Em farmacologia, a via de administração é o caminho pelo qual o fármaco entra no organismo. Geralmente, se diferenciam três grandes categorias de vias de administração: tópica, entérica e parentérica.</w:t>
      </w:r>
    </w:p>
    <w:p w:rsidR="002A6D9A" w:rsidRPr="006A64B0" w:rsidRDefault="002A6D9A" w:rsidP="00C52E09">
      <w:pPr>
        <w:numPr>
          <w:ilvl w:val="1"/>
          <w:numId w:val="156"/>
        </w:numPr>
        <w:tabs>
          <w:tab w:val="left" w:pos="540"/>
        </w:tabs>
        <w:spacing w:before="120" w:after="0"/>
        <w:ind w:hanging="990"/>
        <w:jc w:val="both"/>
        <w:rPr>
          <w:rFonts w:cs="Arial"/>
          <w:lang w:val="pt-BR"/>
        </w:rPr>
      </w:pPr>
      <w:r w:rsidRPr="006A64B0">
        <w:rPr>
          <w:rFonts w:cs="Arial"/>
          <w:lang w:val="pt-BR"/>
        </w:rPr>
        <w:t>A via de administração utilizada dependerá de vários factores:</w:t>
      </w:r>
    </w:p>
    <w:p w:rsidR="002A6D9A" w:rsidRPr="006A64B0" w:rsidRDefault="002A6D9A" w:rsidP="00C52E09">
      <w:pPr>
        <w:numPr>
          <w:ilvl w:val="2"/>
          <w:numId w:val="156"/>
        </w:numPr>
        <w:spacing w:before="120" w:after="0"/>
        <w:ind w:left="1170" w:hanging="630"/>
        <w:jc w:val="both"/>
        <w:rPr>
          <w:rFonts w:cs="Arial"/>
          <w:lang w:val="pt-BR"/>
        </w:rPr>
      </w:pPr>
      <w:r w:rsidRPr="006A64B0">
        <w:rPr>
          <w:rFonts w:cs="Arial"/>
          <w:i/>
          <w:lang w:val="pt-BR"/>
        </w:rPr>
        <w:t>Características do fármaco</w:t>
      </w:r>
      <w:r w:rsidRPr="006A64B0">
        <w:rPr>
          <w:rFonts w:cs="Arial"/>
          <w:lang w:val="pt-BR"/>
        </w:rPr>
        <w:t>. Por exemplo, um fármaco pode ser mal absorvido no tracto gastrointestinal</w:t>
      </w:r>
      <w:r>
        <w:rPr>
          <w:rFonts w:cs="Arial"/>
          <w:lang w:val="pt-BR"/>
        </w:rPr>
        <w:t>, logo, não se pode administrar por uma via que passa do tracto gastrointestinal</w:t>
      </w:r>
      <w:r w:rsidRPr="006A64B0">
        <w:rPr>
          <w:rFonts w:cs="Arial"/>
          <w:lang w:val="pt-BR"/>
        </w:rPr>
        <w:t>.</w:t>
      </w:r>
    </w:p>
    <w:p w:rsidR="002A6D9A" w:rsidRPr="006A64B0" w:rsidRDefault="002A6D9A" w:rsidP="00C52E09">
      <w:pPr>
        <w:numPr>
          <w:ilvl w:val="2"/>
          <w:numId w:val="156"/>
        </w:numPr>
        <w:spacing w:before="120" w:after="0"/>
        <w:ind w:left="1170" w:hanging="630"/>
        <w:jc w:val="both"/>
        <w:rPr>
          <w:rFonts w:cs="Arial"/>
          <w:lang w:val="pt-BR"/>
        </w:rPr>
      </w:pPr>
      <w:r w:rsidRPr="006A64B0">
        <w:rPr>
          <w:rFonts w:cs="Arial"/>
          <w:i/>
          <w:lang w:val="pt-BR"/>
        </w:rPr>
        <w:t>Características do tecido-alvo</w:t>
      </w:r>
      <w:r w:rsidRPr="006A64B0">
        <w:rPr>
          <w:rFonts w:cs="Arial"/>
          <w:lang w:val="pt-BR"/>
        </w:rPr>
        <w:t>. Por exemplo, nem todos os fármacos têm a capacidade de atravessar a barreira hemato-encefálica (parede dos capilares sanguíneos no sistema nervoso central) para atingir o cérebro.</w:t>
      </w:r>
    </w:p>
    <w:p w:rsidR="002A6D9A" w:rsidRPr="006A64B0" w:rsidRDefault="002A6D9A" w:rsidP="00C52E09">
      <w:pPr>
        <w:numPr>
          <w:ilvl w:val="2"/>
          <w:numId w:val="156"/>
        </w:numPr>
        <w:spacing w:before="120" w:after="0"/>
        <w:ind w:left="1260"/>
        <w:jc w:val="both"/>
        <w:rPr>
          <w:rFonts w:cs="Arial"/>
          <w:lang w:val="pt-BR"/>
        </w:rPr>
      </w:pPr>
      <w:r w:rsidRPr="006A64B0">
        <w:rPr>
          <w:rFonts w:cs="Arial"/>
          <w:i/>
          <w:lang w:val="pt-BR"/>
        </w:rPr>
        <w:t>Características do paciente</w:t>
      </w:r>
      <w:r w:rsidRPr="006A64B0">
        <w:rPr>
          <w:rFonts w:cs="Arial"/>
          <w:lang w:val="pt-BR"/>
        </w:rPr>
        <w:t xml:space="preserve"> que recebe o tratamento. Um paciente pode ter tendência ao vómito, ou ter veias muito frágeis (que se perfuram facilmente, o que provoca inflamação local por infiltração do medicamento nos tecidos adjacentes).</w:t>
      </w:r>
    </w:p>
    <w:p w:rsidR="002A6D9A" w:rsidRPr="00D137BC" w:rsidRDefault="002A6D9A" w:rsidP="00C52E09">
      <w:pPr>
        <w:numPr>
          <w:ilvl w:val="1"/>
          <w:numId w:val="156"/>
        </w:numPr>
        <w:spacing w:before="120" w:after="0"/>
        <w:ind w:left="630" w:hanging="540"/>
        <w:jc w:val="both"/>
        <w:rPr>
          <w:rFonts w:cs="Arial"/>
        </w:rPr>
      </w:pPr>
      <w:r w:rsidRPr="006A64B0">
        <w:rPr>
          <w:rFonts w:cs="Arial"/>
          <w:b/>
          <w:i/>
          <w:lang w:val="pt-BR"/>
        </w:rPr>
        <w:t>Via tópica</w:t>
      </w:r>
      <w:r w:rsidRPr="006A64B0">
        <w:rPr>
          <w:rFonts w:cs="Arial"/>
          <w:lang w:val="pt-BR"/>
        </w:rPr>
        <w:t xml:space="preserve">: o fármaco é administrado localmente, e o seu efeito é também local. A substância farmacológica é aplicada na área onde o seu efeito é necessário. </w:t>
      </w:r>
      <w:r w:rsidRPr="00D137BC">
        <w:rPr>
          <w:rFonts w:cs="Arial"/>
        </w:rPr>
        <w:t>Entre outros pontos de aplicação tópica, pode-se considerar:</w:t>
      </w:r>
    </w:p>
    <w:p w:rsidR="002A6D9A" w:rsidRPr="006A64B0" w:rsidRDefault="002A6D9A" w:rsidP="00C52E09">
      <w:pPr>
        <w:numPr>
          <w:ilvl w:val="0"/>
          <w:numId w:val="157"/>
        </w:numPr>
        <w:spacing w:before="120" w:after="0"/>
        <w:jc w:val="both"/>
        <w:rPr>
          <w:rFonts w:cs="Arial"/>
          <w:lang w:val="pt-BR"/>
        </w:rPr>
      </w:pPr>
      <w:r w:rsidRPr="006A64B0">
        <w:rPr>
          <w:rFonts w:cs="Arial"/>
          <w:lang w:val="pt-BR"/>
        </w:rPr>
        <w:t>Aplicação cutânea, por exemplo cremes anti-micóticas, ou anestésicos local.</w:t>
      </w:r>
    </w:p>
    <w:p w:rsidR="002A6D9A" w:rsidRPr="006A64B0" w:rsidRDefault="002A6D9A" w:rsidP="00C52E09">
      <w:pPr>
        <w:numPr>
          <w:ilvl w:val="0"/>
          <w:numId w:val="157"/>
        </w:numPr>
        <w:spacing w:before="120" w:after="0"/>
        <w:jc w:val="both"/>
        <w:rPr>
          <w:rFonts w:cs="Arial"/>
          <w:lang w:val="pt-BR"/>
        </w:rPr>
      </w:pPr>
      <w:r w:rsidRPr="006A64B0">
        <w:rPr>
          <w:rFonts w:cs="Arial"/>
          <w:lang w:val="pt-BR"/>
        </w:rPr>
        <w:lastRenderedPageBreak/>
        <w:t>Gotas oculares, como antibióticos para algumas conjuntivites (inflamação da conjuntiva ocular) de origem infecciosa.</w:t>
      </w:r>
    </w:p>
    <w:p w:rsidR="002A6D9A" w:rsidRPr="006A64B0" w:rsidRDefault="002A6D9A" w:rsidP="00C52E09">
      <w:pPr>
        <w:numPr>
          <w:ilvl w:val="0"/>
          <w:numId w:val="157"/>
        </w:numPr>
        <w:spacing w:before="120" w:after="0"/>
        <w:jc w:val="both"/>
        <w:rPr>
          <w:rFonts w:cs="Arial"/>
          <w:lang w:val="pt-BR"/>
        </w:rPr>
      </w:pPr>
      <w:r w:rsidRPr="006A64B0">
        <w:rPr>
          <w:rFonts w:cs="Arial"/>
          <w:lang w:val="pt-BR"/>
        </w:rPr>
        <w:t>Gotas auriculares, como antibióticos para otites externas (inflamação do ouvido externo) de origem infecciosa.</w:t>
      </w:r>
    </w:p>
    <w:p w:rsidR="002A6D9A" w:rsidRPr="00D137BC" w:rsidRDefault="002A6D9A" w:rsidP="00C52E09">
      <w:pPr>
        <w:numPr>
          <w:ilvl w:val="1"/>
          <w:numId w:val="156"/>
        </w:numPr>
        <w:spacing w:before="120" w:after="0"/>
        <w:ind w:left="630" w:hanging="540"/>
        <w:jc w:val="both"/>
        <w:rPr>
          <w:rFonts w:cs="Arial"/>
        </w:rPr>
      </w:pPr>
      <w:r w:rsidRPr="006A64B0">
        <w:rPr>
          <w:rFonts w:cs="Arial"/>
          <w:b/>
          <w:i/>
          <w:lang w:val="pt-BR"/>
        </w:rPr>
        <w:t>Via entérica</w:t>
      </w:r>
      <w:r w:rsidRPr="006A64B0">
        <w:rPr>
          <w:rFonts w:cs="Arial"/>
          <w:lang w:val="pt-BR"/>
        </w:rPr>
        <w:t xml:space="preserve">: Nesta via, o fármaco é administrado através do tracto gastrointestinal. O fármaco vai ter efeitos sistémicos (em todo o organismo), mas também pode ter efeito local (fármacos que diminuem a motilidade no tratamento sintomático das diarreias). </w:t>
      </w:r>
      <w:r w:rsidRPr="00D137BC">
        <w:rPr>
          <w:rFonts w:cs="Arial"/>
        </w:rPr>
        <w:t>A via entérica inclui as seguintes:</w:t>
      </w:r>
    </w:p>
    <w:p w:rsidR="002A6D9A" w:rsidRDefault="002A6D9A" w:rsidP="00C52E09">
      <w:pPr>
        <w:numPr>
          <w:ilvl w:val="0"/>
          <w:numId w:val="158"/>
        </w:numPr>
        <w:spacing w:before="120" w:after="0"/>
        <w:jc w:val="both"/>
        <w:rPr>
          <w:rFonts w:cs="Arial"/>
          <w:lang w:val="pt-BR"/>
        </w:rPr>
      </w:pPr>
      <w:r w:rsidRPr="006A64B0">
        <w:rPr>
          <w:rFonts w:cs="Arial"/>
          <w:i/>
          <w:lang w:val="pt-BR"/>
        </w:rPr>
        <w:t>Via oral</w:t>
      </w:r>
      <w:r w:rsidRPr="006A64B0">
        <w:rPr>
          <w:rFonts w:cs="Arial"/>
          <w:lang w:val="pt-BR"/>
        </w:rPr>
        <w:t>, que é a via de administração mais frequente de uma grande variedade de fármacos.</w:t>
      </w:r>
      <w:r>
        <w:rPr>
          <w:rFonts w:cs="Arial"/>
          <w:lang w:val="pt-BR"/>
        </w:rPr>
        <w:t xml:space="preserve"> Os medicamentos são administrados na forma sólida (comprimidos, cápsulas) ou na forma de suspensão oral (xaropes).</w:t>
      </w:r>
    </w:p>
    <w:p w:rsidR="002A6D9A" w:rsidRPr="008D458D" w:rsidRDefault="002A6D9A" w:rsidP="00C52E09">
      <w:pPr>
        <w:numPr>
          <w:ilvl w:val="0"/>
          <w:numId w:val="158"/>
        </w:numPr>
        <w:spacing w:before="120" w:after="0"/>
        <w:jc w:val="both"/>
        <w:rPr>
          <w:rFonts w:cs="Arial"/>
          <w:lang w:val="pt-BR"/>
        </w:rPr>
      </w:pPr>
      <w:r w:rsidRPr="008D458D">
        <w:rPr>
          <w:rFonts w:cs="Arial"/>
          <w:i/>
          <w:lang w:val="pt-BR"/>
        </w:rPr>
        <w:t>Sonda nasogástrica</w:t>
      </w:r>
      <w:r w:rsidRPr="008D458D">
        <w:rPr>
          <w:rFonts w:cs="Arial"/>
          <w:lang w:val="pt-BR"/>
        </w:rPr>
        <w:t>, que é um tubo (sonda) introduzido através das fossas nasais, até atingir o estômago. É usado para pacientes que não são capazes de comerem ou tomarem medicamentos por via oral. Por exemplo, em alguns tratamentos para malnutrição grave, quando a criança não consegue comer.</w:t>
      </w:r>
    </w:p>
    <w:p w:rsidR="002A6D9A" w:rsidRPr="008D458D" w:rsidRDefault="002A6D9A" w:rsidP="00C52E09">
      <w:pPr>
        <w:numPr>
          <w:ilvl w:val="0"/>
          <w:numId w:val="158"/>
        </w:numPr>
        <w:spacing w:before="120" w:after="0"/>
        <w:jc w:val="both"/>
        <w:rPr>
          <w:rFonts w:cs="Arial"/>
          <w:lang w:val="pt-BR"/>
        </w:rPr>
      </w:pPr>
      <w:r w:rsidRPr="006A64B0">
        <w:rPr>
          <w:rFonts w:cs="Arial"/>
          <w:i/>
          <w:lang w:val="pt-BR"/>
        </w:rPr>
        <w:t>Via rectal</w:t>
      </w:r>
      <w:r w:rsidRPr="006A64B0">
        <w:rPr>
          <w:rFonts w:cs="Arial"/>
          <w:lang w:val="pt-BR"/>
        </w:rPr>
        <w:t xml:space="preserve">: o medicamento é introduzido através do ânus e depositado no recto. </w:t>
      </w:r>
      <w:r w:rsidRPr="008D458D">
        <w:rPr>
          <w:rFonts w:cs="Arial"/>
          <w:lang w:val="pt-BR"/>
        </w:rPr>
        <w:t>Os medicamentos são administrados em forma de supositórios.</w:t>
      </w:r>
    </w:p>
    <w:p w:rsidR="002A6D9A" w:rsidRPr="006A64B0" w:rsidRDefault="002A6D9A" w:rsidP="00C52E09">
      <w:pPr>
        <w:numPr>
          <w:ilvl w:val="1"/>
          <w:numId w:val="156"/>
        </w:numPr>
        <w:spacing w:before="120" w:after="0"/>
        <w:ind w:left="630" w:hanging="540"/>
        <w:jc w:val="both"/>
        <w:rPr>
          <w:rFonts w:cs="Arial"/>
          <w:lang w:val="pt-BR"/>
        </w:rPr>
      </w:pPr>
      <w:r w:rsidRPr="006A64B0">
        <w:rPr>
          <w:rFonts w:cs="Arial"/>
          <w:b/>
          <w:i/>
          <w:lang w:val="pt-BR"/>
        </w:rPr>
        <w:t>Via parenteral</w:t>
      </w:r>
      <w:r w:rsidRPr="006A64B0">
        <w:rPr>
          <w:rFonts w:cs="Arial"/>
          <w:lang w:val="pt-BR"/>
        </w:rPr>
        <w:t xml:space="preserve"> é também uma via de administração sistémica, sendo que o fármaco é introduzido no organismo sem utilizar </w:t>
      </w:r>
      <w:r>
        <w:rPr>
          <w:rFonts w:cs="Arial"/>
          <w:lang w:val="pt-BR"/>
        </w:rPr>
        <w:t>a via entérica</w:t>
      </w:r>
    </w:p>
    <w:p w:rsidR="002A6D9A" w:rsidRPr="006A64B0" w:rsidRDefault="002A6D9A" w:rsidP="00C52E09">
      <w:pPr>
        <w:numPr>
          <w:ilvl w:val="0"/>
          <w:numId w:val="159"/>
        </w:numPr>
        <w:spacing w:before="120" w:after="0"/>
        <w:jc w:val="both"/>
        <w:rPr>
          <w:rFonts w:cs="Arial"/>
          <w:lang w:val="pt-BR"/>
        </w:rPr>
      </w:pPr>
      <w:r w:rsidRPr="006A64B0">
        <w:rPr>
          <w:rFonts w:cs="Arial"/>
          <w:lang w:val="pt-BR"/>
        </w:rPr>
        <w:t>Muito frequentemente, a via parentérica envolve a injecção do fármaco. A injecção</w:t>
      </w:r>
      <w:r>
        <w:rPr>
          <w:rFonts w:cs="Arial"/>
          <w:lang w:val="pt-BR"/>
        </w:rPr>
        <w:t xml:space="preserve"> é um processo</w:t>
      </w:r>
      <w:r w:rsidRPr="006A64B0">
        <w:rPr>
          <w:rFonts w:cs="Arial"/>
          <w:lang w:val="pt-BR"/>
        </w:rPr>
        <w:t xml:space="preserve"> invasivo de introdução de fármacos sob a forma líquida no organismo, utilizando uma agulha para perfurar a pele e depositar o material contido na seringa ou num frasco de soro.</w:t>
      </w:r>
    </w:p>
    <w:p w:rsidR="002A6D9A" w:rsidRPr="006A64B0" w:rsidRDefault="002A6D9A" w:rsidP="00C52E09">
      <w:pPr>
        <w:numPr>
          <w:ilvl w:val="0"/>
          <w:numId w:val="159"/>
        </w:numPr>
        <w:spacing w:before="120" w:after="0"/>
        <w:jc w:val="both"/>
        <w:rPr>
          <w:rFonts w:cs="Arial"/>
          <w:lang w:val="pt-BR"/>
        </w:rPr>
      </w:pPr>
      <w:r w:rsidRPr="006A64B0">
        <w:rPr>
          <w:rFonts w:cs="Arial"/>
          <w:lang w:val="pt-BR"/>
        </w:rPr>
        <w:t>Entre os procedimentos mais utilizados estão:</w:t>
      </w:r>
    </w:p>
    <w:p w:rsidR="002A6D9A" w:rsidRPr="006A64B0" w:rsidRDefault="002A6D9A" w:rsidP="00C52E09">
      <w:pPr>
        <w:numPr>
          <w:ilvl w:val="0"/>
          <w:numId w:val="159"/>
        </w:numPr>
        <w:spacing w:before="120" w:after="0"/>
        <w:jc w:val="both"/>
        <w:rPr>
          <w:rFonts w:cs="Arial"/>
          <w:lang w:val="pt-BR"/>
        </w:rPr>
      </w:pPr>
      <w:r w:rsidRPr="006A64B0">
        <w:rPr>
          <w:rFonts w:cs="Arial"/>
          <w:i/>
          <w:lang w:val="pt-BR"/>
        </w:rPr>
        <w:t>A injecção intravenosa</w:t>
      </w:r>
      <w:r>
        <w:rPr>
          <w:rFonts w:cs="Arial"/>
          <w:lang w:val="pt-BR"/>
        </w:rPr>
        <w:t xml:space="preserve"> – directamente na veia,</w:t>
      </w:r>
      <w:r w:rsidRPr="006A64B0">
        <w:rPr>
          <w:rFonts w:cs="Arial"/>
          <w:lang w:val="pt-BR"/>
        </w:rPr>
        <w:t xml:space="preserve"> usada para uma grande variedade de fármacos, é muitas vezes para conseguir rapidamente o efeito desejado. A administração de fármacos por via intravenosa pode ser rápida, injectando o fármaco diluído num volume pequeno de solvente (por exemplo, diazepam ou morfina); ou pode ser mais lenta, com o fármaco diluído num volume maior, como no caso da quinina.</w:t>
      </w:r>
    </w:p>
    <w:p w:rsidR="002A6D9A" w:rsidRPr="008D458D" w:rsidRDefault="002A6D9A" w:rsidP="00C52E09">
      <w:pPr>
        <w:numPr>
          <w:ilvl w:val="0"/>
          <w:numId w:val="159"/>
        </w:numPr>
        <w:spacing w:before="120" w:after="0"/>
        <w:jc w:val="both"/>
        <w:rPr>
          <w:rFonts w:cs="Arial"/>
          <w:lang w:val="pt-BR"/>
        </w:rPr>
      </w:pPr>
      <w:r w:rsidRPr="006A64B0">
        <w:rPr>
          <w:rFonts w:cs="Arial"/>
          <w:i/>
          <w:lang w:val="pt-BR"/>
        </w:rPr>
        <w:t>A injecção intramuscular</w:t>
      </w:r>
      <w:r>
        <w:rPr>
          <w:rFonts w:cs="Arial"/>
          <w:i/>
          <w:lang w:val="pt-BR"/>
        </w:rPr>
        <w:t xml:space="preserve"> – </w:t>
      </w:r>
      <w:r w:rsidRPr="006A64B0">
        <w:rPr>
          <w:rFonts w:cs="Arial"/>
          <w:lang w:val="pt-BR"/>
        </w:rPr>
        <w:t xml:space="preserve">o fármaco é introduzido através duma injecção no músculo, onde é absorvido lentamente. Usada frequentemente para prolongar o efeito dum fármaco por meio duma única aplicação. </w:t>
      </w:r>
      <w:r w:rsidRPr="008D458D">
        <w:rPr>
          <w:rFonts w:cs="Arial"/>
          <w:lang w:val="pt-BR"/>
        </w:rPr>
        <w:t>Por exemplo, alguns antibióticos, como penicilina benzatínica ou kanamicina.</w:t>
      </w:r>
    </w:p>
    <w:p w:rsidR="002A6D9A" w:rsidRPr="006A64B0" w:rsidRDefault="002A6D9A" w:rsidP="00C52E09">
      <w:pPr>
        <w:numPr>
          <w:ilvl w:val="0"/>
          <w:numId w:val="159"/>
        </w:numPr>
        <w:spacing w:before="120" w:after="0"/>
        <w:jc w:val="both"/>
        <w:rPr>
          <w:rFonts w:cs="Arial"/>
          <w:lang w:val="pt-BR"/>
        </w:rPr>
      </w:pPr>
      <w:r w:rsidRPr="006A64B0">
        <w:rPr>
          <w:rFonts w:cs="Arial"/>
          <w:i/>
          <w:lang w:val="pt-BR"/>
        </w:rPr>
        <w:t>Injecção subcutânea</w:t>
      </w:r>
      <w:r w:rsidRPr="006A64B0">
        <w:rPr>
          <w:rFonts w:cs="Arial"/>
          <w:lang w:val="pt-BR"/>
        </w:rPr>
        <w:t>, usada para minimizar os riscos da injecção intravenosa repetitiva e retardar a absorção do fármaco, por exemplo insulina (utilizada no tratamento da diabetes). Usa-se também na administração de vacinas, como a</w:t>
      </w:r>
      <w:r>
        <w:rPr>
          <w:rFonts w:cs="Arial"/>
          <w:lang w:val="pt-BR"/>
        </w:rPr>
        <w:t xml:space="preserve"> vacina BCG (para a prevenção de formas graves da</w:t>
      </w:r>
      <w:r w:rsidRPr="006A64B0">
        <w:rPr>
          <w:rFonts w:cs="Arial"/>
          <w:lang w:val="pt-BR"/>
        </w:rPr>
        <w:t xml:space="preserve"> Tuberculose).</w:t>
      </w:r>
    </w:p>
    <w:p w:rsidR="002A6D9A" w:rsidRDefault="002A6D9A" w:rsidP="00C52E09">
      <w:pPr>
        <w:numPr>
          <w:ilvl w:val="0"/>
          <w:numId w:val="159"/>
        </w:numPr>
        <w:spacing w:before="120" w:after="0"/>
        <w:jc w:val="both"/>
        <w:rPr>
          <w:rFonts w:cs="Arial"/>
          <w:lang w:val="pt-BR"/>
        </w:rPr>
      </w:pPr>
      <w:r w:rsidRPr="006A64B0">
        <w:rPr>
          <w:rFonts w:cs="Arial"/>
          <w:i/>
          <w:lang w:val="pt-BR"/>
        </w:rPr>
        <w:t>Transmucosa</w:t>
      </w:r>
      <w:r w:rsidRPr="006A64B0">
        <w:rPr>
          <w:rFonts w:cs="Arial"/>
          <w:lang w:val="pt-BR"/>
        </w:rPr>
        <w:t>, especialmente sublingual. O tecido situado em baixo da língua tem muitos vasos sanguíneos, e os fármacos são absorvidos rapidamente e incorporados à circulação sanguínea.</w:t>
      </w:r>
    </w:p>
    <w:p w:rsidR="002A6D9A" w:rsidRPr="006A64B0" w:rsidRDefault="002A6D9A" w:rsidP="00C52E09">
      <w:pPr>
        <w:numPr>
          <w:ilvl w:val="0"/>
          <w:numId w:val="159"/>
        </w:numPr>
        <w:spacing w:before="120" w:after="0"/>
        <w:jc w:val="both"/>
        <w:rPr>
          <w:rFonts w:cs="Arial"/>
          <w:lang w:val="pt-BR"/>
        </w:rPr>
      </w:pPr>
      <w:r>
        <w:rPr>
          <w:rFonts w:cs="Arial"/>
          <w:i/>
          <w:lang w:val="pt-BR"/>
        </w:rPr>
        <w:t xml:space="preserve">Inalatória, </w:t>
      </w:r>
      <w:r>
        <w:rPr>
          <w:rFonts w:cs="Arial"/>
          <w:lang w:val="pt-BR"/>
        </w:rPr>
        <w:t>usa a via respiratória para a introdução do fármaco. Exemplo: inalação de salbutamol (medicamento para controlo da asma) ou inalação de anestésicos</w:t>
      </w:r>
    </w:p>
    <w:p w:rsidR="002A6D9A" w:rsidRDefault="002A6D9A" w:rsidP="002A6D9A">
      <w:pPr>
        <w:pStyle w:val="TM-0"/>
        <w:jc w:val="both"/>
        <w:rPr>
          <w:lang w:val="pt-BR"/>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71"/>
        <w:gridCol w:w="3029"/>
        <w:gridCol w:w="4694"/>
      </w:tblGrid>
      <w:tr w:rsidR="002A6D9A" w:rsidRPr="00BE2C41" w:rsidTr="0055505E">
        <w:trPr>
          <w:jc w:val="center"/>
        </w:trPr>
        <w:tc>
          <w:tcPr>
            <w:tcW w:w="1285" w:type="pct"/>
          </w:tcPr>
          <w:p w:rsidR="002A6D9A" w:rsidRPr="00BE2C41" w:rsidRDefault="002A6D9A" w:rsidP="002A6D9A">
            <w:pPr>
              <w:pStyle w:val="TM-0"/>
              <w:spacing w:after="0" w:line="276" w:lineRule="auto"/>
              <w:jc w:val="both"/>
              <w:rPr>
                <w:b/>
                <w:lang w:val="pt-BR"/>
              </w:rPr>
            </w:pPr>
            <w:r w:rsidRPr="00BE2C41">
              <w:rPr>
                <w:b/>
                <w:lang w:val="pt-BR"/>
              </w:rPr>
              <w:lastRenderedPageBreak/>
              <w:t>Via</w:t>
            </w:r>
          </w:p>
        </w:tc>
        <w:tc>
          <w:tcPr>
            <w:tcW w:w="1457" w:type="pct"/>
          </w:tcPr>
          <w:p w:rsidR="002A6D9A" w:rsidRPr="00BE2C41" w:rsidRDefault="002A6D9A" w:rsidP="002A6D9A">
            <w:pPr>
              <w:pStyle w:val="TM-0"/>
              <w:spacing w:after="0" w:line="276" w:lineRule="auto"/>
              <w:jc w:val="both"/>
              <w:rPr>
                <w:b/>
                <w:lang w:val="pt-BR"/>
              </w:rPr>
            </w:pPr>
            <w:r w:rsidRPr="00BE2C41">
              <w:rPr>
                <w:b/>
                <w:lang w:val="pt-BR"/>
              </w:rPr>
              <w:t>Biodisponibilidade (%)</w:t>
            </w:r>
          </w:p>
        </w:tc>
        <w:tc>
          <w:tcPr>
            <w:tcW w:w="2258" w:type="pct"/>
          </w:tcPr>
          <w:p w:rsidR="002A6D9A" w:rsidRPr="00BE2C41" w:rsidRDefault="002A6D9A" w:rsidP="002A6D9A">
            <w:pPr>
              <w:pStyle w:val="TM-0"/>
              <w:spacing w:after="0" w:line="276" w:lineRule="auto"/>
              <w:jc w:val="both"/>
              <w:rPr>
                <w:b/>
                <w:lang w:val="pt-BR"/>
              </w:rPr>
            </w:pPr>
            <w:r w:rsidRPr="00BE2C41">
              <w:rPr>
                <w:b/>
                <w:lang w:val="pt-BR"/>
              </w:rPr>
              <w:t>Características</w:t>
            </w:r>
          </w:p>
        </w:tc>
      </w:tr>
      <w:tr w:rsidR="002A6D9A" w:rsidRPr="001F0B63" w:rsidTr="0055505E">
        <w:trPr>
          <w:jc w:val="center"/>
        </w:trPr>
        <w:tc>
          <w:tcPr>
            <w:tcW w:w="1285" w:type="pct"/>
          </w:tcPr>
          <w:p w:rsidR="002A6D9A" w:rsidRPr="001F0B63" w:rsidRDefault="002A6D9A" w:rsidP="002A6D9A">
            <w:pPr>
              <w:pStyle w:val="TM-0"/>
              <w:spacing w:after="0" w:line="276" w:lineRule="auto"/>
              <w:jc w:val="both"/>
              <w:rPr>
                <w:lang w:val="pt-BR"/>
              </w:rPr>
            </w:pPr>
            <w:r w:rsidRPr="001F0B63">
              <w:rPr>
                <w:lang w:val="pt-BR"/>
              </w:rPr>
              <w:t>Intravenosa (IV) ou Endovenosa (EV)</w:t>
            </w:r>
          </w:p>
        </w:tc>
        <w:tc>
          <w:tcPr>
            <w:tcW w:w="1457" w:type="pct"/>
          </w:tcPr>
          <w:p w:rsidR="002A6D9A" w:rsidRPr="001F0B63" w:rsidRDefault="002A6D9A" w:rsidP="002A6D9A">
            <w:pPr>
              <w:pStyle w:val="TM-0"/>
              <w:spacing w:after="0" w:line="276" w:lineRule="auto"/>
              <w:jc w:val="both"/>
              <w:rPr>
                <w:lang w:val="pt-BR"/>
              </w:rPr>
            </w:pPr>
            <w:r w:rsidRPr="001F0B63">
              <w:rPr>
                <w:lang w:val="pt-BR"/>
              </w:rPr>
              <w:t>100 (por definição)</w:t>
            </w:r>
          </w:p>
        </w:tc>
        <w:tc>
          <w:tcPr>
            <w:tcW w:w="2258" w:type="pct"/>
          </w:tcPr>
          <w:p w:rsidR="002A6D9A" w:rsidRPr="001F0B63" w:rsidRDefault="002A6D9A" w:rsidP="002A6D9A">
            <w:pPr>
              <w:pStyle w:val="TM-0"/>
              <w:spacing w:after="0" w:line="276" w:lineRule="auto"/>
              <w:jc w:val="both"/>
              <w:rPr>
                <w:lang w:val="pt-BR"/>
              </w:rPr>
            </w:pPr>
            <w:r w:rsidRPr="001F0B63">
              <w:rPr>
                <w:lang w:val="pt-BR"/>
              </w:rPr>
              <w:t>Início mais rápido</w:t>
            </w:r>
          </w:p>
        </w:tc>
      </w:tr>
      <w:tr w:rsidR="002A6D9A" w:rsidRPr="00FC6E81" w:rsidTr="0055505E">
        <w:trPr>
          <w:jc w:val="center"/>
        </w:trPr>
        <w:tc>
          <w:tcPr>
            <w:tcW w:w="1285" w:type="pct"/>
          </w:tcPr>
          <w:p w:rsidR="002A6D9A" w:rsidRPr="001F0B63" w:rsidRDefault="002A6D9A" w:rsidP="002A6D9A">
            <w:pPr>
              <w:pStyle w:val="TM-0"/>
              <w:spacing w:after="0" w:line="276" w:lineRule="auto"/>
              <w:jc w:val="both"/>
              <w:rPr>
                <w:lang w:val="pt-BR"/>
              </w:rPr>
            </w:pPr>
            <w:r w:rsidRPr="001F0B63">
              <w:rPr>
                <w:lang w:val="pt-BR"/>
              </w:rPr>
              <w:t>Intramuscular (IM)</w:t>
            </w:r>
          </w:p>
        </w:tc>
        <w:tc>
          <w:tcPr>
            <w:tcW w:w="1457" w:type="pct"/>
          </w:tcPr>
          <w:p w:rsidR="002A6D9A" w:rsidRPr="001F0B63" w:rsidRDefault="002A6D9A" w:rsidP="002A6D9A">
            <w:pPr>
              <w:pStyle w:val="TM-0"/>
              <w:spacing w:after="0" w:line="276" w:lineRule="auto"/>
              <w:jc w:val="both"/>
              <w:rPr>
                <w:lang w:val="pt-BR"/>
              </w:rPr>
            </w:pPr>
            <w:r w:rsidRPr="001F0B63">
              <w:rPr>
                <w:lang w:val="pt-BR"/>
              </w:rPr>
              <w:t>75 a ≤ 100</w:t>
            </w:r>
          </w:p>
        </w:tc>
        <w:tc>
          <w:tcPr>
            <w:tcW w:w="2258" w:type="pct"/>
          </w:tcPr>
          <w:p w:rsidR="002A6D9A" w:rsidRPr="001F0B63" w:rsidRDefault="002A6D9A" w:rsidP="002A6D9A">
            <w:pPr>
              <w:pStyle w:val="TM-0"/>
              <w:spacing w:after="0" w:line="276" w:lineRule="auto"/>
              <w:jc w:val="both"/>
              <w:rPr>
                <w:lang w:val="pt-BR"/>
              </w:rPr>
            </w:pPr>
            <w:r w:rsidRPr="001F0B63">
              <w:rPr>
                <w:lang w:val="pt-BR"/>
              </w:rPr>
              <w:t>Grandes volumes frequentemente possíveis; pode ser dolorosa</w:t>
            </w:r>
          </w:p>
        </w:tc>
      </w:tr>
      <w:tr w:rsidR="002A6D9A" w:rsidRPr="00FC6E81" w:rsidTr="0055505E">
        <w:trPr>
          <w:jc w:val="center"/>
        </w:trPr>
        <w:tc>
          <w:tcPr>
            <w:tcW w:w="1285" w:type="pct"/>
          </w:tcPr>
          <w:p w:rsidR="002A6D9A" w:rsidRPr="001F0B63" w:rsidRDefault="002A6D9A" w:rsidP="002A6D9A">
            <w:pPr>
              <w:pStyle w:val="TM-0"/>
              <w:spacing w:after="0" w:line="276" w:lineRule="auto"/>
              <w:jc w:val="both"/>
              <w:rPr>
                <w:lang w:val="pt-BR"/>
              </w:rPr>
            </w:pPr>
            <w:r w:rsidRPr="001F0B63">
              <w:rPr>
                <w:lang w:val="pt-BR"/>
              </w:rPr>
              <w:t>Subcutânea (SC)</w:t>
            </w:r>
          </w:p>
        </w:tc>
        <w:tc>
          <w:tcPr>
            <w:tcW w:w="1457" w:type="pct"/>
          </w:tcPr>
          <w:p w:rsidR="002A6D9A" w:rsidRPr="001F0B63" w:rsidRDefault="002A6D9A" w:rsidP="002A6D9A">
            <w:pPr>
              <w:pStyle w:val="TM-0"/>
              <w:spacing w:after="0" w:line="276" w:lineRule="auto"/>
              <w:jc w:val="both"/>
              <w:rPr>
                <w:lang w:val="pt-BR"/>
              </w:rPr>
            </w:pPr>
            <w:r w:rsidRPr="001F0B63">
              <w:rPr>
                <w:lang w:val="pt-BR"/>
              </w:rPr>
              <w:t>75 a ≤ 100</w:t>
            </w:r>
          </w:p>
        </w:tc>
        <w:tc>
          <w:tcPr>
            <w:tcW w:w="2258" w:type="pct"/>
          </w:tcPr>
          <w:p w:rsidR="002A6D9A" w:rsidRPr="001F0B63" w:rsidRDefault="002A6D9A" w:rsidP="002A6D9A">
            <w:pPr>
              <w:pStyle w:val="TM-0"/>
              <w:spacing w:after="0" w:line="276" w:lineRule="auto"/>
              <w:jc w:val="both"/>
              <w:rPr>
                <w:lang w:val="pt-BR"/>
              </w:rPr>
            </w:pPr>
            <w:r w:rsidRPr="001F0B63">
              <w:rPr>
                <w:lang w:val="pt-BR"/>
              </w:rPr>
              <w:t>Menores volumes que a IM; pode ser dolorosa</w:t>
            </w:r>
          </w:p>
        </w:tc>
      </w:tr>
      <w:tr w:rsidR="002A6D9A" w:rsidRPr="00FC6E81" w:rsidTr="0055505E">
        <w:trPr>
          <w:jc w:val="center"/>
        </w:trPr>
        <w:tc>
          <w:tcPr>
            <w:tcW w:w="1285" w:type="pct"/>
          </w:tcPr>
          <w:p w:rsidR="002A6D9A" w:rsidRPr="001F0B63" w:rsidRDefault="002A6D9A" w:rsidP="002A6D9A">
            <w:pPr>
              <w:pStyle w:val="TM-0"/>
              <w:spacing w:after="0" w:line="276" w:lineRule="auto"/>
              <w:jc w:val="both"/>
              <w:rPr>
                <w:lang w:val="pt-BR"/>
              </w:rPr>
            </w:pPr>
            <w:r w:rsidRPr="001F0B63">
              <w:rPr>
                <w:lang w:val="pt-BR"/>
              </w:rPr>
              <w:t>Oral (O)</w:t>
            </w:r>
          </w:p>
        </w:tc>
        <w:tc>
          <w:tcPr>
            <w:tcW w:w="1457" w:type="pct"/>
          </w:tcPr>
          <w:p w:rsidR="002A6D9A" w:rsidRPr="001F0B63" w:rsidRDefault="002A6D9A" w:rsidP="002A6D9A">
            <w:pPr>
              <w:pStyle w:val="TM-0"/>
              <w:spacing w:after="0" w:line="276" w:lineRule="auto"/>
              <w:jc w:val="both"/>
              <w:rPr>
                <w:lang w:val="pt-BR"/>
              </w:rPr>
            </w:pPr>
            <w:r w:rsidRPr="001F0B63">
              <w:rPr>
                <w:lang w:val="pt-BR"/>
              </w:rPr>
              <w:t>5 a &lt; 100</w:t>
            </w:r>
          </w:p>
        </w:tc>
        <w:tc>
          <w:tcPr>
            <w:tcW w:w="2258" w:type="pct"/>
          </w:tcPr>
          <w:p w:rsidR="002A6D9A" w:rsidRPr="001F0B63" w:rsidRDefault="002A6D9A" w:rsidP="002A6D9A">
            <w:pPr>
              <w:pStyle w:val="TM-0"/>
              <w:spacing w:after="0" w:line="276" w:lineRule="auto"/>
              <w:jc w:val="both"/>
              <w:rPr>
                <w:lang w:val="pt-BR"/>
              </w:rPr>
            </w:pPr>
            <w:r w:rsidRPr="001F0B63">
              <w:rPr>
                <w:lang w:val="pt-BR"/>
              </w:rPr>
              <w:t>Mais conveniente; o efeito de 1ª passagem pode ser significativo</w:t>
            </w:r>
          </w:p>
        </w:tc>
      </w:tr>
      <w:tr w:rsidR="002A6D9A" w:rsidRPr="00FC6E81" w:rsidTr="0055505E">
        <w:trPr>
          <w:jc w:val="center"/>
        </w:trPr>
        <w:tc>
          <w:tcPr>
            <w:tcW w:w="1285" w:type="pct"/>
          </w:tcPr>
          <w:p w:rsidR="002A6D9A" w:rsidRPr="001F0B63" w:rsidRDefault="002A6D9A" w:rsidP="002A6D9A">
            <w:pPr>
              <w:pStyle w:val="TM-0"/>
              <w:spacing w:after="0" w:line="276" w:lineRule="auto"/>
              <w:jc w:val="both"/>
              <w:rPr>
                <w:lang w:val="pt-BR"/>
              </w:rPr>
            </w:pPr>
            <w:r w:rsidRPr="001F0B63">
              <w:rPr>
                <w:lang w:val="pt-BR"/>
              </w:rPr>
              <w:t>Rectal (VR)</w:t>
            </w:r>
          </w:p>
        </w:tc>
        <w:tc>
          <w:tcPr>
            <w:tcW w:w="1457" w:type="pct"/>
          </w:tcPr>
          <w:p w:rsidR="002A6D9A" w:rsidRPr="001F0B63" w:rsidRDefault="002A6D9A" w:rsidP="002A6D9A">
            <w:pPr>
              <w:pStyle w:val="TM-0"/>
              <w:spacing w:after="0" w:line="276" w:lineRule="auto"/>
              <w:jc w:val="both"/>
              <w:rPr>
                <w:lang w:val="pt-BR"/>
              </w:rPr>
            </w:pPr>
            <w:r w:rsidRPr="001F0B63">
              <w:rPr>
                <w:lang w:val="pt-BR"/>
              </w:rPr>
              <w:t>30 a &lt; 100</w:t>
            </w:r>
          </w:p>
        </w:tc>
        <w:tc>
          <w:tcPr>
            <w:tcW w:w="2258" w:type="pct"/>
          </w:tcPr>
          <w:p w:rsidR="002A6D9A" w:rsidRPr="001F0B63" w:rsidRDefault="002A6D9A" w:rsidP="002A6D9A">
            <w:pPr>
              <w:pStyle w:val="TM-0"/>
              <w:spacing w:after="0" w:line="276" w:lineRule="auto"/>
              <w:jc w:val="both"/>
              <w:rPr>
                <w:lang w:val="pt-BR"/>
              </w:rPr>
            </w:pPr>
            <w:r w:rsidRPr="001F0B63">
              <w:rPr>
                <w:lang w:val="pt-BR"/>
              </w:rPr>
              <w:t>Menos efeito de 1ª passagem que a via oral</w:t>
            </w:r>
          </w:p>
        </w:tc>
      </w:tr>
      <w:tr w:rsidR="002A6D9A" w:rsidRPr="001F0B63" w:rsidTr="0055505E">
        <w:trPr>
          <w:jc w:val="center"/>
        </w:trPr>
        <w:tc>
          <w:tcPr>
            <w:tcW w:w="1285" w:type="pct"/>
          </w:tcPr>
          <w:p w:rsidR="002A6D9A" w:rsidRPr="001F0B63" w:rsidRDefault="002A6D9A" w:rsidP="002A6D9A">
            <w:pPr>
              <w:pStyle w:val="TM-0"/>
              <w:spacing w:after="0" w:line="276" w:lineRule="auto"/>
              <w:jc w:val="both"/>
              <w:rPr>
                <w:lang w:val="pt-BR"/>
              </w:rPr>
            </w:pPr>
            <w:r w:rsidRPr="001F0B63">
              <w:rPr>
                <w:lang w:val="pt-BR"/>
              </w:rPr>
              <w:t>Inalação</w:t>
            </w:r>
          </w:p>
        </w:tc>
        <w:tc>
          <w:tcPr>
            <w:tcW w:w="1457" w:type="pct"/>
          </w:tcPr>
          <w:p w:rsidR="002A6D9A" w:rsidRPr="001F0B63" w:rsidRDefault="002A6D9A" w:rsidP="002A6D9A">
            <w:pPr>
              <w:pStyle w:val="TM-0"/>
              <w:spacing w:after="0" w:line="276" w:lineRule="auto"/>
              <w:jc w:val="both"/>
              <w:rPr>
                <w:lang w:val="pt-BR"/>
              </w:rPr>
            </w:pPr>
            <w:r w:rsidRPr="001F0B63">
              <w:rPr>
                <w:lang w:val="pt-BR"/>
              </w:rPr>
              <w:t>5 a &lt; 100</w:t>
            </w:r>
          </w:p>
        </w:tc>
        <w:tc>
          <w:tcPr>
            <w:tcW w:w="2258" w:type="pct"/>
          </w:tcPr>
          <w:p w:rsidR="002A6D9A" w:rsidRPr="001F0B63" w:rsidRDefault="002A6D9A" w:rsidP="002A6D9A">
            <w:pPr>
              <w:pStyle w:val="TM-0"/>
              <w:spacing w:after="0" w:line="276" w:lineRule="auto"/>
              <w:jc w:val="both"/>
              <w:rPr>
                <w:lang w:val="pt-BR"/>
              </w:rPr>
            </w:pPr>
            <w:r w:rsidRPr="001F0B63">
              <w:rPr>
                <w:lang w:val="pt-BR"/>
              </w:rPr>
              <w:t>Início frequentemente bastante rápido</w:t>
            </w:r>
          </w:p>
        </w:tc>
      </w:tr>
    </w:tbl>
    <w:p w:rsidR="002A6D9A" w:rsidRDefault="002A6D9A" w:rsidP="002A6D9A">
      <w:pPr>
        <w:pStyle w:val="TM-0"/>
        <w:spacing w:after="0"/>
        <w:jc w:val="both"/>
        <w:rPr>
          <w:lang w:val="pt-BR"/>
        </w:rPr>
      </w:pPr>
    </w:p>
    <w:p w:rsidR="0055505E" w:rsidRPr="006A64B0" w:rsidRDefault="0055505E" w:rsidP="002A6D9A">
      <w:pPr>
        <w:pStyle w:val="TM-0"/>
        <w:spacing w:after="0"/>
        <w:jc w:val="both"/>
        <w:rPr>
          <w:lang w:val="pt-BR"/>
        </w:rPr>
      </w:pPr>
    </w:p>
    <w:p w:rsidR="002A6D9A" w:rsidRPr="009C56EC" w:rsidRDefault="00BE2C41" w:rsidP="00BE2C41">
      <w:pPr>
        <w:pStyle w:val="TM-1n"/>
        <w:numPr>
          <w:ilvl w:val="0"/>
          <w:numId w:val="0"/>
        </w:numPr>
        <w:shd w:val="clear" w:color="auto" w:fill="C6D9F1"/>
        <w:spacing w:before="120" w:after="0" w:line="276" w:lineRule="auto"/>
        <w:rPr>
          <w:bCs/>
          <w:caps/>
          <w:lang w:eastAsia="en-US"/>
        </w:rPr>
      </w:pPr>
      <w:r>
        <w:rPr>
          <w:bCs/>
          <w:caps/>
          <w:lang w:eastAsia="en-US"/>
        </w:rPr>
        <w:t>BLOCO 5:</w:t>
      </w:r>
      <w:r w:rsidR="002A6D9A" w:rsidRPr="009C56EC">
        <w:rPr>
          <w:bCs/>
          <w:caps/>
          <w:lang w:eastAsia="en-US"/>
        </w:rPr>
        <w:t xml:space="preserve"> ETAPAS DO PROCESSO FARMACOCINÉTICO</w:t>
      </w:r>
      <w:r w:rsidR="002A6D9A" w:rsidRPr="009C56EC">
        <w:rPr>
          <w:bCs/>
          <w:caps/>
          <w:lang w:eastAsia="en-US"/>
        </w:rPr>
        <w:tab/>
      </w:r>
    </w:p>
    <w:p w:rsidR="002A6D9A" w:rsidRPr="002A6D9A" w:rsidRDefault="002A6D9A" w:rsidP="00C52E09">
      <w:pPr>
        <w:numPr>
          <w:ilvl w:val="1"/>
          <w:numId w:val="160"/>
        </w:numPr>
        <w:spacing w:before="120" w:after="0"/>
        <w:ind w:left="450" w:hanging="450"/>
        <w:jc w:val="both"/>
        <w:rPr>
          <w:rFonts w:cs="Arial"/>
          <w:lang w:val="pt-BR"/>
        </w:rPr>
      </w:pPr>
      <w:r w:rsidRPr="002A6D9A">
        <w:rPr>
          <w:rFonts w:cs="Arial"/>
          <w:lang w:val="pt-BR"/>
        </w:rPr>
        <w:t>O processo farmacocinético está dividido em quatro etapas, nomeadamente: absorção, distribuição, biotransformação e excreção.</w:t>
      </w:r>
    </w:p>
    <w:p w:rsidR="002A6D9A" w:rsidRPr="002A6D9A" w:rsidRDefault="002A6D9A" w:rsidP="006225C7">
      <w:pPr>
        <w:tabs>
          <w:tab w:val="left" w:pos="90"/>
        </w:tabs>
        <w:spacing w:before="120" w:after="0"/>
        <w:jc w:val="both"/>
        <w:rPr>
          <w:rFonts w:cs="Arial"/>
          <w:lang w:val="pt-BR"/>
        </w:rPr>
      </w:pPr>
      <w:r w:rsidRPr="009B700B">
        <w:rPr>
          <w:rFonts w:cs="Arial"/>
          <w:b/>
          <w:lang w:val="pt-BR"/>
        </w:rPr>
        <w:t>5.2</w:t>
      </w:r>
      <w:r w:rsidRPr="002A6D9A">
        <w:rPr>
          <w:rFonts w:cs="Arial"/>
          <w:b/>
          <w:i/>
          <w:lang w:val="pt-BR"/>
        </w:rPr>
        <w:t xml:space="preserve"> Absorção</w:t>
      </w:r>
      <w:r w:rsidRPr="002A6D9A">
        <w:rPr>
          <w:rFonts w:cs="Arial"/>
          <w:lang w:val="pt-BR"/>
        </w:rPr>
        <w:t>: É a primeira etapa que um fármaco sofre no organismo. Consiste na passagem do fármaco do local onde foi administrado (introduzido no organismo) para a corrente sanguínea.</w:t>
      </w:r>
    </w:p>
    <w:p w:rsidR="002A6D9A" w:rsidRPr="002A6D9A" w:rsidRDefault="002A6D9A" w:rsidP="00C52E09">
      <w:pPr>
        <w:numPr>
          <w:ilvl w:val="2"/>
          <w:numId w:val="161"/>
        </w:numPr>
        <w:spacing w:before="120" w:after="0"/>
        <w:ind w:left="1350" w:hanging="810"/>
        <w:jc w:val="both"/>
        <w:rPr>
          <w:rFonts w:cs="Arial"/>
          <w:lang w:val="pt-BR"/>
        </w:rPr>
      </w:pPr>
      <w:r w:rsidRPr="002A6D9A">
        <w:rPr>
          <w:rFonts w:cs="Arial"/>
          <w:lang w:val="pt-BR"/>
        </w:rPr>
        <w:t>A absorção varia dependendo da via de administração.</w:t>
      </w:r>
    </w:p>
    <w:p w:rsidR="002A6D9A" w:rsidRPr="002A6D9A" w:rsidRDefault="002A6D9A" w:rsidP="00C52E09">
      <w:pPr>
        <w:numPr>
          <w:ilvl w:val="2"/>
          <w:numId w:val="161"/>
        </w:numPr>
        <w:spacing w:before="120" w:after="0"/>
        <w:ind w:left="1350" w:hanging="810"/>
        <w:jc w:val="both"/>
        <w:rPr>
          <w:rFonts w:cs="Arial"/>
          <w:lang w:val="pt-BR"/>
        </w:rPr>
      </w:pPr>
      <w:r w:rsidRPr="002A6D9A">
        <w:rPr>
          <w:rFonts w:cs="Arial"/>
          <w:lang w:val="pt-BR"/>
        </w:rPr>
        <w:t>A absorção é um elemento importante no tratamento, uma vez que praticamente quase todos os fármacos (com a excepção dos fármacos administrados pela via endovenosa) precisam ser absorvidos para o sangue, para ser distribuídos até alcançar os tecidos alvos onde vão actuar.</w:t>
      </w:r>
    </w:p>
    <w:p w:rsidR="002A6D9A" w:rsidRPr="002A6D9A" w:rsidRDefault="002A6D9A" w:rsidP="00C52E09">
      <w:pPr>
        <w:numPr>
          <w:ilvl w:val="2"/>
          <w:numId w:val="161"/>
        </w:numPr>
        <w:spacing w:before="120" w:after="0"/>
        <w:ind w:left="1350" w:hanging="810"/>
        <w:jc w:val="both"/>
        <w:rPr>
          <w:rFonts w:cs="Arial"/>
          <w:lang w:val="pt-BR"/>
        </w:rPr>
      </w:pPr>
      <w:r w:rsidRPr="002A6D9A">
        <w:rPr>
          <w:rFonts w:cs="Arial"/>
          <w:lang w:val="pt-BR"/>
        </w:rPr>
        <w:t>Os fármacos administrados por via enteral (oral) têm uma absorção variável, e a absorção do fármaco não é completa (≠ de 100%). A percentagem de absorção dependerá muitas vezes das condições de acidez do estômago, e também da presença ou não de alimentos.</w:t>
      </w:r>
    </w:p>
    <w:p w:rsidR="002A6D9A" w:rsidRPr="002A6D9A" w:rsidRDefault="002A6D9A" w:rsidP="00C52E09">
      <w:pPr>
        <w:numPr>
          <w:ilvl w:val="2"/>
          <w:numId w:val="161"/>
        </w:numPr>
        <w:spacing w:before="120" w:after="0"/>
        <w:ind w:left="1440" w:hanging="900"/>
        <w:jc w:val="both"/>
        <w:rPr>
          <w:rFonts w:cs="Arial"/>
          <w:lang w:val="pt-BR"/>
        </w:rPr>
      </w:pPr>
      <w:r w:rsidRPr="002A6D9A">
        <w:rPr>
          <w:rFonts w:cs="Arial"/>
          <w:lang w:val="pt-BR"/>
        </w:rPr>
        <w:t>Um outro fenómeno que condiciona a quantidade de fármaco que chega ao organismo após a administração enteral, é o chamado metabolismo de primeira passagem. Os fármacos absorvidos no tracto gastrointestinal passam primeiramente pelo fígado antes de serem distribuídos pela circulação sistémica. As doses de alguns fármacos, como lidocaína (um anestésico) ou propanolol (um beta-bloqueador), ficam muito reduzidas por causa do metabolismo hepático. Para evitar o efeito do metabolismo de primeira passagem, utilizam-se vias de administração que introduzem o fármaco directamente na circulação sistémica, como as vias intravenosa, intramuscular, inalatória ou sublingual.</w:t>
      </w:r>
    </w:p>
    <w:p w:rsidR="002A6D9A" w:rsidRPr="002A6D9A" w:rsidRDefault="002A6D9A" w:rsidP="00C52E09">
      <w:pPr>
        <w:numPr>
          <w:ilvl w:val="2"/>
          <w:numId w:val="161"/>
        </w:numPr>
        <w:spacing w:before="120" w:after="0"/>
        <w:ind w:left="1350" w:hanging="810"/>
        <w:jc w:val="both"/>
        <w:rPr>
          <w:rFonts w:cs="Arial"/>
          <w:lang w:val="pt-BR"/>
        </w:rPr>
      </w:pPr>
      <w:r w:rsidRPr="002A6D9A">
        <w:rPr>
          <w:rFonts w:cs="Arial"/>
          <w:lang w:val="pt-BR"/>
        </w:rPr>
        <w:t>Os fármacos administrados por via parenteral intravenosa, a absorção é praticamente de 100% do fármaco administrado, porque os medicamentos são administrados directamente no sangue.</w:t>
      </w:r>
    </w:p>
    <w:p w:rsidR="002A6D9A" w:rsidRPr="002A6D9A" w:rsidRDefault="002A6D9A" w:rsidP="00C52E09">
      <w:pPr>
        <w:numPr>
          <w:ilvl w:val="1"/>
          <w:numId w:val="161"/>
        </w:numPr>
        <w:spacing w:before="120" w:after="0"/>
        <w:ind w:left="450" w:hanging="540"/>
        <w:jc w:val="both"/>
        <w:rPr>
          <w:rFonts w:cs="Arial"/>
          <w:lang w:val="pt-BR"/>
        </w:rPr>
      </w:pPr>
      <w:r w:rsidRPr="002A6D9A">
        <w:rPr>
          <w:rFonts w:cs="Arial"/>
          <w:b/>
          <w:i/>
          <w:lang w:val="pt-BR"/>
        </w:rPr>
        <w:t>Distribuição</w:t>
      </w:r>
      <w:r w:rsidRPr="002A6D9A">
        <w:rPr>
          <w:rFonts w:cs="Arial"/>
          <w:lang w:val="pt-BR"/>
        </w:rPr>
        <w:t>: Consiste na transferência do fármaco desde a corrente sanguínea para os fluidos intracelular e intersticial (espaço entre as células). Existem vários factores que influenciam na distribuição de um fármaco.</w:t>
      </w:r>
    </w:p>
    <w:p w:rsidR="002A6D9A" w:rsidRPr="002A6D9A" w:rsidRDefault="002A6D9A" w:rsidP="00C52E09">
      <w:pPr>
        <w:numPr>
          <w:ilvl w:val="2"/>
          <w:numId w:val="161"/>
        </w:numPr>
        <w:spacing w:before="120" w:after="0"/>
        <w:ind w:left="540" w:firstLine="0"/>
        <w:jc w:val="both"/>
        <w:rPr>
          <w:rFonts w:cs="Arial"/>
          <w:lang w:val="pt-BR"/>
        </w:rPr>
      </w:pPr>
      <w:r w:rsidRPr="002A6D9A">
        <w:rPr>
          <w:rFonts w:cs="Arial"/>
          <w:lang w:val="pt-BR"/>
        </w:rPr>
        <w:t>Os fármacos lipossolúveis (solúveis em lípidos) atravessam melhor as membranas celulares, e portanto tem uma melhor distribuição.</w:t>
      </w:r>
    </w:p>
    <w:p w:rsidR="002A6D9A" w:rsidRPr="002A6D9A" w:rsidRDefault="002A6D9A" w:rsidP="00C52E09">
      <w:pPr>
        <w:numPr>
          <w:ilvl w:val="2"/>
          <w:numId w:val="161"/>
        </w:numPr>
        <w:spacing w:before="120" w:after="0"/>
        <w:ind w:left="1440" w:hanging="900"/>
        <w:jc w:val="both"/>
        <w:rPr>
          <w:rFonts w:cs="Arial"/>
          <w:lang w:val="pt-BR"/>
        </w:rPr>
      </w:pPr>
      <w:r w:rsidRPr="002A6D9A">
        <w:rPr>
          <w:rFonts w:cs="Arial"/>
          <w:lang w:val="pt-BR"/>
        </w:rPr>
        <w:t>Os órgãos com maior vascularização, como fígado, coração, ou rins, recebem uma maior quantidade de fármaco do que os órgãos pouco irrigados, como o músculo ou tecido adiposo.</w:t>
      </w:r>
    </w:p>
    <w:p w:rsidR="002A6D9A" w:rsidRPr="009C56EC" w:rsidRDefault="002A6D9A" w:rsidP="00C52E09">
      <w:pPr>
        <w:numPr>
          <w:ilvl w:val="1"/>
          <w:numId w:val="161"/>
        </w:numPr>
        <w:spacing w:before="120" w:after="0"/>
        <w:ind w:left="450" w:hanging="540"/>
        <w:jc w:val="both"/>
        <w:rPr>
          <w:rFonts w:cs="Arial"/>
        </w:rPr>
      </w:pPr>
      <w:r w:rsidRPr="002A6D9A">
        <w:rPr>
          <w:rFonts w:cs="Arial"/>
          <w:b/>
          <w:i/>
          <w:lang w:val="pt-BR"/>
        </w:rPr>
        <w:lastRenderedPageBreak/>
        <w:t>Biotransformação</w:t>
      </w:r>
      <w:r w:rsidRPr="002A6D9A">
        <w:rPr>
          <w:rFonts w:cs="Arial"/>
          <w:lang w:val="pt-BR"/>
        </w:rPr>
        <w:t xml:space="preserve">: Consiste na modificação bioquímica dos fármacos. </w:t>
      </w:r>
      <w:r w:rsidRPr="009C56EC">
        <w:rPr>
          <w:rFonts w:cs="Arial"/>
        </w:rPr>
        <w:t>Geralmente é realizada por sistemas enzimáticos especializados.</w:t>
      </w:r>
    </w:p>
    <w:p w:rsidR="002A6D9A" w:rsidRPr="002A6D9A" w:rsidRDefault="002A6D9A" w:rsidP="00C52E09">
      <w:pPr>
        <w:numPr>
          <w:ilvl w:val="2"/>
          <w:numId w:val="161"/>
        </w:numPr>
        <w:spacing w:before="120" w:after="0"/>
        <w:ind w:left="1440" w:hanging="900"/>
        <w:jc w:val="both"/>
        <w:rPr>
          <w:rFonts w:cs="Arial"/>
          <w:lang w:val="pt-BR"/>
        </w:rPr>
      </w:pPr>
      <w:r w:rsidRPr="002A6D9A">
        <w:rPr>
          <w:rFonts w:cs="Arial"/>
          <w:lang w:val="pt-BR"/>
        </w:rPr>
        <w:t>A biotransformação pode afectar aos fármacos de diversas maneiras:</w:t>
      </w:r>
    </w:p>
    <w:p w:rsidR="002A6D9A" w:rsidRPr="009C56EC" w:rsidRDefault="002A6D9A" w:rsidP="00C52E09">
      <w:pPr>
        <w:pStyle w:val="TM-4n"/>
        <w:numPr>
          <w:ilvl w:val="0"/>
          <w:numId w:val="154"/>
        </w:numPr>
        <w:tabs>
          <w:tab w:val="clear" w:pos="1134"/>
        </w:tabs>
        <w:spacing w:before="120" w:after="0" w:line="276" w:lineRule="auto"/>
      </w:pPr>
      <w:r w:rsidRPr="009C56EC">
        <w:t>Activação;</w:t>
      </w:r>
    </w:p>
    <w:p w:rsidR="002A6D9A" w:rsidRPr="009C56EC" w:rsidRDefault="002A6D9A" w:rsidP="00C52E09">
      <w:pPr>
        <w:pStyle w:val="TM-4n"/>
        <w:numPr>
          <w:ilvl w:val="0"/>
          <w:numId w:val="154"/>
        </w:numPr>
        <w:tabs>
          <w:tab w:val="clear" w:pos="1134"/>
        </w:tabs>
        <w:spacing w:before="120" w:after="0" w:line="276" w:lineRule="auto"/>
      </w:pPr>
      <w:r w:rsidRPr="009C56EC">
        <w:t>Inactivação;</w:t>
      </w:r>
    </w:p>
    <w:p w:rsidR="002A6D9A" w:rsidRPr="009C56EC" w:rsidRDefault="002A6D9A" w:rsidP="00C52E09">
      <w:pPr>
        <w:pStyle w:val="TM-4n"/>
        <w:numPr>
          <w:ilvl w:val="0"/>
          <w:numId w:val="154"/>
        </w:numPr>
        <w:tabs>
          <w:tab w:val="clear" w:pos="1134"/>
        </w:tabs>
        <w:spacing w:before="120" w:after="0" w:line="276" w:lineRule="auto"/>
      </w:pPr>
      <w:r w:rsidRPr="009C56EC">
        <w:t>Decomposição em produtos que serão mais tarde eliminados.</w:t>
      </w:r>
    </w:p>
    <w:p w:rsidR="002A6D9A" w:rsidRPr="002A6D9A" w:rsidRDefault="002A6D9A" w:rsidP="00C52E09">
      <w:pPr>
        <w:numPr>
          <w:ilvl w:val="2"/>
          <w:numId w:val="161"/>
        </w:numPr>
        <w:tabs>
          <w:tab w:val="left" w:pos="1440"/>
        </w:tabs>
        <w:spacing w:before="120" w:after="0"/>
        <w:ind w:left="1530" w:hanging="990"/>
        <w:jc w:val="both"/>
        <w:rPr>
          <w:rFonts w:cs="Arial"/>
          <w:lang w:val="pt-BR"/>
        </w:rPr>
      </w:pPr>
      <w:r w:rsidRPr="002A6D9A">
        <w:rPr>
          <w:rFonts w:cs="Arial"/>
          <w:lang w:val="pt-BR"/>
        </w:rPr>
        <w:t>O órgão mais importante na biotransformação de fármacos é o fígado. Também faz-se a transformação de fármacos no tracto gastrointestinal, rins, pulmões e pele.</w:t>
      </w:r>
    </w:p>
    <w:p w:rsidR="002A6D9A" w:rsidRPr="002A6D9A" w:rsidRDefault="002A6D9A" w:rsidP="00C52E09">
      <w:pPr>
        <w:numPr>
          <w:ilvl w:val="2"/>
          <w:numId w:val="161"/>
        </w:numPr>
        <w:spacing w:before="120" w:after="0"/>
        <w:ind w:left="1440" w:hanging="900"/>
        <w:jc w:val="both"/>
        <w:rPr>
          <w:rFonts w:cs="Arial"/>
          <w:lang w:val="pt-BR"/>
        </w:rPr>
      </w:pPr>
      <w:r w:rsidRPr="002A6D9A">
        <w:rPr>
          <w:rFonts w:cs="Arial"/>
          <w:lang w:val="pt-BR"/>
        </w:rPr>
        <w:t>Existem factores fisiológicos e patológicos que afectam à biotransformação. Entre os factores fisiológicos estão a idade, a variação genética entre indivíduos, a flora intestinal e o sexo. As doenças hepáticas, renais e cardíacas também têm influência sobre a biotransformação.</w:t>
      </w:r>
    </w:p>
    <w:p w:rsidR="002A6D9A" w:rsidRPr="002A6D9A" w:rsidRDefault="002A6D9A" w:rsidP="00C52E09">
      <w:pPr>
        <w:numPr>
          <w:ilvl w:val="2"/>
          <w:numId w:val="161"/>
        </w:numPr>
        <w:spacing w:before="120" w:after="0"/>
        <w:ind w:left="1440" w:hanging="900"/>
        <w:jc w:val="both"/>
        <w:rPr>
          <w:rFonts w:cs="Arial"/>
          <w:lang w:val="pt-BR"/>
        </w:rPr>
      </w:pPr>
      <w:r w:rsidRPr="002A6D9A">
        <w:rPr>
          <w:rFonts w:cs="Arial"/>
          <w:lang w:val="pt-BR"/>
        </w:rPr>
        <w:t>Geralmente, os factores que aumentam o metabolismo dum fármaco vão diminuir a duração e a intensidade do seu efeito. Por exemplo, a ingestão de álcool estimula o metabolismo hepático, e portanto deverá ser evitada durante muitos tratamentos médicos.</w:t>
      </w:r>
    </w:p>
    <w:p w:rsidR="002A6D9A" w:rsidRPr="002A6D9A" w:rsidRDefault="002A6D9A" w:rsidP="00C52E09">
      <w:pPr>
        <w:numPr>
          <w:ilvl w:val="1"/>
          <w:numId w:val="161"/>
        </w:numPr>
        <w:spacing w:before="120" w:after="0"/>
        <w:ind w:left="450" w:hanging="540"/>
        <w:jc w:val="both"/>
        <w:rPr>
          <w:rFonts w:cs="Arial"/>
          <w:lang w:val="pt-BR"/>
        </w:rPr>
      </w:pPr>
      <w:r w:rsidRPr="002A6D9A">
        <w:rPr>
          <w:rFonts w:cs="Arial"/>
          <w:b/>
          <w:i/>
          <w:lang w:val="pt-BR"/>
        </w:rPr>
        <w:t>Excreção</w:t>
      </w:r>
      <w:r w:rsidRPr="002A6D9A">
        <w:rPr>
          <w:rFonts w:cs="Arial"/>
          <w:lang w:val="pt-BR"/>
        </w:rPr>
        <w:t>: É o processo de expulsão de produtos do metabolismo dos fármacos e outros materiais que devem ser eliminados do organismo.</w:t>
      </w:r>
    </w:p>
    <w:p w:rsidR="002A6D9A" w:rsidRPr="002A6D9A" w:rsidRDefault="002A6D9A" w:rsidP="00C52E09">
      <w:pPr>
        <w:numPr>
          <w:ilvl w:val="2"/>
          <w:numId w:val="161"/>
        </w:numPr>
        <w:spacing w:before="120" w:after="0"/>
        <w:ind w:left="1440" w:hanging="900"/>
        <w:jc w:val="both"/>
        <w:rPr>
          <w:rFonts w:cs="Arial"/>
          <w:lang w:val="pt-BR"/>
        </w:rPr>
      </w:pPr>
      <w:r w:rsidRPr="002A6D9A">
        <w:rPr>
          <w:rFonts w:cs="Arial"/>
          <w:lang w:val="pt-BR"/>
        </w:rPr>
        <w:t xml:space="preserve">Geralmente, os rins são os principais órgãos responsáveis da excreção de metabolitos. A capacidade do rim para eliminar substâncias pode-se medir através da determinação da depuração ou </w:t>
      </w:r>
      <w:r w:rsidRPr="002A6D9A">
        <w:rPr>
          <w:rFonts w:cs="Arial"/>
          <w:i/>
          <w:lang w:val="pt-BR"/>
        </w:rPr>
        <w:t>clearance</w:t>
      </w:r>
      <w:r w:rsidRPr="002A6D9A">
        <w:rPr>
          <w:rFonts w:cs="Arial"/>
          <w:lang w:val="pt-BR"/>
        </w:rPr>
        <w:t xml:space="preserve"> dessa substância.</w:t>
      </w:r>
    </w:p>
    <w:p w:rsidR="002A6D9A" w:rsidRPr="002A6D9A" w:rsidRDefault="002A6D9A" w:rsidP="00C52E09">
      <w:pPr>
        <w:numPr>
          <w:ilvl w:val="2"/>
          <w:numId w:val="161"/>
        </w:numPr>
        <w:spacing w:before="120" w:after="0"/>
        <w:ind w:left="1440" w:hanging="900"/>
        <w:jc w:val="both"/>
        <w:rPr>
          <w:rFonts w:cs="Arial"/>
          <w:lang w:val="pt-BR"/>
        </w:rPr>
      </w:pPr>
      <w:r w:rsidRPr="002A6D9A">
        <w:rPr>
          <w:rFonts w:cs="Arial"/>
          <w:lang w:val="pt-BR"/>
        </w:rPr>
        <w:t>Outros órgãos envolvidos na excreção de metabolitos são fígado (através da bílis), tracto gastrointestinal (fezes), pele (suor) e pulmões (dióxido de carbono da respiração).</w:t>
      </w:r>
    </w:p>
    <w:p w:rsidR="002A6D9A" w:rsidRDefault="002A6D9A" w:rsidP="00C52E09">
      <w:pPr>
        <w:numPr>
          <w:ilvl w:val="2"/>
          <w:numId w:val="161"/>
        </w:numPr>
        <w:spacing w:before="120" w:after="0"/>
        <w:ind w:left="1440" w:hanging="900"/>
        <w:jc w:val="both"/>
        <w:rPr>
          <w:rFonts w:cs="Arial"/>
          <w:lang w:val="pt-BR"/>
        </w:rPr>
      </w:pPr>
      <w:r w:rsidRPr="002A6D9A">
        <w:rPr>
          <w:rFonts w:cs="Arial"/>
          <w:lang w:val="pt-BR"/>
        </w:rPr>
        <w:t>A excreção dum fármaco pode ser influenciada pela administração de outros fármacos, e também por doenças hepáticas, cardíacas e especialmente renais.</w:t>
      </w:r>
    </w:p>
    <w:p w:rsidR="006225C7" w:rsidRPr="002A6D9A" w:rsidRDefault="006225C7" w:rsidP="006225C7">
      <w:pPr>
        <w:spacing w:before="120" w:after="0"/>
        <w:ind w:left="1440"/>
        <w:jc w:val="both"/>
        <w:rPr>
          <w:rFonts w:cs="Arial"/>
          <w:lang w:val="pt-BR"/>
        </w:rPr>
      </w:pPr>
    </w:p>
    <w:p w:rsidR="002A6D9A" w:rsidRPr="00D137BC" w:rsidRDefault="00BE2C41" w:rsidP="00BE2C41">
      <w:pPr>
        <w:pStyle w:val="TM-1n"/>
        <w:numPr>
          <w:ilvl w:val="0"/>
          <w:numId w:val="0"/>
        </w:numPr>
        <w:shd w:val="clear" w:color="auto" w:fill="C6D9F1"/>
        <w:spacing w:before="120" w:after="0" w:line="276" w:lineRule="auto"/>
        <w:rPr>
          <w:bCs/>
          <w:caps/>
          <w:lang w:eastAsia="en-US"/>
        </w:rPr>
      </w:pPr>
      <w:r>
        <w:rPr>
          <w:bCs/>
          <w:caps/>
          <w:lang w:eastAsia="en-US"/>
        </w:rPr>
        <w:t xml:space="preserve">BLOCO 6: </w:t>
      </w:r>
      <w:r w:rsidR="002A6D9A" w:rsidRPr="00D137BC">
        <w:rPr>
          <w:bCs/>
          <w:caps/>
          <w:lang w:eastAsia="en-US"/>
        </w:rPr>
        <w:t>Pontos-Chave</w:t>
      </w:r>
      <w:r w:rsidR="002A6D9A" w:rsidRPr="00D137BC">
        <w:rPr>
          <w:bCs/>
          <w:caps/>
          <w:lang w:eastAsia="en-US"/>
        </w:rPr>
        <w:tab/>
      </w:r>
    </w:p>
    <w:p w:rsidR="002A6D9A" w:rsidRDefault="002A6D9A" w:rsidP="00C52E09">
      <w:pPr>
        <w:numPr>
          <w:ilvl w:val="0"/>
          <w:numId w:val="155"/>
        </w:numPr>
        <w:spacing w:before="120" w:after="0"/>
        <w:ind w:left="446" w:hanging="446"/>
        <w:jc w:val="both"/>
        <w:rPr>
          <w:rFonts w:cs="Arial"/>
          <w:lang w:val="pt-BR"/>
        </w:rPr>
      </w:pPr>
      <w:r w:rsidRPr="002A6D9A">
        <w:rPr>
          <w:rFonts w:cs="Arial"/>
          <w:lang w:val="pt-BR"/>
        </w:rPr>
        <w:t xml:space="preserve">A farmacologia é a ciência que estuda as interacções que ocorrem  quando um organismo vivo é exposto a  substâncias químicas que afectam às suas funções bioquímicas. </w:t>
      </w:r>
      <w:r w:rsidRPr="009C56EC">
        <w:rPr>
          <w:rFonts w:cs="Arial"/>
        </w:rPr>
        <w:t>As substâncias que têm propriedades medicinais são chamadas fármacos.</w:t>
      </w:r>
    </w:p>
    <w:p w:rsidR="002A6D9A" w:rsidRDefault="002A6D9A" w:rsidP="00C52E09">
      <w:pPr>
        <w:numPr>
          <w:ilvl w:val="0"/>
          <w:numId w:val="155"/>
        </w:numPr>
        <w:spacing w:before="120" w:after="0"/>
        <w:ind w:left="446" w:hanging="446"/>
        <w:jc w:val="both"/>
        <w:rPr>
          <w:rFonts w:cs="Arial"/>
          <w:lang w:val="pt-BR"/>
        </w:rPr>
      </w:pPr>
      <w:r w:rsidRPr="002A6D9A">
        <w:rPr>
          <w:rFonts w:cs="Arial"/>
          <w:lang w:val="pt-BR"/>
        </w:rPr>
        <w:t>A farmacocinética estuda a absorção, distribuição, biotransformação e excreção das substâncias químicas utilizadas como fármacos</w:t>
      </w:r>
    </w:p>
    <w:p w:rsidR="002A6D9A" w:rsidRPr="00876206" w:rsidRDefault="002A6D9A" w:rsidP="00C52E09">
      <w:pPr>
        <w:numPr>
          <w:ilvl w:val="0"/>
          <w:numId w:val="155"/>
        </w:numPr>
        <w:spacing w:before="120" w:after="0"/>
        <w:ind w:left="446" w:hanging="446"/>
        <w:jc w:val="both"/>
        <w:rPr>
          <w:rFonts w:cs="Arial"/>
          <w:lang w:val="pt-BR"/>
        </w:rPr>
      </w:pPr>
      <w:r w:rsidRPr="00876206">
        <w:rPr>
          <w:rFonts w:cs="Arial"/>
          <w:lang w:val="pt-BR"/>
        </w:rPr>
        <w:t>Existem três grandes categorias de vias de administração: tópica, entérica e parentérica</w:t>
      </w:r>
      <w:r>
        <w:rPr>
          <w:rFonts w:cs="Arial"/>
          <w:lang w:val="pt-BR"/>
        </w:rPr>
        <w:t>, em que a escolha da via depende das características do fármaco, do tecido alvo e do estado clínico do paciente</w:t>
      </w:r>
      <w:r w:rsidRPr="00876206">
        <w:rPr>
          <w:rFonts w:cs="Arial"/>
          <w:lang w:val="pt-BR"/>
        </w:rPr>
        <w:t>.</w:t>
      </w:r>
    </w:p>
    <w:p w:rsidR="002A6D9A" w:rsidRPr="00553D4C" w:rsidRDefault="002A6D9A" w:rsidP="00C52E09">
      <w:pPr>
        <w:numPr>
          <w:ilvl w:val="0"/>
          <w:numId w:val="155"/>
        </w:numPr>
        <w:spacing w:before="120" w:after="0"/>
        <w:ind w:left="446" w:hanging="446"/>
        <w:jc w:val="both"/>
        <w:rPr>
          <w:rFonts w:cs="Arial"/>
          <w:lang w:val="pt-BR"/>
        </w:rPr>
      </w:pPr>
      <w:r w:rsidRPr="00553D4C">
        <w:rPr>
          <w:rFonts w:cs="Arial"/>
          <w:lang w:val="pt-BR"/>
        </w:rPr>
        <w:t>A dose é a quantidade de fármaco que é administrada a um paciente</w:t>
      </w:r>
      <w:r>
        <w:rPr>
          <w:rFonts w:cs="Arial"/>
          <w:lang w:val="pt-BR"/>
        </w:rPr>
        <w:t xml:space="preserve"> de uma só vez ou durante um dia; dosagem é a quantidade de fármaco activo que se administra de cada vez</w:t>
      </w:r>
      <w:r w:rsidRPr="00553D4C">
        <w:rPr>
          <w:rFonts w:cs="Arial"/>
          <w:lang w:val="pt-BR"/>
        </w:rPr>
        <w:t>.</w:t>
      </w:r>
    </w:p>
    <w:p w:rsidR="002A6D9A" w:rsidRPr="00553D4C" w:rsidRDefault="002A6D9A" w:rsidP="00C52E09">
      <w:pPr>
        <w:numPr>
          <w:ilvl w:val="0"/>
          <w:numId w:val="155"/>
        </w:numPr>
        <w:spacing w:before="120" w:after="0"/>
        <w:ind w:left="446" w:hanging="446"/>
        <w:jc w:val="both"/>
        <w:rPr>
          <w:rFonts w:cs="Arial"/>
          <w:lang w:val="pt-BR"/>
        </w:rPr>
      </w:pPr>
      <w:r w:rsidRPr="00553D4C">
        <w:rPr>
          <w:rFonts w:cs="Arial"/>
          <w:lang w:val="pt-BR"/>
        </w:rPr>
        <w:t>A vida média é o tempo necessário para que a concentração inicial de fármaco diminua à metade.</w:t>
      </w:r>
    </w:p>
    <w:p w:rsidR="006225C7" w:rsidRDefault="006225C7">
      <w:pPr>
        <w:rPr>
          <w:lang w:val="pt-BR"/>
        </w:rPr>
      </w:pPr>
      <w:r>
        <w:rPr>
          <w:lang w:val="pt-BR"/>
        </w:rPr>
        <w:br w:type="page"/>
      </w:r>
    </w:p>
    <w:tbl>
      <w:tblPr>
        <w:tblW w:w="10150" w:type="dxa"/>
        <w:tblLayout w:type="fixed"/>
        <w:tblCellMar>
          <w:left w:w="70" w:type="dxa"/>
          <w:right w:w="70" w:type="dxa"/>
        </w:tblCellMar>
        <w:tblLook w:val="0020" w:firstRow="1" w:lastRow="0" w:firstColumn="0" w:lastColumn="0" w:noHBand="0" w:noVBand="0"/>
      </w:tblPr>
      <w:tblGrid>
        <w:gridCol w:w="1418"/>
        <w:gridCol w:w="4502"/>
        <w:gridCol w:w="2520"/>
        <w:gridCol w:w="1710"/>
      </w:tblGrid>
      <w:tr w:rsidR="00FC442D" w:rsidRPr="009C56EC" w:rsidTr="00FC442D">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FC442D" w:rsidRPr="009C56EC" w:rsidRDefault="00FC442D" w:rsidP="00FC442D">
            <w:pPr>
              <w:spacing w:line="240" w:lineRule="auto"/>
              <w:jc w:val="both"/>
              <w:rPr>
                <w:rFonts w:eastAsia="Calibri" w:cs="Arial"/>
                <w:b/>
                <w:szCs w:val="24"/>
                <w:lang w:val="pt-PT"/>
              </w:rPr>
            </w:pPr>
            <w:r w:rsidRPr="009C56EC">
              <w:rPr>
                <w:rFonts w:eastAsia="Calibri" w:cs="Arial"/>
                <w:b/>
                <w:szCs w:val="24"/>
                <w:lang w:val="pt-PT"/>
              </w:rPr>
              <w:lastRenderedPageBreak/>
              <w:t>Disciplina</w:t>
            </w:r>
          </w:p>
        </w:tc>
        <w:tc>
          <w:tcPr>
            <w:tcW w:w="4502" w:type="dxa"/>
            <w:tcBorders>
              <w:top w:val="single" w:sz="6" w:space="0" w:color="000000"/>
              <w:left w:val="single" w:sz="6" w:space="0" w:color="000000"/>
              <w:bottom w:val="single" w:sz="6" w:space="0" w:color="000000"/>
              <w:right w:val="single" w:sz="6" w:space="0" w:color="000000"/>
            </w:tcBorders>
            <w:vAlign w:val="center"/>
          </w:tcPr>
          <w:p w:rsidR="00FC442D" w:rsidRPr="009C56EC" w:rsidRDefault="00FC442D" w:rsidP="00FC442D">
            <w:pPr>
              <w:spacing w:line="240" w:lineRule="auto"/>
              <w:jc w:val="both"/>
              <w:rPr>
                <w:rFonts w:eastAsia="Calibri" w:cs="Arial"/>
                <w:szCs w:val="24"/>
                <w:lang w:val="pt-PT"/>
              </w:rPr>
            </w:pPr>
            <w:r w:rsidRPr="009C56EC">
              <w:rPr>
                <w:rFonts w:eastAsia="Calibri" w:cs="Arial"/>
                <w:szCs w:val="24"/>
                <w:lang w:val="pt-PT"/>
              </w:rPr>
              <w:t>Introdução às Ciências Médicas</w:t>
            </w:r>
          </w:p>
        </w:tc>
        <w:tc>
          <w:tcPr>
            <w:tcW w:w="2520" w:type="dxa"/>
            <w:tcBorders>
              <w:top w:val="single" w:sz="6" w:space="0" w:color="000000"/>
              <w:left w:val="single" w:sz="6" w:space="0" w:color="000000"/>
              <w:bottom w:val="single" w:sz="6" w:space="0" w:color="000000"/>
              <w:right w:val="single" w:sz="6" w:space="0" w:color="000000"/>
            </w:tcBorders>
            <w:vAlign w:val="center"/>
          </w:tcPr>
          <w:p w:rsidR="00FC442D" w:rsidRPr="009C56EC" w:rsidRDefault="00FC442D" w:rsidP="00FC442D">
            <w:pPr>
              <w:spacing w:line="240" w:lineRule="auto"/>
              <w:jc w:val="both"/>
              <w:rPr>
                <w:rFonts w:eastAsia="Calibri" w:cs="Arial"/>
                <w:b/>
                <w:szCs w:val="24"/>
                <w:lang w:val="pt-PT"/>
              </w:rPr>
            </w:pPr>
            <w:r w:rsidRPr="009C56EC">
              <w:rPr>
                <w:rFonts w:eastAsia="Calibri" w:cs="Arial"/>
                <w:b/>
                <w:szCs w:val="24"/>
                <w:lang w:val="pt-PT"/>
              </w:rPr>
              <w:t xml:space="preserve">N° da Aula </w:t>
            </w:r>
          </w:p>
        </w:tc>
        <w:tc>
          <w:tcPr>
            <w:tcW w:w="1710" w:type="dxa"/>
            <w:tcBorders>
              <w:top w:val="single" w:sz="6" w:space="0" w:color="000000"/>
              <w:left w:val="single" w:sz="6" w:space="0" w:color="000000"/>
              <w:bottom w:val="single" w:sz="6" w:space="0" w:color="000000"/>
              <w:right w:val="single" w:sz="6" w:space="0" w:color="000000"/>
            </w:tcBorders>
            <w:vAlign w:val="center"/>
          </w:tcPr>
          <w:p w:rsidR="00FC442D" w:rsidRPr="009C56EC" w:rsidRDefault="00FC442D" w:rsidP="00FC442D">
            <w:pPr>
              <w:spacing w:line="240" w:lineRule="auto"/>
              <w:jc w:val="both"/>
              <w:rPr>
                <w:rFonts w:eastAsia="Calibri" w:cs="Arial"/>
                <w:lang w:val="pt-PT"/>
              </w:rPr>
            </w:pPr>
            <w:r>
              <w:rPr>
                <w:rFonts w:eastAsia="Calibri" w:cs="Arial"/>
                <w:lang w:val="pt-PT"/>
              </w:rPr>
              <w:t>17</w:t>
            </w:r>
          </w:p>
        </w:tc>
      </w:tr>
      <w:tr w:rsidR="00FC442D" w:rsidRPr="009C56EC" w:rsidTr="00FC442D">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FC442D" w:rsidRPr="009C56EC" w:rsidRDefault="00FC442D" w:rsidP="00FC442D">
            <w:pPr>
              <w:spacing w:line="240" w:lineRule="auto"/>
              <w:jc w:val="both"/>
              <w:rPr>
                <w:rFonts w:eastAsia="Calibri" w:cs="Arial"/>
                <w:b/>
                <w:szCs w:val="24"/>
                <w:lang w:val="pt-PT"/>
              </w:rPr>
            </w:pPr>
            <w:r w:rsidRPr="009C56EC">
              <w:rPr>
                <w:rFonts w:eastAsia="Calibri" w:cs="Arial"/>
                <w:b/>
                <w:szCs w:val="24"/>
                <w:lang w:val="pt-PT"/>
              </w:rPr>
              <w:t>Tópico</w:t>
            </w:r>
          </w:p>
        </w:tc>
        <w:tc>
          <w:tcPr>
            <w:tcW w:w="4502" w:type="dxa"/>
            <w:tcBorders>
              <w:top w:val="single" w:sz="6" w:space="0" w:color="000000"/>
              <w:left w:val="single" w:sz="6" w:space="0" w:color="000000"/>
              <w:bottom w:val="single" w:sz="6" w:space="0" w:color="000000"/>
              <w:right w:val="single" w:sz="6" w:space="0" w:color="000000"/>
            </w:tcBorders>
            <w:vAlign w:val="center"/>
          </w:tcPr>
          <w:p w:rsidR="00FC442D" w:rsidRPr="009C56EC" w:rsidRDefault="00FC442D" w:rsidP="00FC442D">
            <w:pPr>
              <w:spacing w:line="240" w:lineRule="auto"/>
              <w:jc w:val="both"/>
              <w:rPr>
                <w:rFonts w:eastAsia="Calibri" w:cs="Arial"/>
                <w:szCs w:val="24"/>
                <w:lang w:val="pt-PT"/>
              </w:rPr>
            </w:pPr>
            <w:r w:rsidRPr="009C56EC">
              <w:rPr>
                <w:rFonts w:eastAsia="Calibri" w:cs="Arial"/>
                <w:szCs w:val="24"/>
                <w:lang w:val="pt-PT"/>
              </w:rPr>
              <w:t>Farmacologia</w:t>
            </w:r>
          </w:p>
        </w:tc>
        <w:tc>
          <w:tcPr>
            <w:tcW w:w="2520" w:type="dxa"/>
            <w:tcBorders>
              <w:top w:val="single" w:sz="6" w:space="0" w:color="000000"/>
              <w:left w:val="single" w:sz="6" w:space="0" w:color="000000"/>
              <w:bottom w:val="single" w:sz="6" w:space="0" w:color="000000"/>
              <w:right w:val="single" w:sz="6" w:space="0" w:color="000000"/>
            </w:tcBorders>
            <w:vAlign w:val="center"/>
          </w:tcPr>
          <w:p w:rsidR="00FC442D" w:rsidRPr="009C56EC" w:rsidRDefault="00FC442D" w:rsidP="00FC442D">
            <w:pPr>
              <w:spacing w:line="240" w:lineRule="auto"/>
              <w:jc w:val="both"/>
              <w:rPr>
                <w:rFonts w:eastAsia="Calibri" w:cs="Arial"/>
                <w:b/>
                <w:szCs w:val="24"/>
                <w:lang w:val="pt-PT"/>
              </w:rPr>
            </w:pPr>
            <w:r w:rsidRPr="009C56EC">
              <w:rPr>
                <w:rFonts w:eastAsia="Calibri" w:cs="Arial"/>
                <w:b/>
                <w:szCs w:val="24"/>
                <w:lang w:val="pt-PT"/>
              </w:rPr>
              <w:t xml:space="preserve">Tipo </w:t>
            </w:r>
          </w:p>
        </w:tc>
        <w:tc>
          <w:tcPr>
            <w:tcW w:w="1710" w:type="dxa"/>
            <w:tcBorders>
              <w:top w:val="single" w:sz="6" w:space="0" w:color="000000"/>
              <w:left w:val="single" w:sz="6" w:space="0" w:color="000000"/>
              <w:bottom w:val="single" w:sz="6" w:space="0" w:color="000000"/>
              <w:right w:val="single" w:sz="6" w:space="0" w:color="000000"/>
            </w:tcBorders>
            <w:vAlign w:val="center"/>
          </w:tcPr>
          <w:p w:rsidR="00FC442D" w:rsidRPr="009C56EC" w:rsidRDefault="00FC442D" w:rsidP="00FC442D">
            <w:pPr>
              <w:spacing w:line="240" w:lineRule="auto"/>
              <w:jc w:val="both"/>
              <w:rPr>
                <w:rFonts w:eastAsia="Calibri" w:cs="Arial"/>
                <w:lang w:val="pt-PT"/>
              </w:rPr>
            </w:pPr>
            <w:r w:rsidRPr="009C56EC">
              <w:rPr>
                <w:rFonts w:eastAsia="Calibri" w:cs="Arial"/>
                <w:lang w:val="pt-PT"/>
              </w:rPr>
              <w:t>Teórica</w:t>
            </w:r>
          </w:p>
        </w:tc>
      </w:tr>
      <w:tr w:rsidR="00FC442D" w:rsidRPr="009C56EC" w:rsidTr="00FC442D">
        <w:trPr>
          <w:cantSplit/>
          <w:trHeight w:val="414"/>
        </w:trPr>
        <w:tc>
          <w:tcPr>
            <w:tcW w:w="1418" w:type="dxa"/>
            <w:tcBorders>
              <w:top w:val="single" w:sz="6" w:space="0" w:color="000000"/>
              <w:left w:val="single" w:sz="6" w:space="0" w:color="000000"/>
              <w:bottom w:val="single" w:sz="6" w:space="0" w:color="000000"/>
              <w:right w:val="single" w:sz="6" w:space="0" w:color="000000"/>
            </w:tcBorders>
            <w:vAlign w:val="center"/>
          </w:tcPr>
          <w:p w:rsidR="00FC442D" w:rsidRPr="009C56EC" w:rsidRDefault="00FC442D" w:rsidP="00FC442D">
            <w:pPr>
              <w:spacing w:line="240" w:lineRule="auto"/>
              <w:jc w:val="both"/>
              <w:rPr>
                <w:rFonts w:eastAsia="Calibri" w:cs="Arial"/>
                <w:b/>
                <w:szCs w:val="24"/>
                <w:lang w:val="pt-PT"/>
              </w:rPr>
            </w:pPr>
            <w:r w:rsidRPr="009C56EC">
              <w:rPr>
                <w:rFonts w:eastAsia="Calibri" w:cs="Arial"/>
                <w:b/>
                <w:szCs w:val="24"/>
                <w:lang w:val="pt-PT"/>
              </w:rPr>
              <w:t>Conteúdos</w:t>
            </w:r>
          </w:p>
        </w:tc>
        <w:tc>
          <w:tcPr>
            <w:tcW w:w="4502" w:type="dxa"/>
            <w:tcBorders>
              <w:top w:val="single" w:sz="6" w:space="0" w:color="000000"/>
              <w:left w:val="single" w:sz="6" w:space="0" w:color="000000"/>
              <w:bottom w:val="single" w:sz="6" w:space="0" w:color="000000"/>
              <w:right w:val="single" w:sz="6" w:space="0" w:color="000000"/>
            </w:tcBorders>
            <w:vAlign w:val="center"/>
          </w:tcPr>
          <w:p w:rsidR="00FC442D" w:rsidRPr="00BE2C41" w:rsidRDefault="00FC442D" w:rsidP="00FC442D">
            <w:pPr>
              <w:pStyle w:val="Heading1"/>
              <w:rPr>
                <w:rFonts w:eastAsia="Calibri"/>
                <w:b w:val="0"/>
                <w:sz w:val="22"/>
                <w:szCs w:val="22"/>
                <w:lang w:val="pt-PT"/>
              </w:rPr>
            </w:pPr>
            <w:bookmarkStart w:id="22" w:name="_Toc329099765"/>
            <w:r w:rsidRPr="00BE2C41">
              <w:rPr>
                <w:rFonts w:eastAsia="Calibri"/>
                <w:b w:val="0"/>
                <w:sz w:val="22"/>
                <w:szCs w:val="22"/>
                <w:lang w:val="pt-PT"/>
              </w:rPr>
              <w:t>Farmacodinâmica</w:t>
            </w:r>
            <w:bookmarkEnd w:id="22"/>
            <w:r w:rsidRPr="00BE2C41">
              <w:rPr>
                <w:rFonts w:eastAsia="Calibri"/>
                <w:b w:val="0"/>
                <w:sz w:val="22"/>
                <w:szCs w:val="22"/>
                <w:lang w:val="pt-PT"/>
              </w:rPr>
              <w:t xml:space="preserve"> </w:t>
            </w:r>
          </w:p>
        </w:tc>
        <w:tc>
          <w:tcPr>
            <w:tcW w:w="2520" w:type="dxa"/>
            <w:tcBorders>
              <w:top w:val="single" w:sz="6" w:space="0" w:color="000000"/>
              <w:left w:val="single" w:sz="6" w:space="0" w:color="000000"/>
              <w:bottom w:val="single" w:sz="6" w:space="0" w:color="000000"/>
              <w:right w:val="single" w:sz="6" w:space="0" w:color="000000"/>
            </w:tcBorders>
            <w:vAlign w:val="center"/>
          </w:tcPr>
          <w:p w:rsidR="00FC442D" w:rsidRPr="009C56EC" w:rsidRDefault="00FC442D" w:rsidP="00FC442D">
            <w:pPr>
              <w:spacing w:line="240" w:lineRule="auto"/>
              <w:jc w:val="both"/>
              <w:rPr>
                <w:rFonts w:eastAsia="Calibri" w:cs="Arial"/>
                <w:b/>
                <w:szCs w:val="24"/>
                <w:lang w:val="pt-PT"/>
              </w:rPr>
            </w:pPr>
            <w:r w:rsidRPr="009C56EC">
              <w:rPr>
                <w:rFonts w:eastAsia="Calibri" w:cs="Arial"/>
                <w:b/>
                <w:szCs w:val="24"/>
                <w:lang w:val="pt-PT"/>
              </w:rPr>
              <w:t>Duração</w:t>
            </w:r>
          </w:p>
        </w:tc>
        <w:tc>
          <w:tcPr>
            <w:tcW w:w="1710" w:type="dxa"/>
            <w:tcBorders>
              <w:top w:val="single" w:sz="6" w:space="0" w:color="000000"/>
              <w:left w:val="single" w:sz="6" w:space="0" w:color="000000"/>
              <w:bottom w:val="single" w:sz="6" w:space="0" w:color="000000"/>
              <w:right w:val="single" w:sz="6" w:space="0" w:color="000000"/>
            </w:tcBorders>
            <w:vAlign w:val="center"/>
          </w:tcPr>
          <w:p w:rsidR="00FC442D" w:rsidRPr="009C56EC" w:rsidRDefault="00FC442D" w:rsidP="00FC442D">
            <w:pPr>
              <w:spacing w:line="240" w:lineRule="auto"/>
              <w:jc w:val="both"/>
              <w:rPr>
                <w:rFonts w:eastAsia="Calibri" w:cs="Arial"/>
                <w:lang w:val="pt-PT"/>
              </w:rPr>
            </w:pPr>
            <w:r w:rsidRPr="009C56EC">
              <w:rPr>
                <w:rFonts w:eastAsia="Calibri" w:cs="Arial"/>
                <w:lang w:val="pt-PT"/>
              </w:rPr>
              <w:t>2 h</w:t>
            </w:r>
          </w:p>
        </w:tc>
      </w:tr>
    </w:tbl>
    <w:p w:rsidR="00FC442D" w:rsidRPr="000C09F9" w:rsidRDefault="00FC442D" w:rsidP="00FC442D">
      <w:pPr>
        <w:jc w:val="both"/>
        <w:outlineLvl w:val="0"/>
        <w:rPr>
          <w:rFonts w:cs="Arial"/>
          <w:b/>
          <w:bCs/>
          <w:lang w:val="pt-PT"/>
        </w:rPr>
      </w:pPr>
    </w:p>
    <w:p w:rsidR="00FC442D" w:rsidRPr="0052785B" w:rsidRDefault="00FC442D" w:rsidP="0052785B">
      <w:pPr>
        <w:rPr>
          <w:b/>
          <w:lang w:val="pt-PT"/>
        </w:rPr>
      </w:pPr>
      <w:r w:rsidRPr="0052785B">
        <w:rPr>
          <w:b/>
          <w:lang w:val="pt-PT"/>
        </w:rPr>
        <w:t>Objectivos de Aprendizagem:</w:t>
      </w:r>
    </w:p>
    <w:p w:rsidR="00FC442D" w:rsidRPr="000C09F9" w:rsidRDefault="00FC442D" w:rsidP="00FC442D">
      <w:pPr>
        <w:jc w:val="both"/>
        <w:rPr>
          <w:rFonts w:cs="Arial"/>
          <w:lang w:val="pt-PT"/>
        </w:rPr>
      </w:pPr>
      <w:r w:rsidRPr="000C09F9">
        <w:rPr>
          <w:rFonts w:cs="Arial"/>
          <w:lang w:val="pt-PT"/>
        </w:rPr>
        <w:t>Até ao fim da aula os alunos devem ser capazes de:</w:t>
      </w:r>
    </w:p>
    <w:p w:rsidR="00FC442D" w:rsidRPr="000C09F9" w:rsidRDefault="00FC442D" w:rsidP="00C52E09">
      <w:pPr>
        <w:numPr>
          <w:ilvl w:val="0"/>
          <w:numId w:val="162"/>
        </w:numPr>
        <w:spacing w:after="0"/>
        <w:jc w:val="both"/>
        <w:rPr>
          <w:rFonts w:cs="Arial"/>
          <w:lang w:val="pt-PT"/>
        </w:rPr>
      </w:pPr>
      <w:r w:rsidRPr="000C09F9">
        <w:rPr>
          <w:rFonts w:cs="Arial"/>
          <w:lang w:val="pt-PT"/>
        </w:rPr>
        <w:t>Sobre o conteúdo “Farmacodinâmica”</w:t>
      </w:r>
      <w:r>
        <w:rPr>
          <w:rFonts w:cs="Arial"/>
          <w:lang w:val="pt-PT"/>
        </w:rPr>
        <w:t>:</w:t>
      </w:r>
    </w:p>
    <w:p w:rsidR="00FC442D" w:rsidRPr="000C09F9" w:rsidRDefault="00951225" w:rsidP="00C52E09">
      <w:pPr>
        <w:numPr>
          <w:ilvl w:val="1"/>
          <w:numId w:val="258"/>
        </w:numPr>
        <w:spacing w:after="0"/>
        <w:jc w:val="both"/>
        <w:rPr>
          <w:rFonts w:cs="Arial"/>
          <w:lang w:val="pt-PT"/>
        </w:rPr>
      </w:pPr>
      <w:r>
        <w:rPr>
          <w:rFonts w:cs="Arial"/>
          <w:lang w:val="pt-PT"/>
        </w:rPr>
        <w:t>Definir a farmacodinâmica</w:t>
      </w:r>
    </w:p>
    <w:p w:rsidR="00FC442D" w:rsidRPr="000C09F9" w:rsidRDefault="00FC442D" w:rsidP="00C52E09">
      <w:pPr>
        <w:numPr>
          <w:ilvl w:val="1"/>
          <w:numId w:val="258"/>
        </w:numPr>
        <w:spacing w:after="0"/>
        <w:jc w:val="both"/>
        <w:rPr>
          <w:rFonts w:cs="Arial"/>
          <w:lang w:val="pt-PT"/>
        </w:rPr>
      </w:pPr>
      <w:r w:rsidRPr="000C09F9">
        <w:rPr>
          <w:rFonts w:cs="Arial"/>
          <w:lang w:val="pt-PT"/>
        </w:rPr>
        <w:t>Discutir os diferentes m</w:t>
      </w:r>
      <w:r w:rsidR="00951225">
        <w:rPr>
          <w:rFonts w:cs="Arial"/>
          <w:lang w:val="pt-PT"/>
        </w:rPr>
        <w:t>ecanismos de acção dos fármacos</w:t>
      </w:r>
    </w:p>
    <w:p w:rsidR="00FC442D" w:rsidRDefault="00FC442D" w:rsidP="00C52E09">
      <w:pPr>
        <w:numPr>
          <w:ilvl w:val="1"/>
          <w:numId w:val="258"/>
        </w:numPr>
        <w:spacing w:after="0"/>
        <w:jc w:val="both"/>
        <w:rPr>
          <w:rFonts w:cs="Arial"/>
          <w:lang w:val="pt-PT"/>
        </w:rPr>
      </w:pPr>
      <w:r w:rsidRPr="000C09F9">
        <w:rPr>
          <w:rFonts w:cs="Arial"/>
          <w:lang w:val="pt-PT"/>
        </w:rPr>
        <w:t>Explicar o conceito de janela terapêutica e sua relação com a po</w:t>
      </w:r>
      <w:r w:rsidR="00951225">
        <w:rPr>
          <w:rFonts w:cs="Arial"/>
          <w:lang w:val="pt-PT"/>
        </w:rPr>
        <w:t>sologia dos diferentes fármacos</w:t>
      </w:r>
    </w:p>
    <w:p w:rsidR="00FC442D" w:rsidRDefault="00FC442D" w:rsidP="00C52E09">
      <w:pPr>
        <w:numPr>
          <w:ilvl w:val="1"/>
          <w:numId w:val="258"/>
        </w:numPr>
        <w:spacing w:after="0"/>
        <w:jc w:val="both"/>
        <w:rPr>
          <w:rFonts w:cs="Arial"/>
          <w:lang w:val="pt-PT"/>
        </w:rPr>
      </w:pPr>
      <w:r>
        <w:rPr>
          <w:rFonts w:cs="Arial"/>
          <w:lang w:val="pt-PT"/>
        </w:rPr>
        <w:t>Explicar os conceitos de terapia combinada e terap</w:t>
      </w:r>
      <w:r w:rsidR="00951225">
        <w:rPr>
          <w:rFonts w:cs="Arial"/>
          <w:lang w:val="pt-PT"/>
        </w:rPr>
        <w:t>ia empírica</w:t>
      </w:r>
    </w:p>
    <w:p w:rsidR="00FC442D" w:rsidRPr="000C09F9" w:rsidRDefault="00FC442D" w:rsidP="00C52E09">
      <w:pPr>
        <w:numPr>
          <w:ilvl w:val="1"/>
          <w:numId w:val="258"/>
        </w:numPr>
        <w:spacing w:after="0"/>
        <w:jc w:val="both"/>
        <w:rPr>
          <w:rFonts w:cs="Arial"/>
          <w:lang w:val="pt-PT"/>
        </w:rPr>
      </w:pPr>
      <w:r w:rsidRPr="00290108">
        <w:rPr>
          <w:rFonts w:cs="Arial"/>
          <w:lang w:val="pt-PT"/>
        </w:rPr>
        <w:t>Explicar como utilizar o Formulário Nacional de Medicamentos</w:t>
      </w:r>
    </w:p>
    <w:p w:rsidR="00FC442D" w:rsidRPr="000C09F9" w:rsidRDefault="00FC442D" w:rsidP="00FC442D">
      <w:pPr>
        <w:tabs>
          <w:tab w:val="left" w:pos="244"/>
        </w:tabs>
        <w:jc w:val="both"/>
        <w:rPr>
          <w:rFonts w:cs="Arial"/>
          <w:lang w:val="pt-PT"/>
        </w:rPr>
      </w:pPr>
    </w:p>
    <w:p w:rsidR="00FC442D" w:rsidRPr="0052785B" w:rsidRDefault="00FC442D" w:rsidP="0052785B">
      <w:pPr>
        <w:rPr>
          <w:b/>
          <w:lang w:val="pt-PT"/>
        </w:rPr>
      </w:pPr>
      <w:r w:rsidRPr="0052785B">
        <w:rPr>
          <w:b/>
          <w:lang w:val="pt-PT"/>
        </w:rPr>
        <w:t>Estrutura da Aula</w:t>
      </w:r>
    </w:p>
    <w:tbl>
      <w:tblPr>
        <w:tblW w:w="10188" w:type="dxa"/>
        <w:tblBorders>
          <w:top w:val="single" w:sz="18" w:space="0" w:color="auto"/>
          <w:bottom w:val="single" w:sz="18" w:space="0" w:color="auto"/>
        </w:tblBorders>
        <w:tblLayout w:type="fixed"/>
        <w:tblLook w:val="0400" w:firstRow="0" w:lastRow="0" w:firstColumn="0" w:lastColumn="0" w:noHBand="0" w:noVBand="1"/>
      </w:tblPr>
      <w:tblGrid>
        <w:gridCol w:w="738"/>
        <w:gridCol w:w="3690"/>
        <w:gridCol w:w="4050"/>
        <w:gridCol w:w="1710"/>
      </w:tblGrid>
      <w:tr w:rsidR="00FC442D" w:rsidRPr="009C56EC" w:rsidTr="00FC442D">
        <w:trPr>
          <w:trHeight w:val="432"/>
        </w:trPr>
        <w:tc>
          <w:tcPr>
            <w:tcW w:w="738" w:type="dxa"/>
            <w:tcBorders>
              <w:top w:val="single" w:sz="18" w:space="0" w:color="auto"/>
              <w:bottom w:val="single" w:sz="18" w:space="0" w:color="auto"/>
              <w:right w:val="single" w:sz="4" w:space="0" w:color="auto"/>
            </w:tcBorders>
            <w:shd w:val="clear" w:color="auto" w:fill="B8CCE4"/>
          </w:tcPr>
          <w:p w:rsidR="00FC442D" w:rsidRPr="009C56EC" w:rsidRDefault="00FC442D" w:rsidP="00FC442D">
            <w:pPr>
              <w:spacing w:before="60" w:line="240" w:lineRule="auto"/>
              <w:ind w:left="-110" w:right="-108"/>
              <w:jc w:val="both"/>
              <w:rPr>
                <w:rFonts w:cs="Arial"/>
                <w:b/>
                <w:sz w:val="20"/>
                <w:szCs w:val="20"/>
                <w:lang w:val="pt-PT"/>
              </w:rPr>
            </w:pPr>
            <w:r w:rsidRPr="009C56EC">
              <w:rPr>
                <w:rFonts w:cs="Arial"/>
                <w:b/>
                <w:sz w:val="20"/>
                <w:szCs w:val="20"/>
                <w:lang w:val="pt-PT"/>
              </w:rPr>
              <w:t>Bloco</w:t>
            </w:r>
          </w:p>
        </w:tc>
        <w:tc>
          <w:tcPr>
            <w:tcW w:w="3690" w:type="dxa"/>
            <w:tcBorders>
              <w:top w:val="single" w:sz="18" w:space="0" w:color="auto"/>
              <w:left w:val="single" w:sz="4" w:space="0" w:color="auto"/>
              <w:bottom w:val="single" w:sz="18" w:space="0" w:color="auto"/>
              <w:right w:val="single" w:sz="4" w:space="0" w:color="auto"/>
            </w:tcBorders>
            <w:shd w:val="clear" w:color="auto" w:fill="B8CCE4"/>
          </w:tcPr>
          <w:p w:rsidR="00FC442D" w:rsidRPr="009C56EC" w:rsidRDefault="00FC442D" w:rsidP="00FC442D">
            <w:pPr>
              <w:spacing w:before="60" w:line="240" w:lineRule="auto"/>
              <w:jc w:val="both"/>
              <w:rPr>
                <w:rFonts w:cs="Arial"/>
                <w:b/>
                <w:sz w:val="20"/>
                <w:szCs w:val="20"/>
                <w:lang w:val="pt-PT"/>
              </w:rPr>
            </w:pPr>
            <w:r w:rsidRPr="009C56EC">
              <w:rPr>
                <w:rFonts w:cs="Arial"/>
                <w:b/>
                <w:sz w:val="20"/>
                <w:szCs w:val="20"/>
                <w:lang w:val="pt-PT"/>
              </w:rPr>
              <w:t>Título do Bloco</w:t>
            </w:r>
          </w:p>
        </w:tc>
        <w:tc>
          <w:tcPr>
            <w:tcW w:w="4050" w:type="dxa"/>
            <w:tcBorders>
              <w:top w:val="single" w:sz="18" w:space="0" w:color="auto"/>
              <w:left w:val="single" w:sz="4" w:space="0" w:color="auto"/>
              <w:bottom w:val="single" w:sz="18" w:space="0" w:color="auto"/>
              <w:right w:val="single" w:sz="4" w:space="0" w:color="auto"/>
            </w:tcBorders>
            <w:shd w:val="clear" w:color="auto" w:fill="B8CCE4"/>
          </w:tcPr>
          <w:p w:rsidR="00FC442D" w:rsidRPr="009C56EC" w:rsidRDefault="00FC442D" w:rsidP="00FC442D">
            <w:pPr>
              <w:tabs>
                <w:tab w:val="left" w:pos="244"/>
              </w:tabs>
              <w:spacing w:before="60" w:line="240" w:lineRule="auto"/>
              <w:jc w:val="both"/>
              <w:rPr>
                <w:rFonts w:cs="Arial"/>
                <w:b/>
                <w:sz w:val="20"/>
                <w:szCs w:val="20"/>
                <w:lang w:val="pt-PT"/>
              </w:rPr>
            </w:pPr>
            <w:r w:rsidRPr="009C56EC">
              <w:rPr>
                <w:rFonts w:cs="Arial"/>
                <w:b/>
                <w:sz w:val="20"/>
                <w:szCs w:val="20"/>
                <w:lang w:val="pt-PT"/>
              </w:rPr>
              <w:t>Método de Ensino</w:t>
            </w:r>
          </w:p>
        </w:tc>
        <w:tc>
          <w:tcPr>
            <w:tcW w:w="1710" w:type="dxa"/>
            <w:tcBorders>
              <w:top w:val="single" w:sz="18" w:space="0" w:color="auto"/>
              <w:left w:val="single" w:sz="4" w:space="0" w:color="auto"/>
              <w:bottom w:val="single" w:sz="18" w:space="0" w:color="auto"/>
            </w:tcBorders>
            <w:shd w:val="clear" w:color="auto" w:fill="B8CCE4"/>
          </w:tcPr>
          <w:p w:rsidR="00FC442D" w:rsidRPr="009C56EC" w:rsidRDefault="00FC442D" w:rsidP="00FC442D">
            <w:pPr>
              <w:tabs>
                <w:tab w:val="left" w:pos="244"/>
              </w:tabs>
              <w:spacing w:before="60" w:line="240" w:lineRule="auto"/>
              <w:jc w:val="both"/>
              <w:rPr>
                <w:rFonts w:cs="Arial"/>
                <w:b/>
                <w:sz w:val="20"/>
                <w:szCs w:val="20"/>
                <w:lang w:val="pt-PT"/>
              </w:rPr>
            </w:pPr>
            <w:r w:rsidRPr="009C56EC">
              <w:rPr>
                <w:rFonts w:cs="Arial"/>
                <w:b/>
                <w:sz w:val="20"/>
                <w:szCs w:val="20"/>
                <w:lang w:val="pt-PT"/>
              </w:rPr>
              <w:t>Duração</w:t>
            </w:r>
          </w:p>
        </w:tc>
      </w:tr>
      <w:tr w:rsidR="00FC442D" w:rsidRPr="009C56EC" w:rsidTr="00FC442D">
        <w:tc>
          <w:tcPr>
            <w:tcW w:w="738" w:type="dxa"/>
            <w:tcBorders>
              <w:top w:val="single" w:sz="18" w:space="0" w:color="auto"/>
              <w:bottom w:val="single" w:sz="4" w:space="0" w:color="auto"/>
              <w:right w:val="single" w:sz="4" w:space="0" w:color="auto"/>
            </w:tcBorders>
          </w:tcPr>
          <w:p w:rsidR="00FC442D" w:rsidRPr="009C56EC" w:rsidRDefault="00FC442D" w:rsidP="00FC442D">
            <w:pPr>
              <w:spacing w:before="60" w:after="60" w:line="360" w:lineRule="auto"/>
              <w:ind w:left="-110" w:right="-108"/>
              <w:jc w:val="center"/>
              <w:rPr>
                <w:rFonts w:cs="Arial"/>
                <w:sz w:val="20"/>
                <w:szCs w:val="20"/>
                <w:lang w:val="pt-PT"/>
              </w:rPr>
            </w:pPr>
            <w:r w:rsidRPr="009C56EC">
              <w:rPr>
                <w:rFonts w:cs="Arial"/>
                <w:sz w:val="20"/>
                <w:szCs w:val="20"/>
                <w:lang w:val="pt-PT"/>
              </w:rPr>
              <w:t>1</w:t>
            </w:r>
          </w:p>
        </w:tc>
        <w:tc>
          <w:tcPr>
            <w:tcW w:w="3690" w:type="dxa"/>
            <w:tcBorders>
              <w:top w:val="single" w:sz="18" w:space="0" w:color="auto"/>
              <w:left w:val="single" w:sz="4" w:space="0" w:color="auto"/>
              <w:bottom w:val="single" w:sz="4" w:space="0" w:color="auto"/>
              <w:right w:val="single" w:sz="4" w:space="0" w:color="auto"/>
            </w:tcBorders>
          </w:tcPr>
          <w:p w:rsidR="00FC442D" w:rsidRPr="009C56EC" w:rsidRDefault="00FC442D" w:rsidP="00FC442D">
            <w:pPr>
              <w:tabs>
                <w:tab w:val="left" w:pos="244"/>
              </w:tabs>
              <w:spacing w:before="60" w:after="60" w:line="360" w:lineRule="auto"/>
              <w:jc w:val="both"/>
              <w:rPr>
                <w:rFonts w:cs="Arial"/>
                <w:sz w:val="20"/>
                <w:szCs w:val="20"/>
                <w:lang w:val="pt-PT"/>
              </w:rPr>
            </w:pPr>
            <w:r w:rsidRPr="009C56EC">
              <w:rPr>
                <w:rFonts w:cs="Arial"/>
                <w:sz w:val="20"/>
                <w:szCs w:val="20"/>
                <w:lang w:val="pt-PT"/>
              </w:rPr>
              <w:t>Introdução à Aula</w:t>
            </w:r>
          </w:p>
          <w:p w:rsidR="00FC442D" w:rsidRPr="009C56EC" w:rsidRDefault="00FC442D" w:rsidP="00FC442D">
            <w:pPr>
              <w:tabs>
                <w:tab w:val="left" w:pos="244"/>
              </w:tabs>
              <w:spacing w:before="60" w:after="60" w:line="360" w:lineRule="auto"/>
              <w:jc w:val="both"/>
              <w:rPr>
                <w:rFonts w:cs="Arial"/>
                <w:sz w:val="20"/>
                <w:szCs w:val="20"/>
                <w:lang w:val="pt-PT"/>
              </w:rPr>
            </w:pPr>
          </w:p>
        </w:tc>
        <w:tc>
          <w:tcPr>
            <w:tcW w:w="4050" w:type="dxa"/>
            <w:tcBorders>
              <w:top w:val="single" w:sz="18" w:space="0" w:color="auto"/>
              <w:left w:val="single" w:sz="4" w:space="0" w:color="auto"/>
              <w:bottom w:val="single" w:sz="4" w:space="0" w:color="auto"/>
              <w:right w:val="single" w:sz="4" w:space="0" w:color="auto"/>
            </w:tcBorders>
          </w:tcPr>
          <w:p w:rsidR="00FC442D" w:rsidRPr="009C56EC" w:rsidRDefault="00FC442D" w:rsidP="00FC442D">
            <w:pPr>
              <w:tabs>
                <w:tab w:val="left" w:pos="244"/>
              </w:tabs>
              <w:spacing w:before="60" w:after="60" w:line="360" w:lineRule="auto"/>
              <w:jc w:val="both"/>
              <w:rPr>
                <w:rFonts w:cs="Arial"/>
                <w:sz w:val="20"/>
                <w:szCs w:val="20"/>
                <w:lang w:val="pt-PT"/>
              </w:rPr>
            </w:pPr>
          </w:p>
        </w:tc>
        <w:tc>
          <w:tcPr>
            <w:tcW w:w="1710" w:type="dxa"/>
            <w:tcBorders>
              <w:top w:val="single" w:sz="18" w:space="0" w:color="auto"/>
              <w:left w:val="single" w:sz="4" w:space="0" w:color="auto"/>
              <w:bottom w:val="single" w:sz="4" w:space="0" w:color="auto"/>
            </w:tcBorders>
          </w:tcPr>
          <w:p w:rsidR="00FC442D" w:rsidRPr="009C56EC" w:rsidRDefault="00FC442D" w:rsidP="00FC442D">
            <w:pPr>
              <w:tabs>
                <w:tab w:val="left" w:pos="244"/>
              </w:tabs>
              <w:spacing w:before="60" w:after="60" w:line="360" w:lineRule="auto"/>
              <w:jc w:val="both"/>
              <w:rPr>
                <w:rFonts w:cs="Arial"/>
                <w:sz w:val="20"/>
                <w:szCs w:val="20"/>
                <w:lang w:val="pt-PT"/>
              </w:rPr>
            </w:pPr>
          </w:p>
        </w:tc>
      </w:tr>
      <w:tr w:rsidR="00FC442D" w:rsidRPr="009C56EC" w:rsidTr="00FC442D">
        <w:tc>
          <w:tcPr>
            <w:tcW w:w="738" w:type="dxa"/>
            <w:tcBorders>
              <w:top w:val="single" w:sz="4" w:space="0" w:color="auto"/>
              <w:bottom w:val="single" w:sz="4" w:space="0" w:color="auto"/>
              <w:right w:val="single" w:sz="4" w:space="0" w:color="auto"/>
            </w:tcBorders>
            <w:shd w:val="clear" w:color="auto" w:fill="D9D9D9"/>
          </w:tcPr>
          <w:p w:rsidR="00FC442D" w:rsidRPr="009C56EC" w:rsidRDefault="00FC442D" w:rsidP="00FC442D">
            <w:pPr>
              <w:spacing w:before="60" w:after="60" w:line="360" w:lineRule="auto"/>
              <w:ind w:left="-110" w:right="-108"/>
              <w:jc w:val="center"/>
              <w:rPr>
                <w:rFonts w:cs="Arial"/>
                <w:sz w:val="20"/>
                <w:szCs w:val="20"/>
                <w:lang w:val="pt-PT"/>
              </w:rPr>
            </w:pPr>
            <w:r w:rsidRPr="009C56EC">
              <w:rPr>
                <w:rFonts w:cs="Arial"/>
                <w:sz w:val="20"/>
                <w:szCs w:val="20"/>
                <w:lang w:val="pt-PT"/>
              </w:rPr>
              <w:t>2</w:t>
            </w:r>
          </w:p>
        </w:tc>
        <w:tc>
          <w:tcPr>
            <w:tcW w:w="3690" w:type="dxa"/>
            <w:tcBorders>
              <w:top w:val="single" w:sz="4" w:space="0" w:color="auto"/>
              <w:left w:val="single" w:sz="4" w:space="0" w:color="auto"/>
              <w:bottom w:val="single" w:sz="4" w:space="0" w:color="auto"/>
              <w:right w:val="single" w:sz="4" w:space="0" w:color="auto"/>
            </w:tcBorders>
            <w:shd w:val="clear" w:color="auto" w:fill="D9D9D9"/>
          </w:tcPr>
          <w:p w:rsidR="00FC442D" w:rsidRDefault="00FC442D" w:rsidP="00FC442D">
            <w:pPr>
              <w:tabs>
                <w:tab w:val="left" w:pos="244"/>
              </w:tabs>
              <w:spacing w:before="60" w:after="60" w:line="360" w:lineRule="auto"/>
              <w:jc w:val="both"/>
              <w:rPr>
                <w:rFonts w:cs="Arial"/>
                <w:sz w:val="20"/>
                <w:szCs w:val="20"/>
                <w:lang w:val="pt-PT"/>
              </w:rPr>
            </w:pPr>
            <w:r w:rsidRPr="000C09F9">
              <w:rPr>
                <w:rFonts w:cs="Arial"/>
                <w:sz w:val="20"/>
                <w:szCs w:val="20"/>
                <w:lang w:val="pt-PT"/>
              </w:rPr>
              <w:t xml:space="preserve">Farmacodinâmica: </w:t>
            </w:r>
            <w:r>
              <w:rPr>
                <w:rFonts w:cs="Arial"/>
                <w:sz w:val="20"/>
                <w:szCs w:val="20"/>
                <w:lang w:val="pt-PT"/>
              </w:rPr>
              <w:t>C</w:t>
            </w:r>
            <w:r w:rsidRPr="000C09F9">
              <w:rPr>
                <w:rFonts w:cs="Arial"/>
                <w:sz w:val="20"/>
                <w:szCs w:val="20"/>
                <w:lang w:val="pt-PT"/>
              </w:rPr>
              <w:t xml:space="preserve">onceitos </w:t>
            </w:r>
            <w:r>
              <w:rPr>
                <w:rFonts w:cs="Arial"/>
                <w:sz w:val="20"/>
                <w:szCs w:val="20"/>
                <w:lang w:val="pt-PT"/>
              </w:rPr>
              <w:t>B</w:t>
            </w:r>
            <w:r w:rsidRPr="000C09F9">
              <w:rPr>
                <w:rFonts w:cs="Arial"/>
                <w:sz w:val="20"/>
                <w:szCs w:val="20"/>
                <w:lang w:val="pt-PT"/>
              </w:rPr>
              <w:t xml:space="preserve">ásicos </w:t>
            </w:r>
          </w:p>
          <w:p w:rsidR="00FC442D" w:rsidRPr="009C56EC" w:rsidRDefault="00FC442D" w:rsidP="00FC442D">
            <w:pPr>
              <w:tabs>
                <w:tab w:val="left" w:pos="244"/>
              </w:tabs>
              <w:spacing w:before="60" w:after="60" w:line="360" w:lineRule="auto"/>
              <w:jc w:val="both"/>
              <w:rPr>
                <w:rFonts w:cs="Arial"/>
                <w:sz w:val="20"/>
                <w:szCs w:val="20"/>
                <w:lang w:val="pt-PT"/>
              </w:rPr>
            </w:pPr>
          </w:p>
        </w:tc>
        <w:tc>
          <w:tcPr>
            <w:tcW w:w="4050" w:type="dxa"/>
            <w:tcBorders>
              <w:top w:val="single" w:sz="4" w:space="0" w:color="auto"/>
              <w:left w:val="single" w:sz="4" w:space="0" w:color="auto"/>
              <w:bottom w:val="single" w:sz="4" w:space="0" w:color="auto"/>
              <w:right w:val="single" w:sz="4" w:space="0" w:color="auto"/>
            </w:tcBorders>
            <w:shd w:val="clear" w:color="auto" w:fill="D9D9D9"/>
          </w:tcPr>
          <w:p w:rsidR="00FC442D" w:rsidRPr="009C56EC" w:rsidRDefault="00FC442D" w:rsidP="00FC442D">
            <w:pPr>
              <w:tabs>
                <w:tab w:val="left" w:pos="244"/>
              </w:tabs>
              <w:spacing w:before="60" w:after="60" w:line="360" w:lineRule="auto"/>
              <w:jc w:val="both"/>
              <w:rPr>
                <w:rFonts w:cs="Arial"/>
                <w:sz w:val="20"/>
                <w:szCs w:val="20"/>
                <w:lang w:val="pt-PT"/>
              </w:rPr>
            </w:pPr>
          </w:p>
        </w:tc>
        <w:tc>
          <w:tcPr>
            <w:tcW w:w="1710" w:type="dxa"/>
            <w:tcBorders>
              <w:top w:val="single" w:sz="4" w:space="0" w:color="auto"/>
              <w:left w:val="single" w:sz="4" w:space="0" w:color="auto"/>
              <w:bottom w:val="single" w:sz="4" w:space="0" w:color="auto"/>
            </w:tcBorders>
            <w:shd w:val="clear" w:color="auto" w:fill="D9D9D9"/>
          </w:tcPr>
          <w:p w:rsidR="00FC442D" w:rsidRPr="009C56EC" w:rsidRDefault="00FC442D" w:rsidP="00FC442D">
            <w:pPr>
              <w:tabs>
                <w:tab w:val="left" w:pos="244"/>
              </w:tabs>
              <w:spacing w:before="60" w:after="60" w:line="360" w:lineRule="auto"/>
              <w:jc w:val="both"/>
              <w:rPr>
                <w:rFonts w:cs="Arial"/>
                <w:sz w:val="20"/>
                <w:szCs w:val="20"/>
                <w:lang w:val="pt-PT"/>
              </w:rPr>
            </w:pPr>
          </w:p>
        </w:tc>
      </w:tr>
      <w:tr w:rsidR="00FC442D" w:rsidRPr="00FC6E81" w:rsidTr="00FC442D">
        <w:tc>
          <w:tcPr>
            <w:tcW w:w="738" w:type="dxa"/>
            <w:tcBorders>
              <w:top w:val="single" w:sz="4" w:space="0" w:color="auto"/>
              <w:bottom w:val="single" w:sz="4" w:space="0" w:color="auto"/>
              <w:right w:val="single" w:sz="4" w:space="0" w:color="auto"/>
            </w:tcBorders>
          </w:tcPr>
          <w:p w:rsidR="00FC442D" w:rsidRPr="009C56EC" w:rsidRDefault="00FC442D" w:rsidP="00FC442D">
            <w:pPr>
              <w:spacing w:before="60" w:after="60" w:line="360" w:lineRule="auto"/>
              <w:ind w:left="-110" w:right="-108"/>
              <w:jc w:val="center"/>
              <w:rPr>
                <w:rFonts w:cs="Arial"/>
                <w:sz w:val="20"/>
                <w:szCs w:val="20"/>
                <w:lang w:val="pt-PT"/>
              </w:rPr>
            </w:pPr>
            <w:r w:rsidRPr="009C56EC">
              <w:rPr>
                <w:rFonts w:cs="Arial"/>
                <w:sz w:val="20"/>
                <w:szCs w:val="20"/>
                <w:lang w:val="pt-PT"/>
              </w:rPr>
              <w:t>3</w:t>
            </w:r>
          </w:p>
        </w:tc>
        <w:tc>
          <w:tcPr>
            <w:tcW w:w="3690" w:type="dxa"/>
            <w:tcBorders>
              <w:top w:val="single" w:sz="4" w:space="0" w:color="auto"/>
              <w:left w:val="single" w:sz="4" w:space="0" w:color="auto"/>
              <w:bottom w:val="single" w:sz="4" w:space="0" w:color="auto"/>
              <w:right w:val="single" w:sz="4" w:space="0" w:color="auto"/>
            </w:tcBorders>
          </w:tcPr>
          <w:p w:rsidR="00FC442D" w:rsidRDefault="00FC442D" w:rsidP="00FC442D">
            <w:pPr>
              <w:tabs>
                <w:tab w:val="left" w:pos="244"/>
              </w:tabs>
              <w:spacing w:before="60" w:after="60" w:line="360" w:lineRule="auto"/>
              <w:jc w:val="both"/>
              <w:rPr>
                <w:rFonts w:cs="Arial"/>
                <w:iCs/>
                <w:sz w:val="20"/>
                <w:szCs w:val="20"/>
                <w:lang w:val="pt-PT"/>
              </w:rPr>
            </w:pPr>
            <w:r w:rsidRPr="000C09F9">
              <w:rPr>
                <w:rFonts w:cs="Arial"/>
                <w:iCs/>
                <w:sz w:val="20"/>
                <w:szCs w:val="20"/>
                <w:lang w:val="pt-PT"/>
              </w:rPr>
              <w:t xml:space="preserve">Interacções </w:t>
            </w:r>
            <w:r>
              <w:rPr>
                <w:rFonts w:cs="Arial"/>
                <w:iCs/>
                <w:sz w:val="20"/>
                <w:szCs w:val="20"/>
                <w:lang w:val="pt-PT"/>
              </w:rPr>
              <w:t>M</w:t>
            </w:r>
            <w:r w:rsidRPr="000C09F9">
              <w:rPr>
                <w:rFonts w:cs="Arial"/>
                <w:iCs/>
                <w:sz w:val="20"/>
                <w:szCs w:val="20"/>
                <w:lang w:val="pt-PT"/>
              </w:rPr>
              <w:t>edicamentosas</w:t>
            </w:r>
            <w:r>
              <w:rPr>
                <w:rFonts w:cs="Arial"/>
                <w:iCs/>
                <w:sz w:val="20"/>
                <w:szCs w:val="20"/>
                <w:lang w:val="pt-PT"/>
              </w:rPr>
              <w:t>, Terapia Combinada e Tratamento Empírico</w:t>
            </w:r>
            <w:r w:rsidRPr="000C09F9">
              <w:rPr>
                <w:rFonts w:cs="Arial"/>
                <w:iCs/>
                <w:sz w:val="20"/>
                <w:szCs w:val="20"/>
                <w:lang w:val="pt-PT"/>
              </w:rPr>
              <w:t xml:space="preserve"> </w:t>
            </w:r>
          </w:p>
          <w:p w:rsidR="00FC442D" w:rsidRPr="009C56EC" w:rsidRDefault="00FC442D" w:rsidP="00FC442D">
            <w:pPr>
              <w:tabs>
                <w:tab w:val="left" w:pos="244"/>
              </w:tabs>
              <w:spacing w:before="60" w:after="60" w:line="360" w:lineRule="auto"/>
              <w:jc w:val="both"/>
              <w:rPr>
                <w:rFonts w:cs="Arial"/>
                <w:iCs/>
                <w:sz w:val="20"/>
                <w:szCs w:val="20"/>
                <w:lang w:val="pt-PT"/>
              </w:rPr>
            </w:pPr>
          </w:p>
        </w:tc>
        <w:tc>
          <w:tcPr>
            <w:tcW w:w="4050" w:type="dxa"/>
            <w:tcBorders>
              <w:top w:val="single" w:sz="4" w:space="0" w:color="auto"/>
              <w:left w:val="single" w:sz="4" w:space="0" w:color="auto"/>
              <w:bottom w:val="single" w:sz="4" w:space="0" w:color="auto"/>
              <w:right w:val="single" w:sz="4" w:space="0" w:color="auto"/>
            </w:tcBorders>
          </w:tcPr>
          <w:p w:rsidR="00FC442D" w:rsidRPr="009C56EC" w:rsidRDefault="00FC442D" w:rsidP="00FC442D">
            <w:pPr>
              <w:spacing w:before="60" w:after="60" w:line="360" w:lineRule="auto"/>
              <w:ind w:left="-18" w:firstLine="18"/>
              <w:jc w:val="both"/>
              <w:rPr>
                <w:rFonts w:cs="Arial"/>
                <w:sz w:val="20"/>
                <w:szCs w:val="20"/>
                <w:lang w:val="pt-PT"/>
              </w:rPr>
            </w:pPr>
          </w:p>
        </w:tc>
        <w:tc>
          <w:tcPr>
            <w:tcW w:w="1710" w:type="dxa"/>
            <w:tcBorders>
              <w:top w:val="single" w:sz="4" w:space="0" w:color="auto"/>
              <w:left w:val="single" w:sz="4" w:space="0" w:color="auto"/>
              <w:bottom w:val="single" w:sz="4" w:space="0" w:color="auto"/>
            </w:tcBorders>
          </w:tcPr>
          <w:p w:rsidR="00FC442D" w:rsidRPr="009C56EC" w:rsidRDefault="00FC442D" w:rsidP="00FC442D">
            <w:pPr>
              <w:spacing w:before="60" w:after="60" w:line="360" w:lineRule="auto"/>
              <w:ind w:left="-18" w:firstLine="18"/>
              <w:jc w:val="both"/>
              <w:rPr>
                <w:rFonts w:cs="Arial"/>
                <w:sz w:val="20"/>
                <w:szCs w:val="20"/>
                <w:lang w:val="pt-PT"/>
              </w:rPr>
            </w:pPr>
          </w:p>
        </w:tc>
      </w:tr>
      <w:tr w:rsidR="00FC442D" w:rsidRPr="009C56EC" w:rsidTr="00FC442D">
        <w:tc>
          <w:tcPr>
            <w:tcW w:w="738" w:type="dxa"/>
            <w:tcBorders>
              <w:top w:val="single" w:sz="4" w:space="0" w:color="auto"/>
              <w:bottom w:val="single" w:sz="4" w:space="0" w:color="auto"/>
              <w:right w:val="single" w:sz="4" w:space="0" w:color="auto"/>
            </w:tcBorders>
            <w:shd w:val="clear" w:color="auto" w:fill="D9D9D9"/>
          </w:tcPr>
          <w:p w:rsidR="00FC442D" w:rsidRPr="009C56EC" w:rsidRDefault="00FC442D" w:rsidP="00FC442D">
            <w:pPr>
              <w:spacing w:before="60" w:after="60" w:line="360" w:lineRule="auto"/>
              <w:ind w:left="-110" w:right="-108"/>
              <w:jc w:val="center"/>
              <w:rPr>
                <w:rFonts w:cs="Arial"/>
                <w:sz w:val="20"/>
                <w:szCs w:val="20"/>
                <w:lang w:val="pt-PT"/>
              </w:rPr>
            </w:pPr>
            <w:r w:rsidRPr="009C56EC">
              <w:rPr>
                <w:rFonts w:cs="Arial"/>
                <w:sz w:val="20"/>
                <w:szCs w:val="20"/>
                <w:lang w:val="pt-PT"/>
              </w:rPr>
              <w:t>4</w:t>
            </w:r>
          </w:p>
        </w:tc>
        <w:tc>
          <w:tcPr>
            <w:tcW w:w="3690" w:type="dxa"/>
            <w:tcBorders>
              <w:top w:val="single" w:sz="4" w:space="0" w:color="auto"/>
              <w:left w:val="single" w:sz="4" w:space="0" w:color="auto"/>
              <w:bottom w:val="single" w:sz="4" w:space="0" w:color="auto"/>
              <w:right w:val="single" w:sz="4" w:space="0" w:color="auto"/>
            </w:tcBorders>
            <w:shd w:val="clear" w:color="auto" w:fill="D9D9D9"/>
          </w:tcPr>
          <w:p w:rsidR="00FC442D" w:rsidRDefault="00FC442D" w:rsidP="00FC442D">
            <w:pPr>
              <w:tabs>
                <w:tab w:val="left" w:pos="244"/>
              </w:tabs>
              <w:spacing w:before="60" w:after="60" w:line="360" w:lineRule="auto"/>
              <w:jc w:val="both"/>
              <w:rPr>
                <w:rFonts w:cs="Arial"/>
                <w:iCs/>
                <w:sz w:val="20"/>
                <w:szCs w:val="20"/>
                <w:lang w:val="pt-PT"/>
              </w:rPr>
            </w:pPr>
            <w:r>
              <w:rPr>
                <w:rFonts w:cs="Arial"/>
                <w:iCs/>
                <w:sz w:val="20"/>
                <w:szCs w:val="20"/>
                <w:lang w:val="pt-PT"/>
              </w:rPr>
              <w:t>Formulário Nacional de Medicamentos</w:t>
            </w:r>
          </w:p>
          <w:p w:rsidR="00FC442D" w:rsidRPr="009C56EC" w:rsidRDefault="00FC442D" w:rsidP="00FC442D">
            <w:pPr>
              <w:tabs>
                <w:tab w:val="left" w:pos="244"/>
              </w:tabs>
              <w:spacing w:before="60" w:after="60" w:line="360" w:lineRule="auto"/>
              <w:jc w:val="both"/>
              <w:rPr>
                <w:rFonts w:cs="Arial"/>
                <w:iCs/>
                <w:sz w:val="20"/>
                <w:szCs w:val="20"/>
                <w:lang w:val="pt-PT"/>
              </w:rPr>
            </w:pPr>
          </w:p>
        </w:tc>
        <w:tc>
          <w:tcPr>
            <w:tcW w:w="4050" w:type="dxa"/>
            <w:tcBorders>
              <w:top w:val="single" w:sz="4" w:space="0" w:color="auto"/>
              <w:left w:val="single" w:sz="4" w:space="0" w:color="auto"/>
              <w:bottom w:val="single" w:sz="4" w:space="0" w:color="auto"/>
              <w:right w:val="single" w:sz="4" w:space="0" w:color="auto"/>
            </w:tcBorders>
            <w:shd w:val="clear" w:color="auto" w:fill="D9D9D9"/>
          </w:tcPr>
          <w:p w:rsidR="00FC442D" w:rsidRPr="009C56EC" w:rsidRDefault="00FC442D" w:rsidP="00FC442D">
            <w:pPr>
              <w:spacing w:before="60" w:after="60" w:line="360" w:lineRule="auto"/>
              <w:ind w:left="-18" w:firstLine="18"/>
              <w:jc w:val="both"/>
              <w:rPr>
                <w:rFonts w:cs="Arial"/>
                <w:sz w:val="20"/>
                <w:szCs w:val="20"/>
                <w:lang w:val="pt-PT"/>
              </w:rPr>
            </w:pPr>
          </w:p>
        </w:tc>
        <w:tc>
          <w:tcPr>
            <w:tcW w:w="1710" w:type="dxa"/>
            <w:tcBorders>
              <w:top w:val="single" w:sz="4" w:space="0" w:color="auto"/>
              <w:left w:val="single" w:sz="4" w:space="0" w:color="auto"/>
              <w:bottom w:val="single" w:sz="4" w:space="0" w:color="auto"/>
            </w:tcBorders>
            <w:shd w:val="clear" w:color="auto" w:fill="D9D9D9"/>
          </w:tcPr>
          <w:p w:rsidR="00FC442D" w:rsidRPr="009C56EC" w:rsidRDefault="00FC442D" w:rsidP="00FC442D">
            <w:pPr>
              <w:spacing w:before="60" w:after="60" w:line="360" w:lineRule="auto"/>
              <w:ind w:left="-18" w:firstLine="18"/>
              <w:jc w:val="both"/>
              <w:rPr>
                <w:rFonts w:cs="Arial"/>
                <w:sz w:val="20"/>
                <w:szCs w:val="20"/>
                <w:lang w:val="pt-PT"/>
              </w:rPr>
            </w:pPr>
          </w:p>
        </w:tc>
      </w:tr>
      <w:tr w:rsidR="00FC442D" w:rsidRPr="009C56EC" w:rsidTr="00FC442D">
        <w:tc>
          <w:tcPr>
            <w:tcW w:w="738" w:type="dxa"/>
            <w:tcBorders>
              <w:top w:val="single" w:sz="4" w:space="0" w:color="auto"/>
              <w:bottom w:val="single" w:sz="18" w:space="0" w:color="auto"/>
              <w:right w:val="single" w:sz="4" w:space="0" w:color="auto"/>
            </w:tcBorders>
            <w:shd w:val="clear" w:color="auto" w:fill="FFFFFF"/>
          </w:tcPr>
          <w:p w:rsidR="00FC442D" w:rsidRPr="009C56EC" w:rsidRDefault="00FC442D" w:rsidP="00FC442D">
            <w:pPr>
              <w:spacing w:before="60" w:after="60" w:line="360" w:lineRule="auto"/>
              <w:ind w:left="-110" w:right="-108"/>
              <w:jc w:val="center"/>
              <w:rPr>
                <w:rFonts w:cs="Arial"/>
                <w:sz w:val="20"/>
                <w:szCs w:val="20"/>
                <w:lang w:val="pt-PT"/>
              </w:rPr>
            </w:pPr>
            <w:r>
              <w:rPr>
                <w:rFonts w:cs="Arial"/>
                <w:sz w:val="20"/>
                <w:szCs w:val="20"/>
                <w:lang w:val="pt-PT"/>
              </w:rPr>
              <w:t>5</w:t>
            </w:r>
          </w:p>
        </w:tc>
        <w:tc>
          <w:tcPr>
            <w:tcW w:w="3690" w:type="dxa"/>
            <w:tcBorders>
              <w:top w:val="single" w:sz="4" w:space="0" w:color="auto"/>
              <w:left w:val="single" w:sz="4" w:space="0" w:color="auto"/>
              <w:bottom w:val="single" w:sz="18" w:space="0" w:color="auto"/>
              <w:right w:val="single" w:sz="4" w:space="0" w:color="auto"/>
            </w:tcBorders>
            <w:shd w:val="clear" w:color="auto" w:fill="FFFFFF"/>
          </w:tcPr>
          <w:p w:rsidR="00FC442D" w:rsidRDefault="00FC442D" w:rsidP="00FC442D">
            <w:pPr>
              <w:tabs>
                <w:tab w:val="left" w:pos="244"/>
              </w:tabs>
              <w:spacing w:before="60" w:after="60" w:line="360" w:lineRule="auto"/>
              <w:jc w:val="both"/>
              <w:rPr>
                <w:rFonts w:cs="Arial"/>
                <w:iCs/>
                <w:sz w:val="20"/>
                <w:szCs w:val="20"/>
                <w:lang w:val="pt-PT"/>
              </w:rPr>
            </w:pPr>
            <w:r>
              <w:rPr>
                <w:rFonts w:cs="Arial"/>
                <w:iCs/>
                <w:sz w:val="20"/>
                <w:szCs w:val="20"/>
                <w:lang w:val="pt-PT"/>
              </w:rPr>
              <w:t>Pontos-chave</w:t>
            </w:r>
          </w:p>
          <w:p w:rsidR="00FC442D" w:rsidRPr="000C09F9" w:rsidRDefault="00FC442D" w:rsidP="00FC442D">
            <w:pPr>
              <w:tabs>
                <w:tab w:val="left" w:pos="244"/>
              </w:tabs>
              <w:spacing w:before="60" w:after="60" w:line="360" w:lineRule="auto"/>
              <w:jc w:val="both"/>
              <w:rPr>
                <w:rFonts w:cs="Arial"/>
                <w:iCs/>
                <w:sz w:val="20"/>
                <w:szCs w:val="20"/>
                <w:lang w:val="pt-PT"/>
              </w:rPr>
            </w:pPr>
          </w:p>
        </w:tc>
        <w:tc>
          <w:tcPr>
            <w:tcW w:w="4050" w:type="dxa"/>
            <w:tcBorders>
              <w:top w:val="single" w:sz="4" w:space="0" w:color="auto"/>
              <w:left w:val="single" w:sz="4" w:space="0" w:color="auto"/>
              <w:bottom w:val="single" w:sz="18" w:space="0" w:color="auto"/>
              <w:right w:val="single" w:sz="4" w:space="0" w:color="auto"/>
            </w:tcBorders>
            <w:shd w:val="clear" w:color="auto" w:fill="FFFFFF"/>
          </w:tcPr>
          <w:p w:rsidR="00FC442D" w:rsidRPr="009C56EC" w:rsidRDefault="00FC442D" w:rsidP="00FC442D">
            <w:pPr>
              <w:spacing w:before="60" w:after="60" w:line="360" w:lineRule="auto"/>
              <w:ind w:left="-18" w:firstLine="18"/>
              <w:jc w:val="both"/>
              <w:rPr>
                <w:rFonts w:cs="Arial"/>
                <w:sz w:val="20"/>
                <w:szCs w:val="20"/>
                <w:lang w:val="pt-PT"/>
              </w:rPr>
            </w:pPr>
          </w:p>
        </w:tc>
        <w:tc>
          <w:tcPr>
            <w:tcW w:w="1710" w:type="dxa"/>
            <w:tcBorders>
              <w:top w:val="single" w:sz="4" w:space="0" w:color="auto"/>
              <w:left w:val="single" w:sz="4" w:space="0" w:color="auto"/>
              <w:bottom w:val="single" w:sz="18" w:space="0" w:color="auto"/>
            </w:tcBorders>
            <w:shd w:val="clear" w:color="auto" w:fill="FFFFFF"/>
          </w:tcPr>
          <w:p w:rsidR="00FC442D" w:rsidRPr="009C56EC" w:rsidRDefault="00FC442D" w:rsidP="00FC442D">
            <w:pPr>
              <w:spacing w:before="60" w:after="60" w:line="360" w:lineRule="auto"/>
              <w:ind w:left="-18" w:firstLine="18"/>
              <w:jc w:val="both"/>
              <w:rPr>
                <w:rFonts w:cs="Arial"/>
                <w:sz w:val="20"/>
                <w:szCs w:val="20"/>
                <w:lang w:val="pt-PT"/>
              </w:rPr>
            </w:pPr>
          </w:p>
        </w:tc>
      </w:tr>
    </w:tbl>
    <w:p w:rsidR="00BE2C41" w:rsidRDefault="00BE2C41" w:rsidP="00FC442D">
      <w:pPr>
        <w:tabs>
          <w:tab w:val="left" w:pos="424"/>
        </w:tabs>
        <w:spacing w:before="60"/>
        <w:jc w:val="both"/>
        <w:rPr>
          <w:rFonts w:cs="Arial"/>
          <w:b/>
          <w:lang w:val="pt-PT"/>
        </w:rPr>
      </w:pPr>
    </w:p>
    <w:p w:rsidR="00EB2A96" w:rsidRDefault="00EB2A96">
      <w:pPr>
        <w:rPr>
          <w:rFonts w:cs="Arial"/>
          <w:b/>
          <w:lang w:val="pt-PT"/>
        </w:rPr>
      </w:pPr>
      <w:r>
        <w:rPr>
          <w:rFonts w:cs="Arial"/>
          <w:b/>
          <w:lang w:val="pt-PT"/>
        </w:rPr>
        <w:br w:type="page"/>
      </w:r>
    </w:p>
    <w:p w:rsidR="00FC442D" w:rsidRPr="009C56EC" w:rsidRDefault="00FC442D" w:rsidP="00FC442D">
      <w:pPr>
        <w:tabs>
          <w:tab w:val="left" w:pos="424"/>
        </w:tabs>
        <w:spacing w:before="60"/>
        <w:jc w:val="both"/>
        <w:rPr>
          <w:rFonts w:cs="Arial"/>
          <w:b/>
          <w:lang w:val="pt-PT"/>
        </w:rPr>
      </w:pPr>
      <w:r w:rsidRPr="009C56EC">
        <w:rPr>
          <w:rFonts w:cs="Arial"/>
          <w:b/>
          <w:lang w:val="pt-PT"/>
        </w:rPr>
        <w:lastRenderedPageBreak/>
        <w:t>Equipamentos e meios audiovisuais necessários:</w:t>
      </w:r>
    </w:p>
    <w:p w:rsidR="00FC442D" w:rsidRPr="009C56EC" w:rsidRDefault="00FC442D" w:rsidP="00FC442D">
      <w:pPr>
        <w:tabs>
          <w:tab w:val="left" w:pos="424"/>
        </w:tabs>
        <w:jc w:val="both"/>
        <w:rPr>
          <w:rFonts w:cs="Arial"/>
          <w:lang w:val="pt-PT"/>
        </w:rPr>
      </w:pPr>
    </w:p>
    <w:p w:rsidR="00FC442D" w:rsidRPr="009C56EC" w:rsidRDefault="00FC442D" w:rsidP="00FC442D">
      <w:pPr>
        <w:tabs>
          <w:tab w:val="left" w:pos="424"/>
        </w:tabs>
        <w:jc w:val="both"/>
        <w:rPr>
          <w:rFonts w:cs="Arial"/>
          <w:lang w:val="pt-PT"/>
        </w:rPr>
      </w:pPr>
    </w:p>
    <w:p w:rsidR="00BE2C41" w:rsidRDefault="00BE2C41" w:rsidP="00FC442D">
      <w:pPr>
        <w:tabs>
          <w:tab w:val="left" w:pos="424"/>
        </w:tabs>
        <w:jc w:val="both"/>
        <w:rPr>
          <w:rFonts w:cs="Arial"/>
          <w:b/>
          <w:lang w:val="pt-PT"/>
        </w:rPr>
      </w:pPr>
    </w:p>
    <w:p w:rsidR="00BE2C41" w:rsidRDefault="00BE2C41" w:rsidP="00FC442D">
      <w:pPr>
        <w:tabs>
          <w:tab w:val="left" w:pos="424"/>
        </w:tabs>
        <w:jc w:val="both"/>
        <w:rPr>
          <w:rFonts w:cs="Arial"/>
          <w:b/>
          <w:lang w:val="pt-PT"/>
        </w:rPr>
      </w:pPr>
    </w:p>
    <w:p w:rsidR="00951225" w:rsidRDefault="00951225" w:rsidP="00FC442D">
      <w:pPr>
        <w:tabs>
          <w:tab w:val="left" w:pos="424"/>
        </w:tabs>
        <w:jc w:val="both"/>
        <w:rPr>
          <w:rFonts w:cs="Arial"/>
          <w:b/>
          <w:lang w:val="pt-PT"/>
        </w:rPr>
      </w:pPr>
    </w:p>
    <w:p w:rsidR="00EB2A96" w:rsidRDefault="00EB2A96" w:rsidP="00FC442D">
      <w:pPr>
        <w:tabs>
          <w:tab w:val="left" w:pos="424"/>
        </w:tabs>
        <w:jc w:val="both"/>
        <w:rPr>
          <w:rFonts w:cs="Arial"/>
          <w:b/>
          <w:lang w:val="pt-PT"/>
        </w:rPr>
      </w:pPr>
    </w:p>
    <w:p w:rsidR="00EB2A96" w:rsidRDefault="00EB2A96" w:rsidP="00FC442D">
      <w:pPr>
        <w:tabs>
          <w:tab w:val="left" w:pos="424"/>
        </w:tabs>
        <w:jc w:val="both"/>
        <w:rPr>
          <w:rFonts w:cs="Arial"/>
          <w:b/>
          <w:lang w:val="pt-PT"/>
        </w:rPr>
      </w:pPr>
    </w:p>
    <w:p w:rsidR="00EB2A96" w:rsidRDefault="00EB2A96" w:rsidP="00FC442D">
      <w:pPr>
        <w:tabs>
          <w:tab w:val="left" w:pos="424"/>
        </w:tabs>
        <w:jc w:val="both"/>
        <w:rPr>
          <w:rFonts w:cs="Arial"/>
          <w:b/>
          <w:lang w:val="pt-PT"/>
        </w:rPr>
      </w:pPr>
    </w:p>
    <w:p w:rsidR="00EB2A96" w:rsidRDefault="00EB2A96" w:rsidP="00FC442D">
      <w:pPr>
        <w:tabs>
          <w:tab w:val="left" w:pos="424"/>
        </w:tabs>
        <w:jc w:val="both"/>
        <w:rPr>
          <w:rFonts w:cs="Arial"/>
          <w:b/>
          <w:lang w:val="pt-PT"/>
        </w:rPr>
      </w:pPr>
    </w:p>
    <w:p w:rsidR="00EB2A96" w:rsidRDefault="00EB2A96" w:rsidP="00FC442D">
      <w:pPr>
        <w:tabs>
          <w:tab w:val="left" w:pos="424"/>
        </w:tabs>
        <w:jc w:val="both"/>
        <w:rPr>
          <w:rFonts w:cs="Arial"/>
          <w:b/>
          <w:lang w:val="pt-PT"/>
        </w:rPr>
      </w:pPr>
    </w:p>
    <w:p w:rsidR="00EB2A96" w:rsidRDefault="00EB2A96" w:rsidP="00FC442D">
      <w:pPr>
        <w:tabs>
          <w:tab w:val="left" w:pos="424"/>
        </w:tabs>
        <w:jc w:val="both"/>
        <w:rPr>
          <w:rFonts w:cs="Arial"/>
          <w:b/>
          <w:lang w:val="pt-PT"/>
        </w:rPr>
      </w:pPr>
    </w:p>
    <w:p w:rsidR="00FC442D" w:rsidRPr="009C56EC" w:rsidRDefault="00FC442D" w:rsidP="00FC442D">
      <w:pPr>
        <w:tabs>
          <w:tab w:val="left" w:pos="424"/>
        </w:tabs>
        <w:jc w:val="both"/>
        <w:rPr>
          <w:rFonts w:cs="Arial"/>
          <w:lang w:val="pt-PT"/>
        </w:rPr>
      </w:pPr>
      <w:r w:rsidRPr="009C56EC">
        <w:rPr>
          <w:rFonts w:cs="Arial"/>
          <w:b/>
          <w:lang w:val="pt-PT"/>
        </w:rPr>
        <w:t>Trabalhos para casa (TPC), exercícios e textos para leitura – incluir data a ser entregue:</w:t>
      </w:r>
      <w:r w:rsidRPr="009C56EC">
        <w:rPr>
          <w:rFonts w:cs="Arial"/>
          <w:lang w:val="pt-PT"/>
        </w:rPr>
        <w:t xml:space="preserve"> </w:t>
      </w:r>
    </w:p>
    <w:p w:rsidR="00FC442D" w:rsidRPr="009C56EC" w:rsidRDefault="00FC442D" w:rsidP="00FC442D">
      <w:pPr>
        <w:tabs>
          <w:tab w:val="left" w:pos="424"/>
        </w:tabs>
        <w:jc w:val="both"/>
        <w:rPr>
          <w:rFonts w:cs="Arial"/>
          <w:lang w:val="pt-PT"/>
        </w:rPr>
      </w:pPr>
    </w:p>
    <w:p w:rsidR="00FC442D" w:rsidRPr="009C56EC" w:rsidRDefault="00FC442D" w:rsidP="00FC442D">
      <w:pPr>
        <w:tabs>
          <w:tab w:val="left" w:pos="424"/>
        </w:tabs>
        <w:jc w:val="both"/>
        <w:rPr>
          <w:rFonts w:cs="Arial"/>
          <w:lang w:val="pt-PT"/>
        </w:rPr>
      </w:pPr>
    </w:p>
    <w:p w:rsidR="00FC442D" w:rsidRPr="009C56EC" w:rsidRDefault="00FC442D" w:rsidP="00FC442D">
      <w:pPr>
        <w:tabs>
          <w:tab w:val="left" w:pos="424"/>
        </w:tabs>
        <w:jc w:val="both"/>
        <w:rPr>
          <w:rFonts w:cs="Arial"/>
          <w:lang w:val="pt-PT"/>
        </w:rPr>
      </w:pPr>
    </w:p>
    <w:p w:rsidR="00FC442D" w:rsidRPr="009C56EC" w:rsidRDefault="00FC442D" w:rsidP="00FC442D">
      <w:pPr>
        <w:tabs>
          <w:tab w:val="left" w:pos="424"/>
        </w:tabs>
        <w:jc w:val="both"/>
        <w:rPr>
          <w:rFonts w:cs="Arial"/>
          <w:lang w:val="pt-PT"/>
        </w:rPr>
      </w:pPr>
    </w:p>
    <w:p w:rsidR="00FC442D" w:rsidRPr="009C56EC" w:rsidRDefault="00FC442D" w:rsidP="00FC442D">
      <w:pPr>
        <w:tabs>
          <w:tab w:val="left" w:pos="424"/>
        </w:tabs>
        <w:jc w:val="both"/>
        <w:rPr>
          <w:rFonts w:cs="Arial"/>
          <w:lang w:val="pt-PT"/>
        </w:rPr>
      </w:pPr>
    </w:p>
    <w:p w:rsidR="00FC442D" w:rsidRDefault="00FC442D" w:rsidP="00FC442D">
      <w:pPr>
        <w:tabs>
          <w:tab w:val="left" w:pos="424"/>
        </w:tabs>
        <w:jc w:val="both"/>
        <w:rPr>
          <w:rFonts w:cs="Arial"/>
          <w:lang w:val="pt-PT"/>
        </w:rPr>
      </w:pPr>
    </w:p>
    <w:p w:rsidR="006B444A" w:rsidRDefault="006B444A" w:rsidP="00FC442D">
      <w:pPr>
        <w:tabs>
          <w:tab w:val="left" w:pos="424"/>
        </w:tabs>
        <w:jc w:val="both"/>
        <w:rPr>
          <w:rFonts w:cs="Arial"/>
          <w:lang w:val="pt-PT"/>
        </w:rPr>
      </w:pPr>
    </w:p>
    <w:p w:rsidR="006B444A" w:rsidRDefault="006B444A" w:rsidP="00FC442D">
      <w:pPr>
        <w:tabs>
          <w:tab w:val="left" w:pos="424"/>
        </w:tabs>
        <w:jc w:val="both"/>
        <w:rPr>
          <w:rFonts w:cs="Arial"/>
          <w:lang w:val="pt-PT"/>
        </w:rPr>
      </w:pPr>
    </w:p>
    <w:p w:rsidR="006B444A" w:rsidRDefault="006B444A" w:rsidP="00FC442D">
      <w:pPr>
        <w:tabs>
          <w:tab w:val="left" w:pos="424"/>
        </w:tabs>
        <w:jc w:val="both"/>
        <w:rPr>
          <w:rFonts w:cs="Arial"/>
          <w:lang w:val="pt-PT"/>
        </w:rPr>
      </w:pPr>
    </w:p>
    <w:p w:rsidR="006B444A" w:rsidRPr="009C56EC" w:rsidRDefault="006B444A" w:rsidP="00FC442D">
      <w:pPr>
        <w:tabs>
          <w:tab w:val="left" w:pos="424"/>
        </w:tabs>
        <w:jc w:val="both"/>
        <w:rPr>
          <w:rFonts w:cs="Arial"/>
          <w:lang w:val="pt-PT"/>
        </w:rPr>
      </w:pPr>
    </w:p>
    <w:p w:rsidR="00FC442D" w:rsidRPr="00927EAF" w:rsidRDefault="00FC442D" w:rsidP="00927EAF">
      <w:pPr>
        <w:rPr>
          <w:b/>
          <w:lang w:val="pt-PT"/>
        </w:rPr>
      </w:pPr>
      <w:r w:rsidRPr="00927EAF">
        <w:rPr>
          <w:b/>
          <w:sz w:val="24"/>
          <w:szCs w:val="24"/>
          <w:lang w:val="pt-PT"/>
        </w:rPr>
        <w:t>Bibliografia (r</w:t>
      </w:r>
      <w:r w:rsidRPr="00927EAF">
        <w:rPr>
          <w:b/>
          <w:lang w:val="pt-PT"/>
        </w:rPr>
        <w:t>eferências usadas para o desenvolvimento do conteúdo):</w:t>
      </w:r>
    </w:p>
    <w:p w:rsidR="00FC442D" w:rsidRPr="009C56EC" w:rsidRDefault="00FC442D" w:rsidP="00FC442D">
      <w:pPr>
        <w:rPr>
          <w:lang w:val="pt-PT"/>
        </w:rPr>
      </w:pPr>
      <w:r w:rsidRPr="008B3390">
        <w:rPr>
          <w:lang w:val="en-GB"/>
        </w:rPr>
        <w:t xml:space="preserve">Brunton LL, Lazo JS, Parker KL. </w:t>
      </w:r>
      <w:r w:rsidRPr="009C56EC">
        <w:rPr>
          <w:lang w:val="pt-PT"/>
        </w:rPr>
        <w:t>Goodman e Gilman - As bases farmacológicas da terapêutica. 11 Edição. Brasil: Mcgraw-Hill; 2006.</w:t>
      </w:r>
    </w:p>
    <w:p w:rsidR="00FC442D" w:rsidRPr="009C56EC" w:rsidRDefault="00FC442D" w:rsidP="00FC442D">
      <w:pPr>
        <w:rPr>
          <w:lang w:val="pt-PT"/>
        </w:rPr>
      </w:pPr>
      <w:r w:rsidRPr="009C56EC">
        <w:rPr>
          <w:lang w:val="pt-PT"/>
        </w:rPr>
        <w:t>Katzung B. Farmacologia básica e clínica. 9 Edição. Brasil: Guanabara Koogan; 2006.</w:t>
      </w:r>
    </w:p>
    <w:p w:rsidR="00FC442D" w:rsidRDefault="00FC442D" w:rsidP="00FC442D">
      <w:pPr>
        <w:rPr>
          <w:lang w:val="pt-PT"/>
        </w:rPr>
      </w:pPr>
      <w:r>
        <w:rPr>
          <w:lang w:val="pt-PT"/>
        </w:rPr>
        <w:t xml:space="preserve">MISAU. Formulário Nacional de Medicamentos. 5ª edição. Maputo. </w:t>
      </w:r>
    </w:p>
    <w:p w:rsidR="00FC442D" w:rsidRPr="00F47FAF" w:rsidRDefault="00FC442D" w:rsidP="00FC442D">
      <w:r w:rsidRPr="009C56EC">
        <w:rPr>
          <w:lang w:val="pt-PT"/>
        </w:rPr>
        <w:t xml:space="preserve">Nelson DL, Cox MM. Princípios de bioquímica do Lehninger. </w:t>
      </w:r>
      <w:proofErr w:type="gramStart"/>
      <w:r w:rsidRPr="00F47FAF">
        <w:t>4 edição.</w:t>
      </w:r>
      <w:proofErr w:type="gramEnd"/>
      <w:r w:rsidRPr="00F47FAF">
        <w:t xml:space="preserve"> </w:t>
      </w:r>
      <w:proofErr w:type="gramStart"/>
      <w:r w:rsidRPr="00F47FAF">
        <w:t>W.H. Freeman; 2004.</w:t>
      </w:r>
      <w:proofErr w:type="gramEnd"/>
      <w:r w:rsidRPr="00F47FAF">
        <w:t xml:space="preserve"> </w:t>
      </w:r>
    </w:p>
    <w:p w:rsidR="00BE2C41" w:rsidRDefault="00BE2C41">
      <w:pPr>
        <w:rPr>
          <w:rFonts w:cs="Arial"/>
        </w:rPr>
      </w:pPr>
      <w:r>
        <w:rPr>
          <w:rFonts w:cs="Arial"/>
        </w:rPr>
        <w:br w:type="page"/>
      </w:r>
    </w:p>
    <w:p w:rsidR="00FC442D" w:rsidRPr="000B25DB" w:rsidRDefault="00FC442D" w:rsidP="00FC442D">
      <w:pPr>
        <w:pStyle w:val="TM-1n"/>
        <w:numPr>
          <w:ilvl w:val="0"/>
          <w:numId w:val="0"/>
        </w:numPr>
        <w:shd w:val="clear" w:color="auto" w:fill="C6D9F1"/>
        <w:tabs>
          <w:tab w:val="clear" w:pos="9072"/>
        </w:tabs>
        <w:spacing w:before="120" w:after="120"/>
      </w:pPr>
      <w:proofErr w:type="gramStart"/>
      <w:r w:rsidRPr="00F47FAF">
        <w:rPr>
          <w:lang w:val="en-US"/>
        </w:rPr>
        <w:lastRenderedPageBreak/>
        <w:t>BLOCO 1.</w:t>
      </w:r>
      <w:proofErr w:type="gramEnd"/>
      <w:r w:rsidRPr="00F47FAF">
        <w:rPr>
          <w:lang w:val="en-US"/>
        </w:rPr>
        <w:t xml:space="preserve"> </w:t>
      </w:r>
      <w:r>
        <w:t>INTRODUÇÃO A AULA</w:t>
      </w:r>
    </w:p>
    <w:p w:rsidR="00FC442D" w:rsidRPr="00FC442D" w:rsidRDefault="00FC442D" w:rsidP="00C52E09">
      <w:pPr>
        <w:pStyle w:val="TM-2n"/>
        <w:numPr>
          <w:ilvl w:val="1"/>
          <w:numId w:val="170"/>
        </w:numPr>
        <w:spacing w:before="120" w:after="0"/>
        <w:rPr>
          <w:rFonts w:eastAsia="Calibri" w:cs="Times New Roman"/>
        </w:rPr>
      </w:pPr>
      <w:r w:rsidRPr="00FC442D">
        <w:rPr>
          <w:rFonts w:eastAsia="Calibri" w:cs="Times New Roman"/>
        </w:rPr>
        <w:t>Apresentação do tópico, conteúdos e objectivos de aprendizagem.</w:t>
      </w:r>
    </w:p>
    <w:p w:rsidR="00FC442D" w:rsidRPr="009A2970" w:rsidRDefault="00FC442D" w:rsidP="00FC442D">
      <w:pPr>
        <w:numPr>
          <w:ilvl w:val="1"/>
          <w:numId w:val="2"/>
        </w:numPr>
        <w:tabs>
          <w:tab w:val="clear" w:pos="567"/>
        </w:tabs>
        <w:spacing w:before="120" w:after="0"/>
        <w:ind w:left="446" w:hanging="446"/>
        <w:jc w:val="both"/>
        <w:rPr>
          <w:rFonts w:eastAsia="Calibri" w:cs="Times New Roman"/>
          <w:lang w:val="pt-PT" w:eastAsia="es-ES"/>
        </w:rPr>
      </w:pPr>
      <w:r w:rsidRPr="009A2970">
        <w:rPr>
          <w:rFonts w:eastAsia="Calibri" w:cs="Times New Roman"/>
          <w:lang w:val="pt-PT" w:eastAsia="es-ES"/>
        </w:rPr>
        <w:t>Apresentação da estrutura da aula.</w:t>
      </w:r>
    </w:p>
    <w:p w:rsidR="00FC442D" w:rsidRDefault="00FC442D" w:rsidP="00FC442D">
      <w:pPr>
        <w:numPr>
          <w:ilvl w:val="1"/>
          <w:numId w:val="2"/>
        </w:numPr>
        <w:tabs>
          <w:tab w:val="clear" w:pos="567"/>
        </w:tabs>
        <w:spacing w:before="120" w:after="0"/>
        <w:ind w:left="446" w:hanging="446"/>
        <w:jc w:val="both"/>
        <w:rPr>
          <w:rFonts w:eastAsia="Calibri" w:cs="Times New Roman"/>
          <w:lang w:val="pt-PT" w:eastAsia="es-ES"/>
        </w:rPr>
      </w:pPr>
      <w:r w:rsidRPr="009A2970">
        <w:rPr>
          <w:rFonts w:eastAsia="Calibri" w:cs="Times New Roman"/>
          <w:lang w:val="pt-PT" w:eastAsia="es-ES"/>
        </w:rPr>
        <w:t xml:space="preserve">Apresentação da bibliografia que o aluno deverá consultar para ampliar </w:t>
      </w:r>
      <w:r>
        <w:rPr>
          <w:rFonts w:eastAsia="Calibri" w:cs="Times New Roman"/>
          <w:lang w:val="pt-PT" w:eastAsia="es-ES"/>
        </w:rPr>
        <w:t xml:space="preserve">os </w:t>
      </w:r>
      <w:r w:rsidRPr="009A2970">
        <w:rPr>
          <w:rFonts w:eastAsia="Calibri" w:cs="Times New Roman"/>
          <w:lang w:val="pt-PT" w:eastAsia="es-ES"/>
        </w:rPr>
        <w:t>conhecimentos.</w:t>
      </w:r>
    </w:p>
    <w:p w:rsidR="00BE2C41" w:rsidRPr="009A2970" w:rsidRDefault="00BE2C41" w:rsidP="00BE2C41">
      <w:pPr>
        <w:spacing w:before="120" w:after="0"/>
        <w:ind w:left="446"/>
        <w:jc w:val="both"/>
        <w:rPr>
          <w:rFonts w:eastAsia="Calibri" w:cs="Times New Roman"/>
          <w:lang w:val="pt-PT" w:eastAsia="es-ES"/>
        </w:rPr>
      </w:pPr>
    </w:p>
    <w:p w:rsidR="00FC442D" w:rsidRPr="000B25DB" w:rsidRDefault="00FC442D" w:rsidP="00FC442D">
      <w:pPr>
        <w:pStyle w:val="TM-1n"/>
        <w:numPr>
          <w:ilvl w:val="0"/>
          <w:numId w:val="0"/>
        </w:numPr>
        <w:shd w:val="clear" w:color="auto" w:fill="C6D9F1"/>
        <w:tabs>
          <w:tab w:val="clear" w:pos="9072"/>
        </w:tabs>
      </w:pPr>
      <w:r>
        <w:t>BLOCO 2: FARMACODINÂMICA: CONCEITOS BÁSICOS</w:t>
      </w:r>
    </w:p>
    <w:p w:rsidR="00FC442D" w:rsidRPr="009A2970" w:rsidRDefault="00FC442D" w:rsidP="00C52E09">
      <w:pPr>
        <w:numPr>
          <w:ilvl w:val="0"/>
          <w:numId w:val="163"/>
        </w:numPr>
        <w:spacing w:before="120" w:after="0"/>
        <w:ind w:left="450" w:hanging="450"/>
        <w:jc w:val="both"/>
        <w:rPr>
          <w:rFonts w:cs="Arial"/>
          <w:lang w:val="pt-PT"/>
        </w:rPr>
      </w:pPr>
      <w:r w:rsidRPr="009A2970">
        <w:rPr>
          <w:rFonts w:cs="Arial"/>
          <w:lang w:val="pt-PT"/>
        </w:rPr>
        <w:t xml:space="preserve">A farmacodinâmica estuda o que acontece ao organismo devido a acção dos fármacos. Isto é, </w:t>
      </w:r>
      <w:r>
        <w:rPr>
          <w:rFonts w:cs="Arial"/>
          <w:lang w:val="pt-PT"/>
        </w:rPr>
        <w:t xml:space="preserve">local de acção, </w:t>
      </w:r>
      <w:r w:rsidRPr="009A2970">
        <w:rPr>
          <w:rFonts w:cs="Arial"/>
          <w:lang w:val="pt-PT"/>
        </w:rPr>
        <w:t>os seus mecanismos de acção, e a relação entre a concentração dum fármaco e o seu efeito.</w:t>
      </w:r>
    </w:p>
    <w:p w:rsidR="00FC442D" w:rsidRPr="009A2970" w:rsidRDefault="00FC442D" w:rsidP="00C52E09">
      <w:pPr>
        <w:numPr>
          <w:ilvl w:val="0"/>
          <w:numId w:val="163"/>
        </w:numPr>
        <w:spacing w:before="120" w:after="0"/>
        <w:ind w:left="450" w:hanging="450"/>
        <w:jc w:val="both"/>
        <w:rPr>
          <w:rFonts w:cs="Arial"/>
          <w:lang w:val="pt-PT"/>
        </w:rPr>
      </w:pPr>
      <w:r w:rsidRPr="009A2970">
        <w:rPr>
          <w:rFonts w:cs="Arial"/>
          <w:lang w:val="pt-PT"/>
        </w:rPr>
        <w:t>Os principais mecanismos de acção dos fármacos são diversos, e variam desde uma simples reacção química (por exemplo, os antiácidos no estômago, como o hidróxido de alumínio - Al(OH)</w:t>
      </w:r>
      <w:r w:rsidRPr="009A2970">
        <w:rPr>
          <w:rFonts w:cs="Arial"/>
          <w:vertAlign w:val="subscript"/>
          <w:lang w:val="pt-PT"/>
        </w:rPr>
        <w:t>3</w:t>
      </w:r>
      <w:r w:rsidRPr="009A2970">
        <w:rPr>
          <w:rFonts w:cs="Arial"/>
          <w:lang w:val="pt-PT"/>
        </w:rPr>
        <w:t>), até a interacção com sistemas enzimáticos (por exemplo, alguns anti-hipertensivos).</w:t>
      </w:r>
    </w:p>
    <w:p w:rsidR="00FC442D" w:rsidRPr="009A2970" w:rsidRDefault="00FC442D" w:rsidP="00C52E09">
      <w:pPr>
        <w:numPr>
          <w:ilvl w:val="0"/>
          <w:numId w:val="163"/>
        </w:numPr>
        <w:spacing w:before="120" w:after="0"/>
        <w:ind w:left="450" w:hanging="450"/>
        <w:jc w:val="both"/>
        <w:rPr>
          <w:rFonts w:cs="Arial"/>
          <w:lang w:val="pt-PT"/>
        </w:rPr>
      </w:pPr>
      <w:r w:rsidRPr="009A2970">
        <w:rPr>
          <w:rFonts w:cs="Arial"/>
          <w:lang w:val="pt-PT"/>
        </w:rPr>
        <w:t>Uma grande quantidade de fármacos actua reconhecendo receptores na superfície celular. Uma vez ligados a um receptor, os fármacos podem ter duas acções principais, classificando em:</w:t>
      </w:r>
    </w:p>
    <w:p w:rsidR="00FC442D" w:rsidRPr="009A2970" w:rsidRDefault="00FC442D" w:rsidP="00C52E09">
      <w:pPr>
        <w:numPr>
          <w:ilvl w:val="0"/>
          <w:numId w:val="164"/>
        </w:numPr>
        <w:spacing w:before="120" w:after="0"/>
        <w:ind w:left="1080" w:hanging="630"/>
        <w:jc w:val="both"/>
        <w:rPr>
          <w:rFonts w:cs="Arial"/>
          <w:lang w:val="pt-PT"/>
        </w:rPr>
      </w:pPr>
      <w:r w:rsidRPr="009A2970">
        <w:rPr>
          <w:rFonts w:cs="Arial"/>
          <w:b/>
          <w:i/>
          <w:lang w:val="pt-PT"/>
        </w:rPr>
        <w:t>Fármacos agonistas</w:t>
      </w:r>
      <w:r w:rsidRPr="009A2970">
        <w:rPr>
          <w:rFonts w:cs="Arial"/>
          <w:lang w:val="pt-PT"/>
        </w:rPr>
        <w:t>: São aqueles que se combinam com o receptor, e estimulam um determinado processo. Por exemplo, a morfina, que activa receptores a nível do sistema nervoso central.</w:t>
      </w:r>
    </w:p>
    <w:p w:rsidR="00FC442D" w:rsidRPr="009A2970" w:rsidRDefault="00FC442D" w:rsidP="00C52E09">
      <w:pPr>
        <w:numPr>
          <w:ilvl w:val="0"/>
          <w:numId w:val="164"/>
        </w:numPr>
        <w:spacing w:before="120" w:after="0"/>
        <w:ind w:left="1080" w:hanging="630"/>
        <w:jc w:val="both"/>
        <w:rPr>
          <w:rFonts w:cs="Arial"/>
          <w:lang w:val="pt-PT"/>
        </w:rPr>
      </w:pPr>
      <w:r w:rsidRPr="009A2970">
        <w:rPr>
          <w:rFonts w:cs="Arial"/>
          <w:b/>
          <w:i/>
          <w:lang w:val="pt-PT"/>
        </w:rPr>
        <w:t>Fármacos antagonistas</w:t>
      </w:r>
      <w:r w:rsidRPr="009A2970">
        <w:rPr>
          <w:rFonts w:cs="Arial"/>
          <w:lang w:val="pt-PT"/>
        </w:rPr>
        <w:t>: São aqueles que bloqueiam o receptor, reduzindo ou até abolindo o efeito da activação deste receptor. Por exemplo, os fármacos anti-histamínicos como a clorfeniramina, inibem a produção de histamina.</w:t>
      </w:r>
    </w:p>
    <w:p w:rsidR="00FC442D" w:rsidRPr="009A2970" w:rsidRDefault="00FC442D" w:rsidP="00C52E09">
      <w:pPr>
        <w:numPr>
          <w:ilvl w:val="0"/>
          <w:numId w:val="163"/>
        </w:numPr>
        <w:spacing w:before="120" w:after="0"/>
        <w:ind w:left="450" w:hanging="450"/>
        <w:jc w:val="both"/>
        <w:rPr>
          <w:rFonts w:cs="Arial"/>
          <w:lang w:val="pt-PT"/>
        </w:rPr>
      </w:pPr>
      <w:r w:rsidRPr="009A2970">
        <w:rPr>
          <w:rFonts w:cs="Arial"/>
          <w:lang w:val="pt-PT"/>
        </w:rPr>
        <w:t>Os fármacos podem ser classificados com base no efeito que se pretenda alcançar:</w:t>
      </w:r>
    </w:p>
    <w:p w:rsidR="00FC442D" w:rsidRPr="009A2970" w:rsidRDefault="00FC442D" w:rsidP="00C52E09">
      <w:pPr>
        <w:numPr>
          <w:ilvl w:val="0"/>
          <w:numId w:val="165"/>
        </w:numPr>
        <w:spacing w:before="120" w:after="0"/>
        <w:ind w:left="1080" w:hanging="630"/>
        <w:jc w:val="both"/>
        <w:rPr>
          <w:rFonts w:cs="Arial"/>
          <w:lang w:val="pt-PT"/>
        </w:rPr>
      </w:pPr>
      <w:r w:rsidRPr="009A2970">
        <w:rPr>
          <w:rFonts w:cs="Arial"/>
          <w:b/>
          <w:i/>
          <w:lang w:val="pt-PT"/>
        </w:rPr>
        <w:t>Profiláctico</w:t>
      </w:r>
      <w:r w:rsidRPr="009A2970">
        <w:rPr>
          <w:rFonts w:cs="Arial"/>
          <w:lang w:val="pt-PT"/>
        </w:rPr>
        <w:t>. Fármacos que têm um efeito preventivo, para evitar uma situação que não tem que ser necessariamente uma doença. Por exemplo, os contraceptivos orais (para a prevenção da gravidez), cotrimoxazol (para prevenir algumas doenças oportunistas em pacientes infectados pelo HIV).</w:t>
      </w:r>
    </w:p>
    <w:p w:rsidR="00FC442D" w:rsidRPr="009A2970" w:rsidRDefault="00FC442D" w:rsidP="00C52E09">
      <w:pPr>
        <w:numPr>
          <w:ilvl w:val="0"/>
          <w:numId w:val="165"/>
        </w:numPr>
        <w:spacing w:before="120" w:after="0"/>
        <w:ind w:left="1080" w:hanging="630"/>
        <w:jc w:val="both"/>
        <w:rPr>
          <w:rFonts w:cs="Arial"/>
          <w:lang w:val="pt-PT"/>
        </w:rPr>
      </w:pPr>
      <w:r w:rsidRPr="009A2970">
        <w:rPr>
          <w:rFonts w:cs="Arial"/>
          <w:b/>
          <w:i/>
          <w:lang w:val="pt-PT"/>
        </w:rPr>
        <w:t>Substitutivo</w:t>
      </w:r>
      <w:r w:rsidRPr="009A2970">
        <w:rPr>
          <w:rFonts w:cs="Arial"/>
          <w:lang w:val="pt-PT"/>
        </w:rPr>
        <w:t>. Fármacos que se utilizam para compensar algum défice do organismo, que pode ser exógeno (défices vitamínico, de ferro, etc.), ou endógeno (diabetes insulino-dependente).</w:t>
      </w:r>
    </w:p>
    <w:p w:rsidR="00FC442D" w:rsidRPr="009A2970" w:rsidRDefault="00FC442D" w:rsidP="00C52E09">
      <w:pPr>
        <w:numPr>
          <w:ilvl w:val="0"/>
          <w:numId w:val="165"/>
        </w:numPr>
        <w:spacing w:before="120" w:after="0"/>
        <w:ind w:left="1080" w:hanging="630"/>
        <w:jc w:val="both"/>
        <w:rPr>
          <w:rFonts w:cs="Arial"/>
          <w:lang w:val="pt-PT"/>
        </w:rPr>
      </w:pPr>
      <w:r w:rsidRPr="009A2970">
        <w:rPr>
          <w:rFonts w:cs="Arial"/>
          <w:b/>
          <w:i/>
          <w:lang w:val="pt-PT"/>
        </w:rPr>
        <w:t>Etiológico</w:t>
      </w:r>
      <w:r w:rsidRPr="009A2970">
        <w:rPr>
          <w:rFonts w:cs="Arial"/>
          <w:lang w:val="pt-PT"/>
        </w:rPr>
        <w:t>. Fármacos que eliminam a causa da doença, como por exemplo os antibióticos.</w:t>
      </w:r>
    </w:p>
    <w:p w:rsidR="00FC442D" w:rsidRPr="009A2970" w:rsidRDefault="00FC442D" w:rsidP="00C52E09">
      <w:pPr>
        <w:numPr>
          <w:ilvl w:val="0"/>
          <w:numId w:val="165"/>
        </w:numPr>
        <w:spacing w:before="120" w:after="0"/>
        <w:ind w:left="1080" w:hanging="630"/>
        <w:jc w:val="both"/>
        <w:rPr>
          <w:rFonts w:cs="Arial"/>
          <w:lang w:val="pt-PT"/>
        </w:rPr>
      </w:pPr>
      <w:r w:rsidRPr="009A2970">
        <w:rPr>
          <w:rFonts w:cs="Arial"/>
          <w:b/>
          <w:i/>
          <w:lang w:val="pt-PT"/>
        </w:rPr>
        <w:t>Sintomatológico</w:t>
      </w:r>
      <w:r w:rsidRPr="009A2970">
        <w:rPr>
          <w:rFonts w:cs="Arial"/>
          <w:lang w:val="pt-PT"/>
        </w:rPr>
        <w:t>. Fármacos que aliviam os sintomas duma doença, como os anti-inflamatórios, estes fármacos não elimina</w:t>
      </w:r>
      <w:r>
        <w:rPr>
          <w:rFonts w:cs="Arial"/>
          <w:lang w:val="pt-PT"/>
        </w:rPr>
        <w:t>m</w:t>
      </w:r>
      <w:r w:rsidRPr="009A2970">
        <w:rPr>
          <w:rFonts w:cs="Arial"/>
          <w:lang w:val="pt-PT"/>
        </w:rPr>
        <w:t xml:space="preserve"> a causa da doença.</w:t>
      </w:r>
    </w:p>
    <w:p w:rsidR="00FC442D" w:rsidRDefault="00FC442D" w:rsidP="00951225">
      <w:pPr>
        <w:spacing w:before="120"/>
        <w:jc w:val="both"/>
        <w:rPr>
          <w:rFonts w:cs="Arial"/>
          <w:lang w:val="pt-PT"/>
        </w:rPr>
      </w:pPr>
      <w:r w:rsidRPr="009A2970">
        <w:rPr>
          <w:rFonts w:cs="Arial"/>
          <w:lang w:val="pt-PT"/>
        </w:rPr>
        <w:t>Para além dos efeitos terapêuticos desejados, a administração dum fármaco pode ter outros efeitos não desejados, como toxicidade ou reacções adversas.</w:t>
      </w:r>
    </w:p>
    <w:p w:rsidR="00FC442D" w:rsidRPr="009A2970" w:rsidRDefault="00FC442D" w:rsidP="00C52E09">
      <w:pPr>
        <w:numPr>
          <w:ilvl w:val="0"/>
          <w:numId w:val="163"/>
        </w:numPr>
        <w:spacing w:before="120" w:after="0"/>
        <w:ind w:left="450" w:hanging="450"/>
        <w:jc w:val="both"/>
        <w:rPr>
          <w:rFonts w:cs="Arial"/>
          <w:b/>
          <w:i/>
          <w:lang w:val="pt-PT"/>
        </w:rPr>
      </w:pPr>
      <w:r w:rsidRPr="009A2970">
        <w:rPr>
          <w:rFonts w:cs="Arial"/>
          <w:b/>
          <w:i/>
          <w:lang w:val="pt-PT"/>
        </w:rPr>
        <w:t>Janela terapêutica</w:t>
      </w:r>
    </w:p>
    <w:p w:rsidR="00FC442D" w:rsidRPr="009A2970" w:rsidRDefault="00FC442D" w:rsidP="00C52E09">
      <w:pPr>
        <w:numPr>
          <w:ilvl w:val="0"/>
          <w:numId w:val="166"/>
        </w:numPr>
        <w:spacing w:before="120" w:after="0"/>
        <w:ind w:left="1080" w:hanging="630"/>
        <w:jc w:val="both"/>
        <w:rPr>
          <w:rFonts w:cs="Arial"/>
          <w:lang w:val="pt-PT"/>
        </w:rPr>
      </w:pPr>
      <w:r w:rsidRPr="009A2970">
        <w:rPr>
          <w:rFonts w:cs="Arial"/>
          <w:lang w:val="pt-PT"/>
        </w:rPr>
        <w:t xml:space="preserve">É o intervalo </w:t>
      </w:r>
      <w:r>
        <w:rPr>
          <w:rFonts w:cs="Arial"/>
          <w:lang w:val="pt-PT"/>
        </w:rPr>
        <w:t xml:space="preserve">entre a dose eficaz mínima, e , a dose máxima permitida, isto é, é o intervalo </w:t>
      </w:r>
      <w:r w:rsidRPr="009A2970">
        <w:rPr>
          <w:rFonts w:cs="Arial"/>
          <w:lang w:val="pt-PT"/>
        </w:rPr>
        <w:t xml:space="preserve">de dosagem compreendido entre a dose mínima que tem efeito terapêutico, e a dose </w:t>
      </w:r>
      <w:r>
        <w:rPr>
          <w:rFonts w:cs="Arial"/>
          <w:lang w:val="pt-PT"/>
        </w:rPr>
        <w:t xml:space="preserve">máxima, acima do </w:t>
      </w:r>
      <w:r w:rsidRPr="009A2970">
        <w:rPr>
          <w:rFonts w:cs="Arial"/>
          <w:lang w:val="pt-PT"/>
        </w:rPr>
        <w:t xml:space="preserve"> qual os efeitos adversos do fármaco ultrapassam os efeitos terapêuticos.</w:t>
      </w:r>
    </w:p>
    <w:p w:rsidR="00FC442D" w:rsidRPr="009A2970" w:rsidRDefault="00FC442D" w:rsidP="00C52E09">
      <w:pPr>
        <w:numPr>
          <w:ilvl w:val="0"/>
          <w:numId w:val="166"/>
        </w:numPr>
        <w:spacing w:before="120" w:after="0"/>
        <w:ind w:left="1080" w:hanging="630"/>
        <w:jc w:val="both"/>
        <w:rPr>
          <w:rFonts w:cs="Arial"/>
          <w:lang w:val="pt-PT"/>
        </w:rPr>
      </w:pPr>
      <w:r w:rsidRPr="009A2970">
        <w:rPr>
          <w:rFonts w:cs="Arial"/>
          <w:lang w:val="pt-PT"/>
        </w:rPr>
        <w:t>Por exemplo, a dose mínima recomendada de paracetamol (anti-inflamatório e anti-pirético) em pessoas adultas é de 500 mg. Se for preciso um maior efeito, a dose pode-se aumentar até chegar a 4 gramas diários. Por cima de 4 gramas diários, o risco do aparecimento de alterações hepáticas torna-se elevado que ultrapassa o efeito terapêutico do fármaco. Portanto, a janela terapêutica do paracetamol está entre 500 mg e 4 gramas por dia.</w:t>
      </w:r>
      <w:r>
        <w:rPr>
          <w:rFonts w:cs="Arial"/>
          <w:lang w:val="pt-PT"/>
        </w:rPr>
        <w:t xml:space="preserve"> Por </w:t>
      </w:r>
      <w:r>
        <w:rPr>
          <w:rFonts w:cs="Arial"/>
          <w:lang w:val="pt-PT"/>
        </w:rPr>
        <w:lastRenderedPageBreak/>
        <w:t>outro lado, a digoxina (fármaco usado na insuficiência cardíaca) tem uma janela terapêutica muito estreita.</w:t>
      </w:r>
    </w:p>
    <w:p w:rsidR="00FC442D" w:rsidRPr="000B25DB" w:rsidRDefault="00FC442D" w:rsidP="00FC442D">
      <w:pPr>
        <w:pStyle w:val="TM-0"/>
        <w:jc w:val="both"/>
      </w:pPr>
    </w:p>
    <w:p w:rsidR="00FC442D" w:rsidRPr="000B25DB" w:rsidRDefault="00FC442D" w:rsidP="00FC442D">
      <w:pPr>
        <w:pStyle w:val="TM-1n"/>
        <w:numPr>
          <w:ilvl w:val="0"/>
          <w:numId w:val="0"/>
        </w:numPr>
        <w:shd w:val="clear" w:color="auto" w:fill="C6D9F1"/>
      </w:pPr>
      <w:r>
        <w:t>BLOCO 3: INTERACÇÕES MEDICAMENTOSAS, TERAPIA COMBINADA E TRATAMENTO EMPÍRICO</w:t>
      </w:r>
      <w:r w:rsidRPr="000B25DB">
        <w:tab/>
      </w:r>
    </w:p>
    <w:p w:rsidR="00FC442D" w:rsidRDefault="00FC442D" w:rsidP="00C52E09">
      <w:pPr>
        <w:numPr>
          <w:ilvl w:val="0"/>
          <w:numId w:val="167"/>
        </w:numPr>
        <w:spacing w:before="120" w:after="0"/>
        <w:ind w:left="446" w:hanging="450"/>
        <w:jc w:val="both"/>
        <w:rPr>
          <w:rFonts w:cs="Arial"/>
          <w:lang w:val="pt-BR"/>
        </w:rPr>
      </w:pPr>
      <w:r>
        <w:rPr>
          <w:rFonts w:cs="Arial"/>
          <w:lang w:val="pt-BR"/>
        </w:rPr>
        <w:t>Interação medicamentosa – corresponde à interferência de um fármaco na acção de outro ou interferência de um alimento ou nutriente na acção de medicamentos.</w:t>
      </w:r>
    </w:p>
    <w:p w:rsidR="00FC442D" w:rsidRPr="008B3390" w:rsidRDefault="00FC442D" w:rsidP="00C52E09">
      <w:pPr>
        <w:numPr>
          <w:ilvl w:val="0"/>
          <w:numId w:val="167"/>
        </w:numPr>
        <w:spacing w:before="120" w:after="0"/>
        <w:ind w:left="446" w:hanging="450"/>
        <w:jc w:val="both"/>
        <w:rPr>
          <w:rFonts w:cs="Arial"/>
          <w:lang w:val="pt-BR"/>
        </w:rPr>
      </w:pPr>
      <w:r w:rsidRPr="008B3390">
        <w:rPr>
          <w:rFonts w:cs="Arial"/>
          <w:lang w:val="pt-BR"/>
        </w:rPr>
        <w:t>De forma geral, as interacções medicamentosas podem ter dois efeitos diferentes: sinergia e antagonismo.</w:t>
      </w:r>
    </w:p>
    <w:p w:rsidR="00FC442D" w:rsidRPr="008B3390" w:rsidRDefault="00FC442D" w:rsidP="00C52E09">
      <w:pPr>
        <w:numPr>
          <w:ilvl w:val="0"/>
          <w:numId w:val="167"/>
        </w:numPr>
        <w:spacing w:before="120" w:after="0"/>
        <w:ind w:left="446" w:hanging="450"/>
        <w:jc w:val="both"/>
        <w:rPr>
          <w:rFonts w:cs="Arial"/>
          <w:lang w:val="pt-BR"/>
        </w:rPr>
      </w:pPr>
      <w:r w:rsidRPr="008B3390">
        <w:rPr>
          <w:rFonts w:cs="Arial"/>
          <w:b/>
          <w:i/>
          <w:lang w:val="pt-BR"/>
        </w:rPr>
        <w:t>Sinergia</w:t>
      </w:r>
      <w:r w:rsidRPr="008B3390">
        <w:rPr>
          <w:rFonts w:cs="Arial"/>
          <w:lang w:val="pt-BR"/>
        </w:rPr>
        <w:t>: A presença dum fármaco aumenta (potencia) os efeitos do outro.</w:t>
      </w:r>
    </w:p>
    <w:p w:rsidR="00FC442D" w:rsidRPr="009A2970" w:rsidRDefault="00FC442D" w:rsidP="00FC442D">
      <w:pPr>
        <w:pStyle w:val="TM-3n"/>
        <w:numPr>
          <w:ilvl w:val="0"/>
          <w:numId w:val="0"/>
        </w:numPr>
        <w:spacing w:before="120" w:after="0" w:line="276" w:lineRule="auto"/>
        <w:ind w:left="446"/>
      </w:pPr>
      <w:r w:rsidRPr="009A2970">
        <w:t>Um exemplo de sinergia é a associação de trimetoprim e sulfametoxazol, que se conhece como cotrimoxazol. Os dois fármacos, em separado, são bacteriostáticos, isto é, inibem o crescimento bacteriano, mas não eliminam as bactérias. Porém, quando associados, adquirem um efeito bactericida, conseguindo eliminar as bactérias.</w:t>
      </w:r>
    </w:p>
    <w:p w:rsidR="00FC442D" w:rsidRPr="008B3390" w:rsidRDefault="00FC442D" w:rsidP="00C52E09">
      <w:pPr>
        <w:numPr>
          <w:ilvl w:val="0"/>
          <w:numId w:val="167"/>
        </w:numPr>
        <w:spacing w:before="120" w:after="0"/>
        <w:ind w:left="446" w:hanging="450"/>
        <w:jc w:val="both"/>
        <w:rPr>
          <w:rFonts w:cs="Arial"/>
          <w:lang w:val="pt-BR"/>
        </w:rPr>
      </w:pPr>
      <w:r w:rsidRPr="008B3390">
        <w:rPr>
          <w:rFonts w:cs="Arial"/>
          <w:b/>
          <w:i/>
          <w:lang w:val="pt-BR"/>
        </w:rPr>
        <w:t>Antagonismo</w:t>
      </w:r>
      <w:r w:rsidRPr="008B3390">
        <w:rPr>
          <w:rFonts w:cs="Arial"/>
          <w:lang w:val="pt-BR"/>
        </w:rPr>
        <w:t>: A presença dum fármaco reduz ou inibe os efeitos do outro.</w:t>
      </w:r>
    </w:p>
    <w:p w:rsidR="00FC442D" w:rsidRPr="009A2970" w:rsidRDefault="00FC442D" w:rsidP="00FC442D">
      <w:pPr>
        <w:pStyle w:val="TM-3n"/>
        <w:numPr>
          <w:ilvl w:val="0"/>
          <w:numId w:val="0"/>
        </w:numPr>
        <w:spacing w:before="120" w:after="0" w:line="276" w:lineRule="auto"/>
        <w:ind w:left="446"/>
      </w:pPr>
      <w:r w:rsidRPr="009A2970">
        <w:t>Um exemplo de antagonismo é o da rifampicina, que é um fármaco utilizado no tratamento da tuberculose. A sua presença estimula o metabolismo hepático de certos fármacos, como contraceptivos hormonais e alguns anti-retrovirais, e portanto diminui o efeito deles.</w:t>
      </w:r>
    </w:p>
    <w:p w:rsidR="00FC442D" w:rsidRDefault="00FC442D" w:rsidP="00C52E09">
      <w:pPr>
        <w:numPr>
          <w:ilvl w:val="0"/>
          <w:numId w:val="167"/>
        </w:numPr>
        <w:spacing w:before="120" w:after="0"/>
        <w:ind w:left="446" w:hanging="450"/>
        <w:jc w:val="both"/>
        <w:rPr>
          <w:rFonts w:cs="Arial"/>
          <w:lang w:val="pt-BR"/>
        </w:rPr>
      </w:pPr>
      <w:r w:rsidRPr="008B3390">
        <w:rPr>
          <w:rFonts w:cs="Arial"/>
          <w:lang w:val="pt-BR"/>
        </w:rPr>
        <w:t>Como norma geral, antes de administrar simultaneamente dois ou mais fármacos, é necessário consultar o Formulário Nacional de Medicamentos, onde são indicadas as interacções medicamentosas de todos os fármacos utilizados nas unidades sanitárias.</w:t>
      </w:r>
    </w:p>
    <w:p w:rsidR="00FC442D" w:rsidRPr="00114619" w:rsidRDefault="00FC442D" w:rsidP="00C52E09">
      <w:pPr>
        <w:numPr>
          <w:ilvl w:val="0"/>
          <w:numId w:val="167"/>
        </w:numPr>
        <w:spacing w:before="120" w:after="0"/>
        <w:ind w:left="446" w:hanging="450"/>
        <w:jc w:val="both"/>
        <w:rPr>
          <w:rFonts w:cs="Arial"/>
          <w:lang w:val="pt-BR"/>
        </w:rPr>
      </w:pPr>
      <w:r w:rsidRPr="003D570D">
        <w:rPr>
          <w:rFonts w:cs="Arial"/>
          <w:b/>
          <w:lang w:val="pt-BR"/>
        </w:rPr>
        <w:t>T</w:t>
      </w:r>
      <w:r>
        <w:rPr>
          <w:rFonts w:cs="Arial"/>
          <w:b/>
          <w:lang w:val="pt-PT"/>
        </w:rPr>
        <w:t>erapia C</w:t>
      </w:r>
      <w:r w:rsidRPr="003D570D">
        <w:rPr>
          <w:rFonts w:cs="Arial"/>
          <w:b/>
          <w:lang w:val="pt-PT"/>
        </w:rPr>
        <w:t>ombinada</w:t>
      </w:r>
      <w:r w:rsidRPr="003D570D">
        <w:rPr>
          <w:rFonts w:cs="Arial"/>
          <w:lang w:val="pt-PT"/>
        </w:rPr>
        <w:t xml:space="preserve"> - é aquela em que se usa mais de um fármaco (antimicrobiano) para o combate de determinada doença infecciosa, exemplo: o co-trimoxazol (combinação de trimetropim e sulfametoxazol), coartem (combinação de artemeter e lumefantrina). Outro</w:t>
      </w:r>
      <w:r>
        <w:rPr>
          <w:rFonts w:cs="Arial"/>
          <w:lang w:val="pt-PT"/>
        </w:rPr>
        <w:t>s</w:t>
      </w:r>
      <w:r w:rsidRPr="003D570D">
        <w:rPr>
          <w:rFonts w:cs="Arial"/>
          <w:lang w:val="pt-PT"/>
        </w:rPr>
        <w:t xml:space="preserve"> exemplo</w:t>
      </w:r>
      <w:r>
        <w:rPr>
          <w:rFonts w:cs="Arial"/>
          <w:lang w:val="pt-PT"/>
        </w:rPr>
        <w:t xml:space="preserve">s são: </w:t>
      </w:r>
      <w:r w:rsidRPr="003D570D">
        <w:rPr>
          <w:rFonts w:cs="Arial"/>
          <w:lang w:val="pt-PT"/>
        </w:rPr>
        <w:t xml:space="preserve">tratamento da tuberculose que usa a terapia combinada de rifampicina (R), isoniazida (H), etambutol (E) e pirazinamida (Z) – HERZ sob a forma de </w:t>
      </w:r>
      <w:r>
        <w:rPr>
          <w:rFonts w:cs="Arial"/>
          <w:lang w:val="pt-PT"/>
        </w:rPr>
        <w:t>4DFC – 4 Doses Fixas Combinadas; Tratamento anti-retroviral (combinação de três anti-retrovirais). É necessário ter em conta que na terapia combinada pode surgir os efeitos da interacção medicamentosa.</w:t>
      </w:r>
    </w:p>
    <w:p w:rsidR="00FC442D" w:rsidRPr="00632AA4" w:rsidRDefault="00FC442D" w:rsidP="00C52E09">
      <w:pPr>
        <w:numPr>
          <w:ilvl w:val="0"/>
          <w:numId w:val="167"/>
        </w:numPr>
        <w:spacing w:before="120" w:after="0"/>
        <w:ind w:left="446" w:hanging="450"/>
        <w:jc w:val="both"/>
        <w:rPr>
          <w:rFonts w:cs="Arial"/>
          <w:b/>
          <w:lang w:val="pt-BR"/>
        </w:rPr>
      </w:pPr>
      <w:r w:rsidRPr="00632AA4">
        <w:rPr>
          <w:rFonts w:cs="Arial"/>
          <w:b/>
          <w:lang w:val="pt-BR"/>
        </w:rPr>
        <w:t>Motivos para Terapia Combinada</w:t>
      </w:r>
    </w:p>
    <w:p w:rsidR="00FC442D" w:rsidRDefault="00FC442D" w:rsidP="00C52E09">
      <w:pPr>
        <w:numPr>
          <w:ilvl w:val="1"/>
          <w:numId w:val="167"/>
        </w:numPr>
        <w:spacing w:before="120" w:after="0"/>
        <w:jc w:val="both"/>
        <w:rPr>
          <w:rFonts w:cs="Arial"/>
          <w:lang w:val="pt-BR"/>
        </w:rPr>
      </w:pPr>
      <w:r>
        <w:rPr>
          <w:rFonts w:cs="Arial"/>
          <w:lang w:val="pt-BR"/>
        </w:rPr>
        <w:t>Atrasar o surgimento de resistência a um fármaco</w:t>
      </w:r>
    </w:p>
    <w:p w:rsidR="00FC442D" w:rsidRDefault="00FC442D" w:rsidP="00C52E09">
      <w:pPr>
        <w:numPr>
          <w:ilvl w:val="1"/>
          <w:numId w:val="167"/>
        </w:numPr>
        <w:spacing w:before="120" w:after="0"/>
        <w:jc w:val="both"/>
        <w:rPr>
          <w:rFonts w:cs="Arial"/>
          <w:lang w:val="pt-BR"/>
        </w:rPr>
      </w:pPr>
      <w:r>
        <w:rPr>
          <w:rFonts w:cs="Arial"/>
          <w:lang w:val="pt-BR"/>
        </w:rPr>
        <w:t>Tratar infecções mistas (com muitos microrganismos – polimicrobianas)</w:t>
      </w:r>
    </w:p>
    <w:p w:rsidR="00FC442D" w:rsidRDefault="00FC442D" w:rsidP="00C52E09">
      <w:pPr>
        <w:numPr>
          <w:ilvl w:val="1"/>
          <w:numId w:val="167"/>
        </w:numPr>
        <w:spacing w:before="120" w:after="0"/>
        <w:jc w:val="both"/>
        <w:rPr>
          <w:rFonts w:cs="Arial"/>
          <w:lang w:val="pt-BR"/>
        </w:rPr>
      </w:pPr>
      <w:r>
        <w:rPr>
          <w:rFonts w:cs="Arial"/>
          <w:lang w:val="pt-BR"/>
        </w:rPr>
        <w:t>Obter sinergismo ou proporcionar acção bactericida</w:t>
      </w:r>
    </w:p>
    <w:p w:rsidR="00FC442D" w:rsidRPr="00632AA4" w:rsidRDefault="00FC442D" w:rsidP="00C52E09">
      <w:pPr>
        <w:numPr>
          <w:ilvl w:val="1"/>
          <w:numId w:val="167"/>
        </w:numPr>
        <w:spacing w:before="120" w:after="0"/>
        <w:jc w:val="both"/>
        <w:rPr>
          <w:rFonts w:cs="Arial"/>
          <w:lang w:val="pt-BR"/>
        </w:rPr>
      </w:pPr>
      <w:r>
        <w:rPr>
          <w:rFonts w:cs="Arial"/>
          <w:lang w:val="pt-BR"/>
        </w:rPr>
        <w:t>Tratar imediatamente os pacientes em estado crítico, com suspeita de doença infecciosa grave.</w:t>
      </w:r>
    </w:p>
    <w:p w:rsidR="00FC442D" w:rsidRPr="00777E1D" w:rsidRDefault="00FC442D" w:rsidP="00C52E09">
      <w:pPr>
        <w:numPr>
          <w:ilvl w:val="0"/>
          <w:numId w:val="167"/>
        </w:numPr>
        <w:spacing w:before="120" w:after="0"/>
        <w:ind w:left="446" w:hanging="450"/>
        <w:jc w:val="both"/>
        <w:rPr>
          <w:rFonts w:cs="Arial"/>
          <w:b/>
          <w:lang w:val="pt-BR"/>
        </w:rPr>
      </w:pPr>
      <w:r w:rsidRPr="00777E1D">
        <w:rPr>
          <w:rFonts w:cs="Arial"/>
          <w:b/>
          <w:lang w:val="pt-BR"/>
        </w:rPr>
        <w:t>Terapia Empírica</w:t>
      </w:r>
    </w:p>
    <w:p w:rsidR="00FC442D" w:rsidRDefault="00FC442D" w:rsidP="00C52E09">
      <w:pPr>
        <w:numPr>
          <w:ilvl w:val="1"/>
          <w:numId w:val="167"/>
        </w:numPr>
        <w:spacing w:before="120" w:after="0"/>
        <w:jc w:val="both"/>
        <w:rPr>
          <w:rFonts w:cs="Arial"/>
          <w:lang w:val="pt-BR"/>
        </w:rPr>
      </w:pPr>
      <w:r>
        <w:rPr>
          <w:rFonts w:cs="Arial"/>
          <w:lang w:val="pt-BR"/>
        </w:rPr>
        <w:t xml:space="preserve">Em alguns casos, o clínico necessita iniciar o tratamento a um pacientes antes que os resultados das análises estejam disponíveis. Esta situação é denominada </w:t>
      </w:r>
      <w:r>
        <w:rPr>
          <w:rFonts w:cs="Arial"/>
          <w:b/>
          <w:i/>
          <w:lang w:val="pt-BR"/>
        </w:rPr>
        <w:t>terapia empírica.</w:t>
      </w:r>
      <w:r>
        <w:rPr>
          <w:rFonts w:cs="Arial"/>
          <w:lang w:val="pt-BR"/>
        </w:rPr>
        <w:t xml:space="preserve"> Por vezes é um esforço de salvar a vida do paciente, em que o clínico necessita saber qual ou quais os prováveis patógenos implicados naquela situação clínica, utilizando um ou mais fármacos supostamente mais eficazes; por vezes é justificável em termos de custo/benefício como no tratamento sindromático das ITS (infecções de transmissão sexual) em que se usa combinação de fármacos para os patógenos suspeitos/envolvidos. É importante saber que no nível de atenção primária </w:t>
      </w:r>
      <w:r>
        <w:rPr>
          <w:rFonts w:cs="Arial"/>
          <w:lang w:val="pt-BR"/>
        </w:rPr>
        <w:lastRenderedPageBreak/>
        <w:t>nem sempre é possível identificar o patógeno envolvido, sendo a terapia empírica a alternativa nestes casos.</w:t>
      </w:r>
    </w:p>
    <w:p w:rsidR="00FC442D" w:rsidRDefault="00FC442D" w:rsidP="00C52E09">
      <w:pPr>
        <w:numPr>
          <w:ilvl w:val="1"/>
          <w:numId w:val="167"/>
        </w:numPr>
        <w:spacing w:before="120" w:after="0"/>
        <w:jc w:val="both"/>
        <w:rPr>
          <w:rFonts w:cs="Arial"/>
          <w:lang w:val="pt-BR"/>
        </w:rPr>
      </w:pPr>
      <w:r>
        <w:rPr>
          <w:rFonts w:cs="Arial"/>
          <w:lang w:val="pt-BR"/>
        </w:rPr>
        <w:t>É necessário ter em conta que logo que o patógeno é identificado, a terapia empírica é substituída pelo fármaco etiológico e de acordo com a sensibilidade conhecida do patógeno. Igualmente é necessário saber se o paciente é alérgico a determinado fármaco (sob o risco de administrar fármacos inapropriados) e a idade do paciente (certos fármacos são contra-indicados para pacientes muito novos ou com idade muito avançada).</w:t>
      </w:r>
    </w:p>
    <w:p w:rsidR="00FC442D" w:rsidRDefault="00FC442D" w:rsidP="00FC442D">
      <w:pPr>
        <w:spacing w:before="120"/>
        <w:ind w:left="1440"/>
        <w:jc w:val="both"/>
        <w:rPr>
          <w:rFonts w:cs="Arial"/>
          <w:lang w:val="pt-BR"/>
        </w:rPr>
      </w:pPr>
    </w:p>
    <w:p w:rsidR="00FC442D" w:rsidRPr="000B25DB" w:rsidRDefault="00FC442D" w:rsidP="00FC442D">
      <w:pPr>
        <w:pStyle w:val="TM-1n"/>
        <w:numPr>
          <w:ilvl w:val="0"/>
          <w:numId w:val="0"/>
        </w:numPr>
        <w:shd w:val="clear" w:color="auto" w:fill="C6D9F1"/>
      </w:pPr>
      <w:r>
        <w:t xml:space="preserve">BLOCO 4: FORMULÁRIO NACIONAL DE MEDICAMENTOS </w:t>
      </w:r>
      <w:r w:rsidRPr="000B25DB">
        <w:tab/>
      </w:r>
    </w:p>
    <w:p w:rsidR="00FC442D" w:rsidRDefault="00FC442D" w:rsidP="00C52E09">
      <w:pPr>
        <w:pStyle w:val="TM-2n"/>
        <w:numPr>
          <w:ilvl w:val="0"/>
          <w:numId w:val="168"/>
        </w:numPr>
        <w:tabs>
          <w:tab w:val="left" w:pos="90"/>
          <w:tab w:val="left" w:pos="450"/>
          <w:tab w:val="left" w:pos="540"/>
          <w:tab w:val="left" w:pos="810"/>
        </w:tabs>
        <w:spacing w:before="120" w:after="0" w:line="276" w:lineRule="auto"/>
        <w:ind w:hanging="630"/>
      </w:pPr>
      <w:r w:rsidRPr="00290108">
        <w:t>O Formulário Nacional de Medicamentos é um documento que lista os fármacos autorizados para o seu uso no Sistema Nacional de Saúde. O Formulário inclui informações sobre formas de apresentação, composição, dosagem, via de administração, indicações terapêuticas, efeitos secundários, contra-indicações, e outros comentários de interesse.</w:t>
      </w:r>
    </w:p>
    <w:p w:rsidR="00FC442D" w:rsidRDefault="00FC442D" w:rsidP="00C52E09">
      <w:pPr>
        <w:pStyle w:val="TM-2n"/>
        <w:numPr>
          <w:ilvl w:val="0"/>
          <w:numId w:val="168"/>
        </w:numPr>
        <w:tabs>
          <w:tab w:val="left" w:pos="90"/>
          <w:tab w:val="left" w:pos="450"/>
          <w:tab w:val="left" w:pos="540"/>
          <w:tab w:val="left" w:pos="810"/>
        </w:tabs>
        <w:spacing w:before="120" w:after="0" w:line="276" w:lineRule="auto"/>
        <w:ind w:hanging="630"/>
      </w:pPr>
      <w:r w:rsidRPr="00290108">
        <w:t>O Formulário está estruturado com base em grupos fármaco-terapéuticos, e organizado em 22 capítulos. Cada capítulo está dividido em sub-capítulos (identificados por letras, de A a Z), dentro dos quais os fármacos estão listados por ordem alfabética, identificados por um número de ordem sequencial.</w:t>
      </w:r>
    </w:p>
    <w:p w:rsidR="00FC442D" w:rsidRDefault="00FC442D" w:rsidP="00C52E09">
      <w:pPr>
        <w:pStyle w:val="TM-2n"/>
        <w:numPr>
          <w:ilvl w:val="0"/>
          <w:numId w:val="168"/>
        </w:numPr>
        <w:tabs>
          <w:tab w:val="left" w:pos="90"/>
          <w:tab w:val="left" w:pos="540"/>
          <w:tab w:val="left" w:pos="630"/>
          <w:tab w:val="left" w:pos="810"/>
        </w:tabs>
        <w:spacing w:before="120" w:after="0" w:line="276" w:lineRule="auto"/>
        <w:ind w:hanging="630"/>
      </w:pPr>
      <w:r w:rsidRPr="00290108">
        <w:t>Cada especialidade farmacêutica está identificada por um código composto por 3 caracteres: um número correspondente ao capítulo, uma letra correspondente ao sub-capítulo, e um número que corresponde ao seu número de ordem dentro do sub-capítulo.</w:t>
      </w:r>
    </w:p>
    <w:p w:rsidR="00FC442D" w:rsidRPr="00290108" w:rsidRDefault="00FC442D" w:rsidP="00C52E09">
      <w:pPr>
        <w:pStyle w:val="TM-2n"/>
        <w:numPr>
          <w:ilvl w:val="0"/>
          <w:numId w:val="168"/>
        </w:numPr>
        <w:tabs>
          <w:tab w:val="left" w:pos="90"/>
          <w:tab w:val="left" w:pos="450"/>
          <w:tab w:val="left" w:pos="540"/>
          <w:tab w:val="left" w:pos="810"/>
        </w:tabs>
        <w:spacing w:before="120" w:after="0" w:line="276" w:lineRule="auto"/>
        <w:ind w:hanging="630"/>
      </w:pPr>
      <w:r w:rsidRPr="00290108">
        <w:t>O número de código de cada especialidade está precedido de um número de 0 a 4 entre parênteses, que define o nível de prescrição da especialidade. Estão definidos 5 níveis de prescrição, que são os seguintes:</w:t>
      </w:r>
    </w:p>
    <w:p w:rsidR="00FC442D" w:rsidRPr="006B444A" w:rsidRDefault="00FC442D" w:rsidP="00C52E09">
      <w:pPr>
        <w:pStyle w:val="TM-3n"/>
        <w:numPr>
          <w:ilvl w:val="0"/>
          <w:numId w:val="298"/>
        </w:numPr>
        <w:tabs>
          <w:tab w:val="clear" w:pos="1276"/>
        </w:tabs>
        <w:spacing w:before="120" w:after="0" w:line="276" w:lineRule="auto"/>
        <w:rPr>
          <w:rFonts w:eastAsia="Calibri"/>
        </w:rPr>
      </w:pPr>
      <w:r w:rsidRPr="006B444A">
        <w:t xml:space="preserve">Nível 0. </w:t>
      </w:r>
      <w:r w:rsidRPr="006B444A">
        <w:rPr>
          <w:rFonts w:eastAsia="Calibri"/>
        </w:rPr>
        <w:t>Medicamentos dispensados pelo Agente Polivalente Elementar.</w:t>
      </w:r>
    </w:p>
    <w:p w:rsidR="00FC442D" w:rsidRPr="006B444A" w:rsidRDefault="00FC442D" w:rsidP="00C52E09">
      <w:pPr>
        <w:pStyle w:val="TM-3n"/>
        <w:numPr>
          <w:ilvl w:val="0"/>
          <w:numId w:val="298"/>
        </w:numPr>
        <w:tabs>
          <w:tab w:val="clear" w:pos="1276"/>
        </w:tabs>
        <w:spacing w:before="120" w:after="0" w:line="276" w:lineRule="auto"/>
        <w:rPr>
          <w:rFonts w:eastAsia="Calibri"/>
        </w:rPr>
      </w:pPr>
      <w:r w:rsidRPr="006B444A">
        <w:rPr>
          <w:rFonts w:eastAsia="Calibri"/>
        </w:rPr>
        <w:t>Nível 1. Medicamentos que podem ser prescritos por Agentes de Medicina, Enfermeiros e categorias superiores a estas.</w:t>
      </w:r>
    </w:p>
    <w:p w:rsidR="00FC442D" w:rsidRPr="006B444A" w:rsidRDefault="00FC442D" w:rsidP="00C52E09">
      <w:pPr>
        <w:pStyle w:val="TM-3n"/>
        <w:numPr>
          <w:ilvl w:val="0"/>
          <w:numId w:val="298"/>
        </w:numPr>
        <w:tabs>
          <w:tab w:val="clear" w:pos="1276"/>
        </w:tabs>
        <w:spacing w:before="120" w:after="0" w:line="276" w:lineRule="auto"/>
      </w:pPr>
      <w:r w:rsidRPr="006B444A">
        <w:rPr>
          <w:rFonts w:eastAsia="Calibri"/>
        </w:rPr>
        <w:t>Nível 2. Medicamentos que podem ser prescritos por Técnicos de Medicina Geral e categorias superiores a esta.</w:t>
      </w:r>
    </w:p>
    <w:p w:rsidR="00FC442D" w:rsidRPr="006B444A" w:rsidRDefault="00FC442D" w:rsidP="00C52E09">
      <w:pPr>
        <w:pStyle w:val="TM-3n"/>
        <w:numPr>
          <w:ilvl w:val="0"/>
          <w:numId w:val="298"/>
        </w:numPr>
        <w:tabs>
          <w:tab w:val="clear" w:pos="1276"/>
        </w:tabs>
        <w:spacing w:before="120" w:after="0" w:line="276" w:lineRule="auto"/>
      </w:pPr>
      <w:r w:rsidRPr="006B444A">
        <w:rPr>
          <w:rFonts w:eastAsia="Calibri"/>
        </w:rPr>
        <w:t>Nível 3. Medicamentos prescritos por Médicos de Clínica Geral ou categorias superiores a esta.</w:t>
      </w:r>
    </w:p>
    <w:p w:rsidR="00FC442D" w:rsidRPr="00B62CE5" w:rsidRDefault="00FC442D" w:rsidP="00C52E09">
      <w:pPr>
        <w:pStyle w:val="TM-3n"/>
        <w:numPr>
          <w:ilvl w:val="0"/>
          <w:numId w:val="298"/>
        </w:numPr>
        <w:tabs>
          <w:tab w:val="clear" w:pos="1276"/>
        </w:tabs>
        <w:spacing w:before="120" w:after="0" w:line="276" w:lineRule="auto"/>
      </w:pPr>
      <w:r w:rsidRPr="006B444A">
        <w:rPr>
          <w:rFonts w:eastAsia="Calibri"/>
        </w:rPr>
        <w:t>Nível 4. Medicamentos</w:t>
      </w:r>
      <w:r w:rsidRPr="00290108">
        <w:rPr>
          <w:rFonts w:eastAsia="Calibri"/>
        </w:rPr>
        <w:t xml:space="preserve"> prescritos por médicos especialistas</w:t>
      </w:r>
    </w:p>
    <w:p w:rsidR="00FC442D" w:rsidRDefault="00FC442D" w:rsidP="00FC442D">
      <w:pPr>
        <w:pStyle w:val="TM-3n"/>
        <w:numPr>
          <w:ilvl w:val="0"/>
          <w:numId w:val="0"/>
        </w:numPr>
        <w:tabs>
          <w:tab w:val="clear" w:pos="1276"/>
        </w:tabs>
        <w:spacing w:before="120" w:after="0" w:line="276" w:lineRule="auto"/>
        <w:rPr>
          <w:rFonts w:eastAsia="Calibri"/>
          <w:b/>
        </w:rPr>
      </w:pPr>
      <w:r w:rsidRPr="00114619">
        <w:rPr>
          <w:rFonts w:eastAsia="Calibri"/>
          <w:b/>
        </w:rPr>
        <w:t>Assim, o TMG pode prescrever medicamentos de nível 0 à 2.</w:t>
      </w:r>
    </w:p>
    <w:p w:rsidR="00FC442D" w:rsidRPr="00A57C9A" w:rsidRDefault="00FC442D" w:rsidP="00951225">
      <w:pPr>
        <w:pStyle w:val="TM-3n"/>
        <w:numPr>
          <w:ilvl w:val="0"/>
          <w:numId w:val="0"/>
        </w:numPr>
        <w:tabs>
          <w:tab w:val="clear" w:pos="1276"/>
          <w:tab w:val="left" w:pos="630"/>
        </w:tabs>
        <w:spacing w:before="120" w:after="0" w:line="276" w:lineRule="auto"/>
        <w:rPr>
          <w:b/>
        </w:rPr>
      </w:pPr>
      <w:r w:rsidRPr="009B700B">
        <w:rPr>
          <w:rFonts w:eastAsia="Calibri"/>
          <w:b/>
        </w:rPr>
        <w:t>4.5</w:t>
      </w:r>
      <w:r>
        <w:rPr>
          <w:rFonts w:eastAsia="Calibri"/>
          <w:b/>
        </w:rPr>
        <w:t xml:space="preserve"> </w:t>
      </w:r>
      <w:r w:rsidR="00951225">
        <w:rPr>
          <w:rFonts w:eastAsia="Calibri"/>
          <w:b/>
        </w:rPr>
        <w:t xml:space="preserve"> </w:t>
      </w:r>
      <w:r w:rsidRPr="00290108">
        <w:t>Um exemplo de especialidade incluída no Formulário é a digoxina. No Formulário, a digoxina aparece com o seguinte código: (2) 1A1 Digoxina. Assim, a interpretação do código será:</w:t>
      </w:r>
    </w:p>
    <w:p w:rsidR="00FC442D" w:rsidRPr="00290108" w:rsidRDefault="00FC442D" w:rsidP="00C52E09">
      <w:pPr>
        <w:pStyle w:val="TM-3n"/>
        <w:numPr>
          <w:ilvl w:val="0"/>
          <w:numId w:val="299"/>
        </w:numPr>
        <w:tabs>
          <w:tab w:val="clear" w:pos="1276"/>
        </w:tabs>
        <w:spacing w:before="120" w:after="0" w:line="276" w:lineRule="auto"/>
      </w:pPr>
      <w:r w:rsidRPr="00290108">
        <w:t>(2) – Nível de prescrição. A digoxina pode ser prescrita por Técnicos de Medicina e categorias superiores a esta.</w:t>
      </w:r>
    </w:p>
    <w:p w:rsidR="00FC442D" w:rsidRPr="00290108" w:rsidRDefault="00FC442D" w:rsidP="00C52E09">
      <w:pPr>
        <w:pStyle w:val="TM-3n"/>
        <w:numPr>
          <w:ilvl w:val="0"/>
          <w:numId w:val="299"/>
        </w:numPr>
        <w:tabs>
          <w:tab w:val="clear" w:pos="1276"/>
        </w:tabs>
        <w:spacing w:before="120" w:after="0" w:line="276" w:lineRule="auto"/>
      </w:pPr>
      <w:r w:rsidRPr="00290108">
        <w:t>1 – Capítulo 1 do Formulário (Aparelho cardiovascular).</w:t>
      </w:r>
    </w:p>
    <w:p w:rsidR="00FC442D" w:rsidRPr="00290108" w:rsidRDefault="00FC442D" w:rsidP="00C52E09">
      <w:pPr>
        <w:pStyle w:val="TM-3n"/>
        <w:numPr>
          <w:ilvl w:val="0"/>
          <w:numId w:val="299"/>
        </w:numPr>
        <w:tabs>
          <w:tab w:val="clear" w:pos="1276"/>
        </w:tabs>
        <w:spacing w:before="120" w:after="0" w:line="276" w:lineRule="auto"/>
      </w:pPr>
      <w:r w:rsidRPr="00290108">
        <w:t>A – Sub-capítulo 1 dentro do capítulo do Aparelho cardiovascular.</w:t>
      </w:r>
    </w:p>
    <w:p w:rsidR="00FC442D" w:rsidRPr="00A57C9A" w:rsidRDefault="00FC442D" w:rsidP="00C52E09">
      <w:pPr>
        <w:pStyle w:val="TM-3n"/>
        <w:numPr>
          <w:ilvl w:val="0"/>
          <w:numId w:val="299"/>
        </w:numPr>
        <w:tabs>
          <w:tab w:val="clear" w:pos="1276"/>
        </w:tabs>
        <w:spacing w:before="120" w:after="0" w:line="276" w:lineRule="auto"/>
        <w:rPr>
          <w:rFonts w:eastAsia="Calibri"/>
        </w:rPr>
      </w:pPr>
      <w:r w:rsidRPr="00290108">
        <w:t>1 – Número de ordem da digoxina dentro do sub-capítulo A.</w:t>
      </w:r>
    </w:p>
    <w:p w:rsidR="00FC442D" w:rsidRDefault="00FC442D" w:rsidP="00FC442D">
      <w:pPr>
        <w:pStyle w:val="TM-3n"/>
        <w:numPr>
          <w:ilvl w:val="0"/>
          <w:numId w:val="0"/>
        </w:numPr>
        <w:tabs>
          <w:tab w:val="clear" w:pos="1276"/>
          <w:tab w:val="left" w:pos="180"/>
        </w:tabs>
        <w:spacing w:before="120" w:after="0" w:line="276" w:lineRule="auto"/>
        <w:ind w:left="1440"/>
        <w:rPr>
          <w:rFonts w:eastAsia="Calibri"/>
        </w:rPr>
      </w:pPr>
    </w:p>
    <w:p w:rsidR="00BE2C41" w:rsidRPr="00290108" w:rsidRDefault="00BE2C41" w:rsidP="00FC442D">
      <w:pPr>
        <w:pStyle w:val="TM-3n"/>
        <w:numPr>
          <w:ilvl w:val="0"/>
          <w:numId w:val="0"/>
        </w:numPr>
        <w:tabs>
          <w:tab w:val="clear" w:pos="1276"/>
          <w:tab w:val="left" w:pos="180"/>
        </w:tabs>
        <w:spacing w:before="120" w:after="0" w:line="276" w:lineRule="auto"/>
        <w:ind w:left="1440"/>
        <w:rPr>
          <w:rFonts w:eastAsia="Calibri"/>
        </w:rPr>
      </w:pPr>
    </w:p>
    <w:p w:rsidR="00FC442D" w:rsidRPr="000B25DB" w:rsidRDefault="00FC442D" w:rsidP="00FC442D">
      <w:pPr>
        <w:pStyle w:val="TM-1n"/>
        <w:numPr>
          <w:ilvl w:val="0"/>
          <w:numId w:val="0"/>
        </w:numPr>
        <w:shd w:val="clear" w:color="auto" w:fill="C6D9F1"/>
      </w:pPr>
      <w:r>
        <w:t xml:space="preserve">BLOCO 5: </w:t>
      </w:r>
      <w:r w:rsidRPr="000B25DB">
        <w:t>PONTOS</w:t>
      </w:r>
      <w:r>
        <w:t>-</w:t>
      </w:r>
      <w:r w:rsidRPr="000B25DB">
        <w:t>CHAVE</w:t>
      </w:r>
      <w:r>
        <w:tab/>
      </w:r>
    </w:p>
    <w:p w:rsidR="00FC442D" w:rsidRDefault="00FC442D" w:rsidP="00C52E09">
      <w:pPr>
        <w:pStyle w:val="TM-4n"/>
        <w:numPr>
          <w:ilvl w:val="1"/>
          <w:numId w:val="169"/>
        </w:numPr>
        <w:tabs>
          <w:tab w:val="clear" w:pos="1134"/>
          <w:tab w:val="left" w:pos="360"/>
        </w:tabs>
        <w:spacing w:before="120" w:after="0" w:line="276" w:lineRule="auto"/>
        <w:ind w:left="630" w:hanging="630"/>
      </w:pPr>
      <w:r>
        <w:t>A farmacodinâmica estuda a actividade dos fármacos no organismo (local de acção, mecanismos de acção, e a relação entre concentração e efeito dum fármaco.</w:t>
      </w:r>
    </w:p>
    <w:p w:rsidR="00FC442D" w:rsidRPr="00A57C9A" w:rsidRDefault="00FC442D" w:rsidP="00C52E09">
      <w:pPr>
        <w:pStyle w:val="TM-4n"/>
        <w:numPr>
          <w:ilvl w:val="1"/>
          <w:numId w:val="169"/>
        </w:numPr>
        <w:tabs>
          <w:tab w:val="clear" w:pos="1134"/>
          <w:tab w:val="left" w:pos="360"/>
        </w:tabs>
        <w:spacing w:before="120" w:after="0" w:line="276" w:lineRule="auto"/>
        <w:ind w:left="360"/>
      </w:pPr>
      <w:r w:rsidRPr="00A57C9A">
        <w:rPr>
          <w:lang w:val="pt-BR"/>
        </w:rPr>
        <w:t>Interação medicamentosa – corresponde à interferência de um fármaco na acção de outro ou interferência de um alimento ou nutriente na acção de medicamentos. Assim, de uma forma geral, as interacções medicamentosas podem ser desejáveis (sinergia - estimulante) ou indesejáveis (anta</w:t>
      </w:r>
      <w:r>
        <w:rPr>
          <w:lang w:val="pt-BR"/>
        </w:rPr>
        <w:t>gonismo – redução ou inibição).</w:t>
      </w:r>
    </w:p>
    <w:p w:rsidR="00FC442D" w:rsidRDefault="00FC442D" w:rsidP="00C52E09">
      <w:pPr>
        <w:pStyle w:val="TM-4n"/>
        <w:numPr>
          <w:ilvl w:val="1"/>
          <w:numId w:val="169"/>
        </w:numPr>
        <w:tabs>
          <w:tab w:val="clear" w:pos="1134"/>
          <w:tab w:val="left" w:pos="360"/>
        </w:tabs>
        <w:spacing w:before="120" w:after="0" w:line="276" w:lineRule="auto"/>
        <w:ind w:left="360"/>
      </w:pPr>
      <w:r>
        <w:t>Os fármacos podem ter efeitos diferentes no organismo: profiláctico, substitutivo, etiológico e sintomático.</w:t>
      </w:r>
    </w:p>
    <w:p w:rsidR="00FC442D" w:rsidRDefault="00FC442D" w:rsidP="00C52E09">
      <w:pPr>
        <w:pStyle w:val="TM-4n"/>
        <w:numPr>
          <w:ilvl w:val="1"/>
          <w:numId w:val="169"/>
        </w:numPr>
        <w:tabs>
          <w:tab w:val="clear" w:pos="1134"/>
          <w:tab w:val="left" w:pos="360"/>
        </w:tabs>
        <w:spacing w:before="120" w:after="0" w:line="276" w:lineRule="auto"/>
        <w:ind w:left="360"/>
      </w:pPr>
      <w:r>
        <w:t xml:space="preserve">Terapia combinada </w:t>
      </w:r>
      <w:r w:rsidRPr="003D570D">
        <w:t>é aquela em que se usa mais de um fármaco (antimicrobiano) para o combate de determinada doença infecciosa</w:t>
      </w:r>
      <w:r>
        <w:t xml:space="preserve"> com o objectivo de atrasar o surgimento de resistências, tratar infecções mistas, tratar imediatamente pacientes graves e obter sinergismo bactericida.</w:t>
      </w:r>
    </w:p>
    <w:p w:rsidR="00FC442D" w:rsidRDefault="00FC442D" w:rsidP="00C52E09">
      <w:pPr>
        <w:pStyle w:val="TM-4n"/>
        <w:numPr>
          <w:ilvl w:val="1"/>
          <w:numId w:val="169"/>
        </w:numPr>
        <w:tabs>
          <w:tab w:val="clear" w:pos="1134"/>
          <w:tab w:val="left" w:pos="360"/>
        </w:tabs>
        <w:spacing w:before="120" w:after="0" w:line="276" w:lineRule="auto"/>
        <w:ind w:left="360"/>
      </w:pPr>
      <w:r>
        <w:t>A terapia empírica é a administração de fármacos a pacientes com base no conhecimento de prováveis patógenos e fármacos supostamente mais eficazes, em situações de perigo de vida do paciente, antes que os resultados de análises estejam disponíveis.</w:t>
      </w:r>
    </w:p>
    <w:p w:rsidR="00FC442D" w:rsidRDefault="00FC442D" w:rsidP="00C52E09">
      <w:pPr>
        <w:pStyle w:val="TM-4n"/>
        <w:numPr>
          <w:ilvl w:val="1"/>
          <w:numId w:val="169"/>
        </w:numPr>
        <w:tabs>
          <w:tab w:val="clear" w:pos="1134"/>
          <w:tab w:val="left" w:pos="360"/>
        </w:tabs>
        <w:spacing w:before="120" w:after="0" w:line="276" w:lineRule="auto"/>
        <w:ind w:hanging="1076"/>
      </w:pPr>
      <w:r>
        <w:t>A janela terapêutica é</w:t>
      </w:r>
      <w:r w:rsidRPr="009A2970">
        <w:t xml:space="preserve"> o intervalo </w:t>
      </w:r>
      <w:r>
        <w:t>entre a dose eficaz mínima, e, a dose máxima permitida.</w:t>
      </w:r>
    </w:p>
    <w:p w:rsidR="00FC442D" w:rsidRDefault="00FC442D" w:rsidP="00C52E09">
      <w:pPr>
        <w:pStyle w:val="TM-4n"/>
        <w:numPr>
          <w:ilvl w:val="1"/>
          <w:numId w:val="169"/>
        </w:numPr>
        <w:tabs>
          <w:tab w:val="clear" w:pos="1134"/>
          <w:tab w:val="left" w:pos="360"/>
        </w:tabs>
        <w:spacing w:before="120" w:after="0" w:line="276" w:lineRule="auto"/>
        <w:ind w:left="360"/>
      </w:pPr>
      <w:r>
        <w:t xml:space="preserve">O Formulário Nacional de Medicamentos </w:t>
      </w:r>
      <w:r w:rsidRPr="00290108">
        <w:t>é um documento que lista os fármacos autorizados para o seu uso no Sistema Nacional de Saúde</w:t>
      </w:r>
      <w:r>
        <w:t xml:space="preserve"> e contém informações</w:t>
      </w:r>
      <w:r w:rsidRPr="00290108">
        <w:t xml:space="preserve"> sobre formas de apresentação, composição, </w:t>
      </w:r>
      <w:r>
        <w:t xml:space="preserve">dose e </w:t>
      </w:r>
      <w:r w:rsidRPr="00290108">
        <w:t>dosagem, via de administração, indicações terapêuticas, efeitos secundários, contra-indicações, e outros comentários de interesse</w:t>
      </w:r>
      <w:r>
        <w:t xml:space="preserve"> desses fármacos.</w:t>
      </w:r>
    </w:p>
    <w:p w:rsidR="00BE2C41" w:rsidRDefault="00BE2C41">
      <w:pPr>
        <w:rPr>
          <w:rFonts w:cs="Arial"/>
          <w:b/>
          <w:bCs/>
          <w:lang w:val="pt-PT"/>
        </w:rPr>
      </w:pPr>
      <w:r>
        <w:rPr>
          <w:rFonts w:cs="Arial"/>
          <w:b/>
          <w:bCs/>
          <w:lang w:val="pt-PT"/>
        </w:rPr>
        <w:br w:type="page"/>
      </w:r>
    </w:p>
    <w:tbl>
      <w:tblPr>
        <w:tblW w:w="10150" w:type="dxa"/>
        <w:tblLayout w:type="fixed"/>
        <w:tblCellMar>
          <w:left w:w="70" w:type="dxa"/>
          <w:right w:w="70" w:type="dxa"/>
        </w:tblCellMar>
        <w:tblLook w:val="0020" w:firstRow="1" w:lastRow="0" w:firstColumn="0" w:lastColumn="0" w:noHBand="0" w:noVBand="0"/>
      </w:tblPr>
      <w:tblGrid>
        <w:gridCol w:w="1418"/>
        <w:gridCol w:w="5492"/>
        <w:gridCol w:w="1530"/>
        <w:gridCol w:w="1710"/>
      </w:tblGrid>
      <w:tr w:rsidR="00FC442D" w:rsidRPr="009C56EC" w:rsidTr="00FC442D">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FC442D" w:rsidRPr="009C56EC" w:rsidRDefault="00FC442D" w:rsidP="00FC442D">
            <w:pPr>
              <w:spacing w:line="240" w:lineRule="auto"/>
              <w:rPr>
                <w:rFonts w:eastAsia="Calibri" w:cs="Arial"/>
                <w:b/>
                <w:szCs w:val="24"/>
                <w:lang w:val="pt-PT"/>
              </w:rPr>
            </w:pPr>
            <w:r w:rsidRPr="009C56EC">
              <w:rPr>
                <w:rFonts w:eastAsia="Calibri" w:cs="Arial"/>
                <w:b/>
                <w:szCs w:val="24"/>
                <w:lang w:val="pt-PT"/>
              </w:rPr>
              <w:lastRenderedPageBreak/>
              <w:t>Disciplina</w:t>
            </w:r>
          </w:p>
        </w:tc>
        <w:tc>
          <w:tcPr>
            <w:tcW w:w="5492" w:type="dxa"/>
            <w:tcBorders>
              <w:top w:val="single" w:sz="6" w:space="0" w:color="000000"/>
              <w:left w:val="single" w:sz="6" w:space="0" w:color="000000"/>
              <w:bottom w:val="single" w:sz="6" w:space="0" w:color="000000"/>
              <w:right w:val="single" w:sz="6" w:space="0" w:color="000000"/>
            </w:tcBorders>
            <w:vAlign w:val="center"/>
          </w:tcPr>
          <w:p w:rsidR="00FC442D" w:rsidRPr="009C56EC" w:rsidRDefault="00FC442D" w:rsidP="00FC442D">
            <w:pPr>
              <w:spacing w:line="240" w:lineRule="auto"/>
              <w:rPr>
                <w:rFonts w:eastAsia="Calibri" w:cs="Arial"/>
                <w:szCs w:val="24"/>
                <w:lang w:val="pt-PT"/>
              </w:rPr>
            </w:pPr>
            <w:r w:rsidRPr="009C56EC">
              <w:rPr>
                <w:rFonts w:eastAsia="Calibri" w:cs="Arial"/>
                <w:szCs w:val="24"/>
                <w:lang w:val="pt-PT"/>
              </w:rPr>
              <w:t>Introdução às Ciências Médicas</w:t>
            </w:r>
          </w:p>
        </w:tc>
        <w:tc>
          <w:tcPr>
            <w:tcW w:w="1530" w:type="dxa"/>
            <w:tcBorders>
              <w:top w:val="single" w:sz="6" w:space="0" w:color="000000"/>
              <w:left w:val="single" w:sz="6" w:space="0" w:color="000000"/>
              <w:bottom w:val="single" w:sz="6" w:space="0" w:color="000000"/>
              <w:right w:val="single" w:sz="6" w:space="0" w:color="000000"/>
            </w:tcBorders>
            <w:vAlign w:val="center"/>
          </w:tcPr>
          <w:p w:rsidR="00FC442D" w:rsidRPr="009C56EC" w:rsidRDefault="00FC442D" w:rsidP="00FC442D">
            <w:pPr>
              <w:spacing w:line="240" w:lineRule="auto"/>
              <w:rPr>
                <w:rFonts w:eastAsia="Calibri" w:cs="Arial"/>
                <w:b/>
                <w:szCs w:val="24"/>
                <w:lang w:val="pt-PT"/>
              </w:rPr>
            </w:pPr>
            <w:r w:rsidRPr="009C56EC">
              <w:rPr>
                <w:rFonts w:eastAsia="Calibri" w:cs="Arial"/>
                <w:b/>
                <w:szCs w:val="24"/>
                <w:lang w:val="pt-PT"/>
              </w:rPr>
              <w:t xml:space="preserve">N° da Aula </w:t>
            </w:r>
          </w:p>
        </w:tc>
        <w:tc>
          <w:tcPr>
            <w:tcW w:w="1710" w:type="dxa"/>
            <w:tcBorders>
              <w:top w:val="single" w:sz="6" w:space="0" w:color="000000"/>
              <w:left w:val="single" w:sz="6" w:space="0" w:color="000000"/>
              <w:bottom w:val="single" w:sz="6" w:space="0" w:color="000000"/>
              <w:right w:val="single" w:sz="6" w:space="0" w:color="000000"/>
            </w:tcBorders>
            <w:vAlign w:val="center"/>
          </w:tcPr>
          <w:p w:rsidR="00FC442D" w:rsidRPr="009C56EC" w:rsidRDefault="00FC442D" w:rsidP="00FC442D">
            <w:pPr>
              <w:spacing w:line="240" w:lineRule="auto"/>
              <w:jc w:val="center"/>
              <w:rPr>
                <w:rFonts w:eastAsia="Calibri" w:cs="Arial"/>
                <w:lang w:val="pt-PT"/>
              </w:rPr>
            </w:pPr>
            <w:r>
              <w:rPr>
                <w:rFonts w:eastAsia="Calibri" w:cs="Arial"/>
                <w:lang w:val="pt-PT"/>
              </w:rPr>
              <w:t>18</w:t>
            </w:r>
          </w:p>
        </w:tc>
      </w:tr>
      <w:tr w:rsidR="00FC442D" w:rsidRPr="009C56EC" w:rsidTr="00FC442D">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FC442D" w:rsidRPr="009C56EC" w:rsidRDefault="00FC442D" w:rsidP="00FC442D">
            <w:pPr>
              <w:spacing w:line="240" w:lineRule="auto"/>
              <w:rPr>
                <w:rFonts w:eastAsia="Calibri" w:cs="Arial"/>
                <w:b/>
                <w:szCs w:val="24"/>
                <w:lang w:val="pt-PT"/>
              </w:rPr>
            </w:pPr>
            <w:r w:rsidRPr="009C56EC">
              <w:rPr>
                <w:rFonts w:eastAsia="Calibri" w:cs="Arial"/>
                <w:b/>
                <w:szCs w:val="24"/>
                <w:lang w:val="pt-PT"/>
              </w:rPr>
              <w:t>Tópico</w:t>
            </w:r>
          </w:p>
        </w:tc>
        <w:tc>
          <w:tcPr>
            <w:tcW w:w="5492" w:type="dxa"/>
            <w:tcBorders>
              <w:top w:val="single" w:sz="6" w:space="0" w:color="000000"/>
              <w:left w:val="single" w:sz="6" w:space="0" w:color="000000"/>
              <w:bottom w:val="single" w:sz="6" w:space="0" w:color="000000"/>
              <w:right w:val="single" w:sz="6" w:space="0" w:color="000000"/>
            </w:tcBorders>
            <w:vAlign w:val="center"/>
          </w:tcPr>
          <w:p w:rsidR="00FC442D" w:rsidRPr="009C56EC" w:rsidRDefault="00FC442D" w:rsidP="00FC442D">
            <w:pPr>
              <w:spacing w:line="240" w:lineRule="auto"/>
              <w:rPr>
                <w:rFonts w:eastAsia="Calibri" w:cs="Arial"/>
                <w:szCs w:val="24"/>
                <w:lang w:val="pt-PT"/>
              </w:rPr>
            </w:pPr>
            <w:r w:rsidRPr="009C56EC">
              <w:rPr>
                <w:rFonts w:eastAsia="Calibri" w:cs="Arial"/>
                <w:szCs w:val="24"/>
                <w:lang w:val="pt-PT"/>
              </w:rPr>
              <w:t>Farmacologia</w:t>
            </w:r>
          </w:p>
        </w:tc>
        <w:tc>
          <w:tcPr>
            <w:tcW w:w="1530" w:type="dxa"/>
            <w:tcBorders>
              <w:top w:val="single" w:sz="6" w:space="0" w:color="000000"/>
              <w:left w:val="single" w:sz="6" w:space="0" w:color="000000"/>
              <w:bottom w:val="single" w:sz="6" w:space="0" w:color="000000"/>
              <w:right w:val="single" w:sz="6" w:space="0" w:color="000000"/>
            </w:tcBorders>
            <w:vAlign w:val="center"/>
          </w:tcPr>
          <w:p w:rsidR="00FC442D" w:rsidRPr="009C56EC" w:rsidRDefault="00FC442D" w:rsidP="00FC442D">
            <w:pPr>
              <w:spacing w:line="240" w:lineRule="auto"/>
              <w:rPr>
                <w:rFonts w:eastAsia="Calibri" w:cs="Arial"/>
                <w:b/>
                <w:szCs w:val="24"/>
                <w:lang w:val="pt-PT"/>
              </w:rPr>
            </w:pPr>
            <w:r w:rsidRPr="009C56EC">
              <w:rPr>
                <w:rFonts w:eastAsia="Calibri" w:cs="Arial"/>
                <w:b/>
                <w:szCs w:val="24"/>
                <w:lang w:val="pt-PT"/>
              </w:rPr>
              <w:t xml:space="preserve">Tipo </w:t>
            </w:r>
          </w:p>
        </w:tc>
        <w:tc>
          <w:tcPr>
            <w:tcW w:w="1710" w:type="dxa"/>
            <w:tcBorders>
              <w:top w:val="single" w:sz="6" w:space="0" w:color="000000"/>
              <w:left w:val="single" w:sz="6" w:space="0" w:color="000000"/>
              <w:bottom w:val="single" w:sz="6" w:space="0" w:color="000000"/>
              <w:right w:val="single" w:sz="6" w:space="0" w:color="000000"/>
            </w:tcBorders>
            <w:vAlign w:val="center"/>
          </w:tcPr>
          <w:p w:rsidR="00FC442D" w:rsidRPr="009C56EC" w:rsidRDefault="00FC442D" w:rsidP="00FC442D">
            <w:pPr>
              <w:spacing w:line="240" w:lineRule="auto"/>
              <w:jc w:val="center"/>
              <w:rPr>
                <w:rFonts w:eastAsia="Calibri" w:cs="Arial"/>
                <w:lang w:val="pt-PT"/>
              </w:rPr>
            </w:pPr>
            <w:r w:rsidRPr="009C56EC">
              <w:rPr>
                <w:rFonts w:eastAsia="Calibri" w:cs="Arial"/>
                <w:lang w:val="pt-PT"/>
              </w:rPr>
              <w:t>Teórica</w:t>
            </w:r>
          </w:p>
        </w:tc>
      </w:tr>
      <w:tr w:rsidR="00FC442D" w:rsidRPr="009C56EC" w:rsidTr="00FC442D">
        <w:trPr>
          <w:cantSplit/>
          <w:trHeight w:val="414"/>
        </w:trPr>
        <w:tc>
          <w:tcPr>
            <w:tcW w:w="1418" w:type="dxa"/>
            <w:tcBorders>
              <w:top w:val="single" w:sz="6" w:space="0" w:color="000000"/>
              <w:left w:val="single" w:sz="6" w:space="0" w:color="000000"/>
              <w:bottom w:val="single" w:sz="6" w:space="0" w:color="000000"/>
              <w:right w:val="single" w:sz="6" w:space="0" w:color="000000"/>
            </w:tcBorders>
            <w:vAlign w:val="center"/>
          </w:tcPr>
          <w:p w:rsidR="00FC442D" w:rsidRPr="009C56EC" w:rsidRDefault="00FC442D" w:rsidP="00FC442D">
            <w:pPr>
              <w:spacing w:line="240" w:lineRule="auto"/>
              <w:rPr>
                <w:rFonts w:eastAsia="Calibri" w:cs="Arial"/>
                <w:b/>
                <w:szCs w:val="24"/>
                <w:lang w:val="pt-PT"/>
              </w:rPr>
            </w:pPr>
            <w:r w:rsidRPr="009C56EC">
              <w:rPr>
                <w:rFonts w:eastAsia="Calibri" w:cs="Arial"/>
                <w:b/>
                <w:szCs w:val="24"/>
                <w:lang w:val="pt-PT"/>
              </w:rPr>
              <w:t>Conteúdos</w:t>
            </w:r>
          </w:p>
        </w:tc>
        <w:tc>
          <w:tcPr>
            <w:tcW w:w="5492" w:type="dxa"/>
            <w:tcBorders>
              <w:top w:val="single" w:sz="6" w:space="0" w:color="000000"/>
              <w:left w:val="single" w:sz="6" w:space="0" w:color="000000"/>
              <w:bottom w:val="single" w:sz="6" w:space="0" w:color="000000"/>
              <w:right w:val="single" w:sz="6" w:space="0" w:color="000000"/>
            </w:tcBorders>
            <w:vAlign w:val="center"/>
          </w:tcPr>
          <w:p w:rsidR="00FC442D" w:rsidRPr="00BE2C41" w:rsidRDefault="00FC442D" w:rsidP="00BE2C41">
            <w:pPr>
              <w:spacing w:after="0" w:line="240" w:lineRule="auto"/>
              <w:rPr>
                <w:rFonts w:eastAsia="Calibri" w:cs="Arial"/>
                <w:lang w:val="pt-PT"/>
              </w:rPr>
            </w:pPr>
            <w:bookmarkStart w:id="23" w:name="_Toc329099766"/>
            <w:r w:rsidRPr="00BE2C41">
              <w:rPr>
                <w:rStyle w:val="Heading1Char"/>
                <w:b w:val="0"/>
                <w:sz w:val="22"/>
                <w:szCs w:val="22"/>
                <w:lang w:val="pt-BR"/>
              </w:rPr>
              <w:t>Farmacologia Especial de Sistemas</w:t>
            </w:r>
            <w:bookmarkEnd w:id="23"/>
            <w:r w:rsidRPr="00BE2C41">
              <w:rPr>
                <w:rFonts w:eastAsia="Calibri" w:cs="Arial"/>
                <w:lang w:val="pt-PT"/>
              </w:rPr>
              <w:t xml:space="preserve"> (1):</w:t>
            </w:r>
          </w:p>
          <w:p w:rsidR="00FC442D" w:rsidRPr="009C56EC" w:rsidRDefault="00FC442D" w:rsidP="00BE2C41">
            <w:pPr>
              <w:spacing w:after="0" w:line="240" w:lineRule="auto"/>
              <w:rPr>
                <w:rFonts w:eastAsia="Calibri" w:cs="Arial"/>
                <w:szCs w:val="24"/>
                <w:lang w:val="pt-PT"/>
              </w:rPr>
            </w:pPr>
            <w:r w:rsidRPr="00BE2C41">
              <w:rPr>
                <w:rFonts w:eastAsia="Calibri" w:cs="Arial"/>
                <w:lang w:val="pt-PT"/>
              </w:rPr>
              <w:t>-</w:t>
            </w:r>
            <w:r w:rsidRPr="00BE2C41">
              <w:rPr>
                <w:rFonts w:cs="Arial"/>
                <w:lang w:val="pt-BR"/>
              </w:rPr>
              <w:t xml:space="preserve"> Anti-Microbianos e Anti-Bacterianos</w:t>
            </w:r>
          </w:p>
        </w:tc>
        <w:tc>
          <w:tcPr>
            <w:tcW w:w="1530" w:type="dxa"/>
            <w:tcBorders>
              <w:top w:val="single" w:sz="6" w:space="0" w:color="000000"/>
              <w:left w:val="single" w:sz="6" w:space="0" w:color="000000"/>
              <w:bottom w:val="single" w:sz="6" w:space="0" w:color="000000"/>
              <w:right w:val="single" w:sz="6" w:space="0" w:color="000000"/>
            </w:tcBorders>
            <w:vAlign w:val="center"/>
          </w:tcPr>
          <w:p w:rsidR="00FC442D" w:rsidRPr="009C56EC" w:rsidRDefault="00FC442D" w:rsidP="00FC442D">
            <w:pPr>
              <w:spacing w:line="240" w:lineRule="auto"/>
              <w:rPr>
                <w:rFonts w:eastAsia="Calibri" w:cs="Arial"/>
                <w:b/>
                <w:szCs w:val="24"/>
                <w:lang w:val="pt-PT"/>
              </w:rPr>
            </w:pPr>
            <w:r w:rsidRPr="009C56EC">
              <w:rPr>
                <w:rFonts w:eastAsia="Calibri" w:cs="Arial"/>
                <w:b/>
                <w:szCs w:val="24"/>
                <w:lang w:val="pt-PT"/>
              </w:rPr>
              <w:t>Duração</w:t>
            </w:r>
          </w:p>
        </w:tc>
        <w:tc>
          <w:tcPr>
            <w:tcW w:w="1710" w:type="dxa"/>
            <w:tcBorders>
              <w:top w:val="single" w:sz="6" w:space="0" w:color="000000"/>
              <w:left w:val="single" w:sz="6" w:space="0" w:color="000000"/>
              <w:bottom w:val="single" w:sz="6" w:space="0" w:color="000000"/>
              <w:right w:val="single" w:sz="6" w:space="0" w:color="000000"/>
            </w:tcBorders>
            <w:vAlign w:val="center"/>
          </w:tcPr>
          <w:p w:rsidR="00FC442D" w:rsidRPr="009C56EC" w:rsidRDefault="00FC442D" w:rsidP="00FC442D">
            <w:pPr>
              <w:spacing w:line="240" w:lineRule="auto"/>
              <w:jc w:val="center"/>
              <w:rPr>
                <w:rFonts w:eastAsia="Calibri" w:cs="Arial"/>
                <w:lang w:val="pt-PT"/>
              </w:rPr>
            </w:pPr>
            <w:r w:rsidRPr="009C56EC">
              <w:rPr>
                <w:rFonts w:eastAsia="Calibri" w:cs="Arial"/>
                <w:lang w:val="pt-PT"/>
              </w:rPr>
              <w:t>2 h</w:t>
            </w:r>
          </w:p>
        </w:tc>
      </w:tr>
    </w:tbl>
    <w:p w:rsidR="00FC442D" w:rsidRPr="000C09F9" w:rsidRDefault="00FC442D" w:rsidP="007701A8">
      <w:pPr>
        <w:spacing w:line="240" w:lineRule="auto"/>
        <w:outlineLvl w:val="0"/>
        <w:rPr>
          <w:rFonts w:cs="Arial"/>
          <w:b/>
          <w:bCs/>
          <w:lang w:val="pt-PT"/>
        </w:rPr>
      </w:pPr>
    </w:p>
    <w:p w:rsidR="00FC442D" w:rsidRPr="0052785B" w:rsidRDefault="00FC442D" w:rsidP="0052785B">
      <w:pPr>
        <w:rPr>
          <w:b/>
          <w:lang w:val="pt-PT"/>
        </w:rPr>
      </w:pPr>
      <w:r w:rsidRPr="0052785B">
        <w:rPr>
          <w:b/>
          <w:lang w:val="pt-PT"/>
        </w:rPr>
        <w:t>Objectivos de Aprendizagem:</w:t>
      </w:r>
    </w:p>
    <w:p w:rsidR="00FC442D" w:rsidRPr="000C09F9" w:rsidRDefault="00FC442D" w:rsidP="00FC442D">
      <w:pPr>
        <w:rPr>
          <w:rFonts w:cs="Arial"/>
          <w:lang w:val="pt-PT"/>
        </w:rPr>
      </w:pPr>
      <w:r w:rsidRPr="000C09F9">
        <w:rPr>
          <w:rFonts w:cs="Arial"/>
          <w:lang w:val="pt-PT"/>
        </w:rPr>
        <w:t>Até ao fim da aula os alunos devem ser capazes de:</w:t>
      </w:r>
    </w:p>
    <w:p w:rsidR="00FC442D" w:rsidRDefault="00FC442D" w:rsidP="00C52E09">
      <w:pPr>
        <w:pStyle w:val="ListParagraph"/>
        <w:numPr>
          <w:ilvl w:val="0"/>
          <w:numId w:val="171"/>
        </w:numPr>
        <w:spacing w:after="0"/>
        <w:ind w:left="630" w:hanging="273"/>
        <w:contextualSpacing w:val="0"/>
        <w:rPr>
          <w:rFonts w:cs="Arial"/>
          <w:lang w:val="pt-PT"/>
        </w:rPr>
      </w:pPr>
      <w:r>
        <w:rPr>
          <w:rFonts w:cs="Arial"/>
          <w:lang w:val="pt-PT"/>
        </w:rPr>
        <w:t>Conhecer e diferenciar os agentes anti-microbianos</w:t>
      </w:r>
    </w:p>
    <w:p w:rsidR="00FC442D" w:rsidRDefault="00FC442D" w:rsidP="00C52E09">
      <w:pPr>
        <w:pStyle w:val="ListParagraph"/>
        <w:numPr>
          <w:ilvl w:val="0"/>
          <w:numId w:val="171"/>
        </w:numPr>
        <w:spacing w:after="0"/>
        <w:ind w:left="630" w:hanging="273"/>
        <w:contextualSpacing w:val="0"/>
        <w:rPr>
          <w:rFonts w:cs="Arial"/>
          <w:lang w:val="pt-PT"/>
        </w:rPr>
      </w:pPr>
      <w:r>
        <w:rPr>
          <w:rFonts w:cs="Arial"/>
          <w:lang w:val="pt-PT"/>
        </w:rPr>
        <w:t>Classificar os anti-microbianos</w:t>
      </w:r>
    </w:p>
    <w:p w:rsidR="00FC442D" w:rsidRDefault="00FC442D" w:rsidP="00C52E09">
      <w:pPr>
        <w:pStyle w:val="ListParagraph"/>
        <w:numPr>
          <w:ilvl w:val="0"/>
          <w:numId w:val="171"/>
        </w:numPr>
        <w:spacing w:after="0"/>
        <w:ind w:left="630" w:hanging="273"/>
        <w:contextualSpacing w:val="0"/>
        <w:rPr>
          <w:rFonts w:cs="Arial"/>
          <w:lang w:val="pt-PT"/>
        </w:rPr>
      </w:pPr>
      <w:r>
        <w:rPr>
          <w:rFonts w:cs="Arial"/>
          <w:lang w:val="pt-PT"/>
        </w:rPr>
        <w:t>Descrever as qualidades ideais de um agente anti-microbiano</w:t>
      </w:r>
    </w:p>
    <w:p w:rsidR="00FC442D" w:rsidRDefault="00FC442D" w:rsidP="00C52E09">
      <w:pPr>
        <w:pStyle w:val="ListParagraph"/>
        <w:numPr>
          <w:ilvl w:val="0"/>
          <w:numId w:val="171"/>
        </w:numPr>
        <w:spacing w:after="0"/>
        <w:ind w:left="630" w:hanging="273"/>
        <w:contextualSpacing w:val="0"/>
        <w:rPr>
          <w:rFonts w:cs="Arial"/>
          <w:lang w:val="pt-PT"/>
        </w:rPr>
      </w:pPr>
      <w:r>
        <w:rPr>
          <w:rFonts w:cs="Arial"/>
          <w:lang w:val="pt-PT"/>
        </w:rPr>
        <w:t>Descrever os mecanismos de acção dos agentes anti-microbianos</w:t>
      </w:r>
    </w:p>
    <w:p w:rsidR="00FC442D" w:rsidRDefault="00FC442D" w:rsidP="00C52E09">
      <w:pPr>
        <w:pStyle w:val="ListParagraph"/>
        <w:numPr>
          <w:ilvl w:val="0"/>
          <w:numId w:val="171"/>
        </w:numPr>
        <w:spacing w:after="0"/>
        <w:ind w:left="630" w:hanging="273"/>
        <w:contextualSpacing w:val="0"/>
        <w:rPr>
          <w:rFonts w:cs="Arial"/>
          <w:lang w:val="pt-PT"/>
        </w:rPr>
      </w:pPr>
      <w:r>
        <w:rPr>
          <w:rFonts w:cs="Arial"/>
          <w:lang w:val="pt-PT"/>
        </w:rPr>
        <w:t>Definir e descrever o espectro de acção dos anti-bacterianos</w:t>
      </w:r>
    </w:p>
    <w:p w:rsidR="00FC442D" w:rsidRPr="000C09F9" w:rsidRDefault="00FC442D" w:rsidP="00C52E09">
      <w:pPr>
        <w:pStyle w:val="ListParagraph"/>
        <w:numPr>
          <w:ilvl w:val="0"/>
          <w:numId w:val="171"/>
        </w:numPr>
        <w:spacing w:after="0"/>
        <w:ind w:left="630" w:hanging="273"/>
        <w:contextualSpacing w:val="0"/>
        <w:rPr>
          <w:rFonts w:cs="Arial"/>
          <w:lang w:val="pt-PT"/>
        </w:rPr>
      </w:pPr>
      <w:r w:rsidRPr="00367A8B">
        <w:rPr>
          <w:rFonts w:cs="Arial"/>
          <w:lang w:val="pt-PT"/>
        </w:rPr>
        <w:t>Identificar e descrever os principais tipos de anti-bacterianos baseados nos seguintes itens: mecanismo de acção, forma farmacêutica, vias de administração, indicações, contra-indicações, precauções,  efeitos secundários, interacções</w:t>
      </w:r>
      <w:r>
        <w:rPr>
          <w:rFonts w:cs="Arial"/>
          <w:lang w:val="pt-PT"/>
        </w:rPr>
        <w:t>,</w:t>
      </w:r>
      <w:r w:rsidRPr="00367A8B">
        <w:rPr>
          <w:rFonts w:cs="Arial"/>
          <w:lang w:val="pt-PT"/>
        </w:rPr>
        <w:t xml:space="preserve"> dose e dosagem </w:t>
      </w:r>
    </w:p>
    <w:p w:rsidR="00FC442D" w:rsidRPr="000C09F9" w:rsidRDefault="00FC442D" w:rsidP="007701A8">
      <w:pPr>
        <w:tabs>
          <w:tab w:val="left" w:pos="244"/>
        </w:tabs>
        <w:spacing w:line="240" w:lineRule="auto"/>
        <w:rPr>
          <w:rFonts w:cs="Arial"/>
          <w:lang w:val="pt-PT"/>
        </w:rPr>
      </w:pPr>
    </w:p>
    <w:p w:rsidR="00FC442D" w:rsidRPr="0052785B" w:rsidRDefault="00FC442D" w:rsidP="0052785B">
      <w:pPr>
        <w:rPr>
          <w:b/>
          <w:lang w:val="pt-PT"/>
        </w:rPr>
      </w:pPr>
      <w:r w:rsidRPr="0052785B">
        <w:rPr>
          <w:b/>
          <w:lang w:val="pt-PT"/>
        </w:rPr>
        <w:t>Estrutura da Aula</w:t>
      </w:r>
    </w:p>
    <w:tbl>
      <w:tblPr>
        <w:tblW w:w="10188" w:type="dxa"/>
        <w:tblBorders>
          <w:top w:val="single" w:sz="18" w:space="0" w:color="auto"/>
          <w:bottom w:val="single" w:sz="18" w:space="0" w:color="auto"/>
        </w:tblBorders>
        <w:tblLayout w:type="fixed"/>
        <w:tblLook w:val="0400" w:firstRow="0" w:lastRow="0" w:firstColumn="0" w:lastColumn="0" w:noHBand="0" w:noVBand="1"/>
      </w:tblPr>
      <w:tblGrid>
        <w:gridCol w:w="738"/>
        <w:gridCol w:w="3690"/>
        <w:gridCol w:w="4320"/>
        <w:gridCol w:w="1440"/>
      </w:tblGrid>
      <w:tr w:rsidR="00FC442D" w:rsidRPr="009C56EC" w:rsidTr="00FC442D">
        <w:trPr>
          <w:trHeight w:val="432"/>
        </w:trPr>
        <w:tc>
          <w:tcPr>
            <w:tcW w:w="738" w:type="dxa"/>
            <w:tcBorders>
              <w:top w:val="single" w:sz="18" w:space="0" w:color="auto"/>
              <w:bottom w:val="single" w:sz="18" w:space="0" w:color="auto"/>
              <w:right w:val="single" w:sz="4" w:space="0" w:color="auto"/>
            </w:tcBorders>
            <w:shd w:val="clear" w:color="auto" w:fill="B8CCE4"/>
          </w:tcPr>
          <w:p w:rsidR="00FC442D" w:rsidRPr="009C56EC" w:rsidRDefault="00FC442D" w:rsidP="007701A8">
            <w:pPr>
              <w:spacing w:before="60"/>
              <w:ind w:left="-110" w:right="-108"/>
              <w:jc w:val="center"/>
              <w:rPr>
                <w:rFonts w:cs="Arial"/>
                <w:b/>
                <w:sz w:val="20"/>
                <w:szCs w:val="20"/>
                <w:lang w:val="pt-PT"/>
              </w:rPr>
            </w:pPr>
            <w:r w:rsidRPr="009C56EC">
              <w:rPr>
                <w:rFonts w:cs="Arial"/>
                <w:b/>
                <w:sz w:val="20"/>
                <w:szCs w:val="20"/>
                <w:lang w:val="pt-PT"/>
              </w:rPr>
              <w:t>Bloco</w:t>
            </w:r>
          </w:p>
        </w:tc>
        <w:tc>
          <w:tcPr>
            <w:tcW w:w="3690" w:type="dxa"/>
            <w:tcBorders>
              <w:top w:val="single" w:sz="18" w:space="0" w:color="auto"/>
              <w:left w:val="single" w:sz="4" w:space="0" w:color="auto"/>
              <w:bottom w:val="single" w:sz="18" w:space="0" w:color="auto"/>
              <w:right w:val="single" w:sz="4" w:space="0" w:color="auto"/>
            </w:tcBorders>
            <w:shd w:val="clear" w:color="auto" w:fill="B8CCE4"/>
          </w:tcPr>
          <w:p w:rsidR="00FC442D" w:rsidRPr="009C56EC" w:rsidRDefault="00FC442D" w:rsidP="007701A8">
            <w:pPr>
              <w:spacing w:before="60"/>
              <w:jc w:val="center"/>
              <w:rPr>
                <w:rFonts w:cs="Arial"/>
                <w:b/>
                <w:sz w:val="20"/>
                <w:szCs w:val="20"/>
                <w:lang w:val="pt-PT"/>
              </w:rPr>
            </w:pPr>
            <w:r w:rsidRPr="009C56EC">
              <w:rPr>
                <w:rFonts w:cs="Arial"/>
                <w:b/>
                <w:sz w:val="20"/>
                <w:szCs w:val="20"/>
                <w:lang w:val="pt-PT"/>
              </w:rPr>
              <w:t>Título do Bloco</w:t>
            </w:r>
          </w:p>
        </w:tc>
        <w:tc>
          <w:tcPr>
            <w:tcW w:w="4320" w:type="dxa"/>
            <w:tcBorders>
              <w:top w:val="single" w:sz="18" w:space="0" w:color="auto"/>
              <w:left w:val="single" w:sz="4" w:space="0" w:color="auto"/>
              <w:bottom w:val="single" w:sz="18" w:space="0" w:color="auto"/>
              <w:right w:val="single" w:sz="4" w:space="0" w:color="auto"/>
            </w:tcBorders>
            <w:shd w:val="clear" w:color="auto" w:fill="B8CCE4"/>
          </w:tcPr>
          <w:p w:rsidR="00FC442D" w:rsidRPr="009C56EC" w:rsidRDefault="00FC442D" w:rsidP="007701A8">
            <w:pPr>
              <w:tabs>
                <w:tab w:val="left" w:pos="244"/>
              </w:tabs>
              <w:spacing w:before="60"/>
              <w:jc w:val="center"/>
              <w:rPr>
                <w:rFonts w:cs="Arial"/>
                <w:b/>
                <w:sz w:val="20"/>
                <w:szCs w:val="20"/>
                <w:lang w:val="pt-PT"/>
              </w:rPr>
            </w:pPr>
            <w:r w:rsidRPr="009C56EC">
              <w:rPr>
                <w:rFonts w:cs="Arial"/>
                <w:b/>
                <w:sz w:val="20"/>
                <w:szCs w:val="20"/>
                <w:lang w:val="pt-PT"/>
              </w:rPr>
              <w:t>Método de Ensino</w:t>
            </w:r>
          </w:p>
        </w:tc>
        <w:tc>
          <w:tcPr>
            <w:tcW w:w="1440" w:type="dxa"/>
            <w:tcBorders>
              <w:top w:val="single" w:sz="18" w:space="0" w:color="auto"/>
              <w:left w:val="single" w:sz="4" w:space="0" w:color="auto"/>
              <w:bottom w:val="single" w:sz="18" w:space="0" w:color="auto"/>
            </w:tcBorders>
            <w:shd w:val="clear" w:color="auto" w:fill="B8CCE4"/>
          </w:tcPr>
          <w:p w:rsidR="00FC442D" w:rsidRPr="009C56EC" w:rsidRDefault="00FC442D" w:rsidP="007701A8">
            <w:pPr>
              <w:tabs>
                <w:tab w:val="left" w:pos="244"/>
              </w:tabs>
              <w:spacing w:before="60"/>
              <w:jc w:val="center"/>
              <w:rPr>
                <w:rFonts w:cs="Arial"/>
                <w:b/>
                <w:sz w:val="20"/>
                <w:szCs w:val="20"/>
                <w:lang w:val="pt-PT"/>
              </w:rPr>
            </w:pPr>
            <w:r w:rsidRPr="009C56EC">
              <w:rPr>
                <w:rFonts w:cs="Arial"/>
                <w:b/>
                <w:sz w:val="20"/>
                <w:szCs w:val="20"/>
                <w:lang w:val="pt-PT"/>
              </w:rPr>
              <w:t>Duração</w:t>
            </w:r>
          </w:p>
        </w:tc>
      </w:tr>
      <w:tr w:rsidR="00FC442D" w:rsidRPr="009C56EC" w:rsidTr="00FC442D">
        <w:tc>
          <w:tcPr>
            <w:tcW w:w="738" w:type="dxa"/>
            <w:tcBorders>
              <w:top w:val="single" w:sz="18" w:space="0" w:color="auto"/>
              <w:bottom w:val="single" w:sz="4" w:space="0" w:color="auto"/>
              <w:right w:val="single" w:sz="4" w:space="0" w:color="auto"/>
            </w:tcBorders>
          </w:tcPr>
          <w:p w:rsidR="00FC442D" w:rsidRPr="009C56EC" w:rsidRDefault="00FC442D" w:rsidP="007701A8">
            <w:pPr>
              <w:spacing w:before="60" w:after="60"/>
              <w:ind w:left="-110" w:right="-108"/>
              <w:jc w:val="center"/>
              <w:rPr>
                <w:rFonts w:cs="Arial"/>
                <w:sz w:val="20"/>
                <w:szCs w:val="20"/>
                <w:lang w:val="pt-PT"/>
              </w:rPr>
            </w:pPr>
            <w:r w:rsidRPr="009C56EC">
              <w:rPr>
                <w:rFonts w:cs="Arial"/>
                <w:sz w:val="20"/>
                <w:szCs w:val="20"/>
                <w:lang w:val="pt-PT"/>
              </w:rPr>
              <w:t>1</w:t>
            </w:r>
          </w:p>
        </w:tc>
        <w:tc>
          <w:tcPr>
            <w:tcW w:w="3690" w:type="dxa"/>
            <w:tcBorders>
              <w:top w:val="single" w:sz="18" w:space="0" w:color="auto"/>
              <w:left w:val="single" w:sz="4" w:space="0" w:color="auto"/>
              <w:bottom w:val="single" w:sz="4" w:space="0" w:color="auto"/>
              <w:right w:val="single" w:sz="4" w:space="0" w:color="auto"/>
            </w:tcBorders>
          </w:tcPr>
          <w:p w:rsidR="00FC442D" w:rsidRPr="009C56EC" w:rsidRDefault="00FC442D" w:rsidP="007701A8">
            <w:pPr>
              <w:tabs>
                <w:tab w:val="left" w:pos="244"/>
              </w:tabs>
              <w:spacing w:before="60" w:after="60"/>
              <w:rPr>
                <w:rFonts w:cs="Arial"/>
                <w:sz w:val="20"/>
                <w:szCs w:val="20"/>
                <w:lang w:val="pt-PT"/>
              </w:rPr>
            </w:pPr>
            <w:r w:rsidRPr="009C56EC">
              <w:rPr>
                <w:rFonts w:cs="Arial"/>
                <w:sz w:val="20"/>
                <w:szCs w:val="20"/>
                <w:lang w:val="pt-PT"/>
              </w:rPr>
              <w:t>Introdução à Aula</w:t>
            </w:r>
          </w:p>
          <w:p w:rsidR="00FC442D" w:rsidRPr="009C56EC" w:rsidRDefault="00FC442D" w:rsidP="007701A8">
            <w:pPr>
              <w:tabs>
                <w:tab w:val="left" w:pos="244"/>
              </w:tabs>
              <w:spacing w:before="60" w:after="60"/>
              <w:rPr>
                <w:rFonts w:cs="Arial"/>
                <w:sz w:val="20"/>
                <w:szCs w:val="20"/>
                <w:lang w:val="pt-PT"/>
              </w:rPr>
            </w:pPr>
          </w:p>
        </w:tc>
        <w:tc>
          <w:tcPr>
            <w:tcW w:w="4320" w:type="dxa"/>
            <w:tcBorders>
              <w:top w:val="single" w:sz="18" w:space="0" w:color="auto"/>
              <w:left w:val="single" w:sz="4" w:space="0" w:color="auto"/>
              <w:bottom w:val="single" w:sz="4" w:space="0" w:color="auto"/>
              <w:right w:val="single" w:sz="4" w:space="0" w:color="auto"/>
            </w:tcBorders>
          </w:tcPr>
          <w:p w:rsidR="00FC442D" w:rsidRPr="009C56EC" w:rsidRDefault="00FC442D" w:rsidP="007701A8">
            <w:pPr>
              <w:tabs>
                <w:tab w:val="left" w:pos="244"/>
              </w:tabs>
              <w:spacing w:before="60" w:after="60"/>
              <w:rPr>
                <w:rFonts w:cs="Arial"/>
                <w:sz w:val="20"/>
                <w:szCs w:val="20"/>
                <w:lang w:val="pt-PT"/>
              </w:rPr>
            </w:pPr>
          </w:p>
        </w:tc>
        <w:tc>
          <w:tcPr>
            <w:tcW w:w="1440" w:type="dxa"/>
            <w:tcBorders>
              <w:top w:val="single" w:sz="18" w:space="0" w:color="auto"/>
              <w:left w:val="single" w:sz="4" w:space="0" w:color="auto"/>
              <w:bottom w:val="single" w:sz="4" w:space="0" w:color="auto"/>
            </w:tcBorders>
          </w:tcPr>
          <w:p w:rsidR="00FC442D" w:rsidRPr="009C56EC" w:rsidRDefault="00FC442D" w:rsidP="007701A8">
            <w:pPr>
              <w:tabs>
                <w:tab w:val="left" w:pos="244"/>
              </w:tabs>
              <w:spacing w:before="60" w:after="60"/>
              <w:jc w:val="right"/>
              <w:rPr>
                <w:rFonts w:cs="Arial"/>
                <w:sz w:val="20"/>
                <w:szCs w:val="20"/>
                <w:lang w:val="pt-PT"/>
              </w:rPr>
            </w:pPr>
          </w:p>
        </w:tc>
      </w:tr>
      <w:tr w:rsidR="00FC442D" w:rsidRPr="009C56EC" w:rsidTr="00FC442D">
        <w:tc>
          <w:tcPr>
            <w:tcW w:w="738" w:type="dxa"/>
            <w:tcBorders>
              <w:top w:val="single" w:sz="4" w:space="0" w:color="auto"/>
              <w:bottom w:val="single" w:sz="4" w:space="0" w:color="auto"/>
              <w:right w:val="single" w:sz="4" w:space="0" w:color="auto"/>
            </w:tcBorders>
            <w:shd w:val="clear" w:color="auto" w:fill="D9D9D9"/>
          </w:tcPr>
          <w:p w:rsidR="00FC442D" w:rsidRPr="009C56EC" w:rsidRDefault="00FC442D" w:rsidP="007701A8">
            <w:pPr>
              <w:spacing w:before="60" w:after="60"/>
              <w:ind w:left="-110" w:right="-108"/>
              <w:jc w:val="center"/>
              <w:rPr>
                <w:rFonts w:cs="Arial"/>
                <w:sz w:val="20"/>
                <w:szCs w:val="20"/>
                <w:lang w:val="pt-PT"/>
              </w:rPr>
            </w:pPr>
            <w:r w:rsidRPr="009C56EC">
              <w:rPr>
                <w:rFonts w:cs="Arial"/>
                <w:sz w:val="20"/>
                <w:szCs w:val="20"/>
                <w:lang w:val="pt-PT"/>
              </w:rPr>
              <w:t>2</w:t>
            </w:r>
          </w:p>
        </w:tc>
        <w:tc>
          <w:tcPr>
            <w:tcW w:w="3690" w:type="dxa"/>
            <w:tcBorders>
              <w:top w:val="single" w:sz="4" w:space="0" w:color="auto"/>
              <w:left w:val="single" w:sz="4" w:space="0" w:color="auto"/>
              <w:bottom w:val="single" w:sz="4" w:space="0" w:color="auto"/>
              <w:right w:val="single" w:sz="4" w:space="0" w:color="auto"/>
            </w:tcBorders>
            <w:shd w:val="clear" w:color="auto" w:fill="D9D9D9"/>
          </w:tcPr>
          <w:p w:rsidR="00FC442D" w:rsidRDefault="00FC442D" w:rsidP="007701A8">
            <w:pPr>
              <w:tabs>
                <w:tab w:val="left" w:pos="244"/>
              </w:tabs>
              <w:spacing w:before="60" w:after="60"/>
              <w:rPr>
                <w:rFonts w:cs="Arial"/>
                <w:sz w:val="20"/>
                <w:szCs w:val="20"/>
                <w:lang w:val="pt-PT"/>
              </w:rPr>
            </w:pPr>
            <w:r>
              <w:rPr>
                <w:rFonts w:cs="Arial"/>
                <w:sz w:val="20"/>
                <w:szCs w:val="20"/>
                <w:lang w:val="pt-PT"/>
              </w:rPr>
              <w:t>Anti-Microbianos</w:t>
            </w:r>
          </w:p>
          <w:p w:rsidR="00FC442D" w:rsidRPr="009C56EC" w:rsidRDefault="00FC442D" w:rsidP="007701A8">
            <w:pPr>
              <w:tabs>
                <w:tab w:val="left" w:pos="244"/>
              </w:tabs>
              <w:spacing w:before="60" w:after="60"/>
              <w:rPr>
                <w:rFonts w:cs="Arial"/>
                <w:sz w:val="20"/>
                <w:szCs w:val="20"/>
                <w:lang w:val="pt-PT"/>
              </w:rPr>
            </w:pPr>
          </w:p>
        </w:tc>
        <w:tc>
          <w:tcPr>
            <w:tcW w:w="4320" w:type="dxa"/>
            <w:tcBorders>
              <w:top w:val="single" w:sz="4" w:space="0" w:color="auto"/>
              <w:left w:val="single" w:sz="4" w:space="0" w:color="auto"/>
              <w:bottom w:val="single" w:sz="4" w:space="0" w:color="auto"/>
              <w:right w:val="single" w:sz="4" w:space="0" w:color="auto"/>
            </w:tcBorders>
            <w:shd w:val="clear" w:color="auto" w:fill="D9D9D9"/>
          </w:tcPr>
          <w:p w:rsidR="00FC442D" w:rsidRPr="009C56EC" w:rsidRDefault="00FC442D" w:rsidP="007701A8">
            <w:pPr>
              <w:tabs>
                <w:tab w:val="left" w:pos="244"/>
              </w:tabs>
              <w:spacing w:before="60" w:after="60"/>
              <w:rPr>
                <w:rFonts w:cs="Arial"/>
                <w:sz w:val="20"/>
                <w:szCs w:val="20"/>
                <w:lang w:val="pt-PT"/>
              </w:rPr>
            </w:pPr>
          </w:p>
        </w:tc>
        <w:tc>
          <w:tcPr>
            <w:tcW w:w="1440" w:type="dxa"/>
            <w:tcBorders>
              <w:top w:val="single" w:sz="4" w:space="0" w:color="auto"/>
              <w:left w:val="single" w:sz="4" w:space="0" w:color="auto"/>
              <w:bottom w:val="single" w:sz="4" w:space="0" w:color="auto"/>
            </w:tcBorders>
            <w:shd w:val="clear" w:color="auto" w:fill="D9D9D9"/>
          </w:tcPr>
          <w:p w:rsidR="00FC442D" w:rsidRPr="009C56EC" w:rsidRDefault="00FC442D" w:rsidP="007701A8">
            <w:pPr>
              <w:tabs>
                <w:tab w:val="left" w:pos="244"/>
              </w:tabs>
              <w:spacing w:before="60" w:after="60"/>
              <w:jc w:val="right"/>
              <w:rPr>
                <w:rFonts w:cs="Arial"/>
                <w:sz w:val="20"/>
                <w:szCs w:val="20"/>
                <w:lang w:val="pt-PT"/>
              </w:rPr>
            </w:pPr>
          </w:p>
        </w:tc>
      </w:tr>
      <w:tr w:rsidR="00FC442D" w:rsidRPr="009C56EC" w:rsidTr="00FC442D">
        <w:tc>
          <w:tcPr>
            <w:tcW w:w="738" w:type="dxa"/>
            <w:tcBorders>
              <w:top w:val="single" w:sz="4" w:space="0" w:color="auto"/>
              <w:bottom w:val="single" w:sz="4" w:space="0" w:color="auto"/>
              <w:right w:val="single" w:sz="4" w:space="0" w:color="auto"/>
            </w:tcBorders>
          </w:tcPr>
          <w:p w:rsidR="00FC442D" w:rsidRPr="009C56EC" w:rsidRDefault="00FC442D" w:rsidP="007701A8">
            <w:pPr>
              <w:spacing w:before="60" w:after="60"/>
              <w:ind w:left="-110" w:right="-108"/>
              <w:jc w:val="center"/>
              <w:rPr>
                <w:rFonts w:cs="Arial"/>
                <w:sz w:val="20"/>
                <w:szCs w:val="20"/>
                <w:lang w:val="pt-PT"/>
              </w:rPr>
            </w:pPr>
            <w:r w:rsidRPr="009C56EC">
              <w:rPr>
                <w:rFonts w:cs="Arial"/>
                <w:sz w:val="20"/>
                <w:szCs w:val="20"/>
                <w:lang w:val="pt-PT"/>
              </w:rPr>
              <w:t>3</w:t>
            </w:r>
          </w:p>
        </w:tc>
        <w:tc>
          <w:tcPr>
            <w:tcW w:w="3690" w:type="dxa"/>
            <w:tcBorders>
              <w:top w:val="single" w:sz="4" w:space="0" w:color="auto"/>
              <w:left w:val="single" w:sz="4" w:space="0" w:color="auto"/>
              <w:bottom w:val="single" w:sz="4" w:space="0" w:color="auto"/>
              <w:right w:val="single" w:sz="4" w:space="0" w:color="auto"/>
            </w:tcBorders>
          </w:tcPr>
          <w:p w:rsidR="00FC442D" w:rsidRDefault="00FC442D" w:rsidP="007701A8">
            <w:pPr>
              <w:tabs>
                <w:tab w:val="left" w:pos="244"/>
              </w:tabs>
              <w:spacing w:before="60" w:after="60"/>
              <w:rPr>
                <w:rFonts w:cs="Arial"/>
                <w:iCs/>
                <w:sz w:val="20"/>
                <w:szCs w:val="20"/>
                <w:lang w:val="pt-PT"/>
              </w:rPr>
            </w:pPr>
            <w:r>
              <w:rPr>
                <w:rFonts w:cs="Arial"/>
                <w:iCs/>
                <w:sz w:val="20"/>
                <w:szCs w:val="20"/>
                <w:lang w:val="pt-PT"/>
              </w:rPr>
              <w:t>Anti-Bacterianos (I)</w:t>
            </w:r>
            <w:r w:rsidRPr="000C09F9">
              <w:rPr>
                <w:rFonts w:cs="Arial"/>
                <w:iCs/>
                <w:sz w:val="20"/>
                <w:szCs w:val="20"/>
                <w:lang w:val="pt-PT"/>
              </w:rPr>
              <w:t xml:space="preserve"> </w:t>
            </w:r>
          </w:p>
          <w:p w:rsidR="00FC442D" w:rsidRPr="009C56EC" w:rsidRDefault="00FC442D" w:rsidP="007701A8">
            <w:pPr>
              <w:tabs>
                <w:tab w:val="left" w:pos="244"/>
              </w:tabs>
              <w:spacing w:before="60" w:after="60"/>
              <w:rPr>
                <w:rFonts w:cs="Arial"/>
                <w:iCs/>
                <w:sz w:val="20"/>
                <w:szCs w:val="20"/>
                <w:lang w:val="pt-PT"/>
              </w:rPr>
            </w:pPr>
          </w:p>
        </w:tc>
        <w:tc>
          <w:tcPr>
            <w:tcW w:w="4320" w:type="dxa"/>
            <w:tcBorders>
              <w:top w:val="single" w:sz="4" w:space="0" w:color="auto"/>
              <w:left w:val="single" w:sz="4" w:space="0" w:color="auto"/>
              <w:bottom w:val="single" w:sz="4" w:space="0" w:color="auto"/>
              <w:right w:val="single" w:sz="4" w:space="0" w:color="auto"/>
            </w:tcBorders>
          </w:tcPr>
          <w:p w:rsidR="00FC442D" w:rsidRPr="009C56EC" w:rsidRDefault="00FC442D" w:rsidP="007701A8">
            <w:pPr>
              <w:spacing w:before="60" w:after="60"/>
              <w:ind w:left="-18" w:firstLine="18"/>
              <w:rPr>
                <w:rFonts w:cs="Arial"/>
                <w:sz w:val="20"/>
                <w:szCs w:val="20"/>
                <w:lang w:val="pt-PT"/>
              </w:rPr>
            </w:pPr>
          </w:p>
        </w:tc>
        <w:tc>
          <w:tcPr>
            <w:tcW w:w="1440" w:type="dxa"/>
            <w:tcBorders>
              <w:top w:val="single" w:sz="4" w:space="0" w:color="auto"/>
              <w:left w:val="single" w:sz="4" w:space="0" w:color="auto"/>
              <w:bottom w:val="single" w:sz="4" w:space="0" w:color="auto"/>
            </w:tcBorders>
          </w:tcPr>
          <w:p w:rsidR="00FC442D" w:rsidRPr="009C56EC" w:rsidRDefault="00FC442D" w:rsidP="007701A8">
            <w:pPr>
              <w:spacing w:before="60" w:after="60"/>
              <w:ind w:left="-18" w:firstLine="18"/>
              <w:jc w:val="right"/>
              <w:rPr>
                <w:rFonts w:cs="Arial"/>
                <w:sz w:val="20"/>
                <w:szCs w:val="20"/>
                <w:lang w:val="pt-PT"/>
              </w:rPr>
            </w:pPr>
          </w:p>
        </w:tc>
      </w:tr>
      <w:tr w:rsidR="00FC442D" w:rsidRPr="009C56EC" w:rsidTr="00FC442D">
        <w:tc>
          <w:tcPr>
            <w:tcW w:w="738" w:type="dxa"/>
            <w:tcBorders>
              <w:top w:val="single" w:sz="4" w:space="0" w:color="auto"/>
              <w:bottom w:val="single" w:sz="18" w:space="0" w:color="auto"/>
              <w:right w:val="single" w:sz="4" w:space="0" w:color="auto"/>
            </w:tcBorders>
            <w:shd w:val="clear" w:color="auto" w:fill="D9D9D9"/>
          </w:tcPr>
          <w:p w:rsidR="00FC442D" w:rsidRPr="009C56EC" w:rsidRDefault="00FC442D" w:rsidP="007701A8">
            <w:pPr>
              <w:spacing w:before="60" w:after="60"/>
              <w:ind w:left="-110" w:right="-108"/>
              <w:jc w:val="center"/>
              <w:rPr>
                <w:rFonts w:cs="Arial"/>
                <w:sz w:val="20"/>
                <w:szCs w:val="20"/>
                <w:lang w:val="pt-PT"/>
              </w:rPr>
            </w:pPr>
            <w:r>
              <w:rPr>
                <w:rFonts w:cs="Arial"/>
                <w:sz w:val="20"/>
                <w:szCs w:val="20"/>
                <w:lang w:val="pt-PT"/>
              </w:rPr>
              <w:t>4</w:t>
            </w:r>
          </w:p>
        </w:tc>
        <w:tc>
          <w:tcPr>
            <w:tcW w:w="3690" w:type="dxa"/>
            <w:tcBorders>
              <w:top w:val="single" w:sz="4" w:space="0" w:color="auto"/>
              <w:left w:val="single" w:sz="4" w:space="0" w:color="auto"/>
              <w:bottom w:val="single" w:sz="18" w:space="0" w:color="auto"/>
              <w:right w:val="single" w:sz="4" w:space="0" w:color="auto"/>
            </w:tcBorders>
            <w:shd w:val="clear" w:color="auto" w:fill="D9D9D9"/>
          </w:tcPr>
          <w:p w:rsidR="00FC442D" w:rsidRDefault="00FC442D" w:rsidP="007701A8">
            <w:pPr>
              <w:tabs>
                <w:tab w:val="left" w:pos="244"/>
              </w:tabs>
              <w:spacing w:before="60" w:after="60"/>
              <w:rPr>
                <w:rFonts w:cs="Arial"/>
                <w:iCs/>
                <w:sz w:val="20"/>
                <w:szCs w:val="20"/>
                <w:lang w:val="pt-PT"/>
              </w:rPr>
            </w:pPr>
            <w:r>
              <w:rPr>
                <w:rFonts w:cs="Arial"/>
                <w:iCs/>
                <w:sz w:val="20"/>
                <w:szCs w:val="20"/>
                <w:lang w:val="pt-PT"/>
              </w:rPr>
              <w:t>Pontos-chave</w:t>
            </w:r>
          </w:p>
          <w:p w:rsidR="00FC442D" w:rsidRPr="000C09F9" w:rsidRDefault="00FC442D" w:rsidP="007701A8">
            <w:pPr>
              <w:tabs>
                <w:tab w:val="left" w:pos="244"/>
              </w:tabs>
              <w:spacing w:before="60" w:after="60"/>
              <w:rPr>
                <w:rFonts w:cs="Arial"/>
                <w:iCs/>
                <w:sz w:val="20"/>
                <w:szCs w:val="20"/>
                <w:lang w:val="pt-PT"/>
              </w:rPr>
            </w:pPr>
          </w:p>
        </w:tc>
        <w:tc>
          <w:tcPr>
            <w:tcW w:w="4320" w:type="dxa"/>
            <w:tcBorders>
              <w:top w:val="single" w:sz="4" w:space="0" w:color="auto"/>
              <w:left w:val="single" w:sz="4" w:space="0" w:color="auto"/>
              <w:bottom w:val="single" w:sz="18" w:space="0" w:color="auto"/>
              <w:right w:val="single" w:sz="4" w:space="0" w:color="auto"/>
            </w:tcBorders>
            <w:shd w:val="clear" w:color="auto" w:fill="D9D9D9"/>
          </w:tcPr>
          <w:p w:rsidR="00FC442D" w:rsidRPr="009C56EC" w:rsidRDefault="00FC442D" w:rsidP="007701A8">
            <w:pPr>
              <w:spacing w:before="60" w:after="60"/>
              <w:ind w:left="-18" w:firstLine="18"/>
              <w:rPr>
                <w:rFonts w:cs="Arial"/>
                <w:sz w:val="20"/>
                <w:szCs w:val="20"/>
                <w:lang w:val="pt-PT"/>
              </w:rPr>
            </w:pPr>
          </w:p>
        </w:tc>
        <w:tc>
          <w:tcPr>
            <w:tcW w:w="1440" w:type="dxa"/>
            <w:tcBorders>
              <w:top w:val="single" w:sz="4" w:space="0" w:color="auto"/>
              <w:left w:val="single" w:sz="4" w:space="0" w:color="auto"/>
              <w:bottom w:val="single" w:sz="18" w:space="0" w:color="auto"/>
            </w:tcBorders>
            <w:shd w:val="clear" w:color="auto" w:fill="D9D9D9"/>
          </w:tcPr>
          <w:p w:rsidR="00FC442D" w:rsidRPr="009C56EC" w:rsidRDefault="00FC442D" w:rsidP="007701A8">
            <w:pPr>
              <w:spacing w:before="60" w:after="60"/>
              <w:ind w:left="-18" w:firstLine="18"/>
              <w:jc w:val="right"/>
              <w:rPr>
                <w:rFonts w:cs="Arial"/>
                <w:sz w:val="20"/>
                <w:szCs w:val="20"/>
                <w:lang w:val="pt-PT"/>
              </w:rPr>
            </w:pPr>
          </w:p>
        </w:tc>
      </w:tr>
    </w:tbl>
    <w:p w:rsidR="00FC442D" w:rsidRDefault="00FC442D" w:rsidP="007701A8">
      <w:pPr>
        <w:tabs>
          <w:tab w:val="left" w:pos="244"/>
        </w:tabs>
        <w:spacing w:line="240" w:lineRule="auto"/>
        <w:outlineLvl w:val="0"/>
        <w:rPr>
          <w:rFonts w:cs="Arial"/>
          <w:b/>
          <w:bCs/>
          <w:sz w:val="24"/>
          <w:szCs w:val="24"/>
          <w:lang w:val="pt-PT"/>
        </w:rPr>
      </w:pPr>
    </w:p>
    <w:p w:rsidR="00FC442D" w:rsidRPr="009C56EC" w:rsidRDefault="00FC442D" w:rsidP="00FC442D">
      <w:pPr>
        <w:tabs>
          <w:tab w:val="left" w:pos="424"/>
        </w:tabs>
        <w:spacing w:before="60"/>
        <w:jc w:val="both"/>
        <w:rPr>
          <w:rFonts w:cs="Arial"/>
          <w:b/>
          <w:lang w:val="pt-PT"/>
        </w:rPr>
      </w:pPr>
      <w:r w:rsidRPr="009C56EC">
        <w:rPr>
          <w:rFonts w:cs="Arial"/>
          <w:b/>
          <w:lang w:val="pt-PT"/>
        </w:rPr>
        <w:t>Equipamentos e meios audiovisuais necessários:</w:t>
      </w:r>
    </w:p>
    <w:p w:rsidR="007701A8" w:rsidRDefault="007701A8" w:rsidP="007701A8">
      <w:pPr>
        <w:tabs>
          <w:tab w:val="left" w:pos="424"/>
        </w:tabs>
        <w:spacing w:line="240" w:lineRule="auto"/>
        <w:jc w:val="both"/>
        <w:rPr>
          <w:rFonts w:cs="Arial"/>
          <w:b/>
          <w:lang w:val="pt-PT"/>
        </w:rPr>
      </w:pPr>
    </w:p>
    <w:p w:rsidR="00FC442D" w:rsidRPr="009C56EC" w:rsidRDefault="00FC442D" w:rsidP="00FC442D">
      <w:pPr>
        <w:tabs>
          <w:tab w:val="left" w:pos="424"/>
        </w:tabs>
        <w:jc w:val="both"/>
        <w:rPr>
          <w:rFonts w:cs="Arial"/>
          <w:lang w:val="pt-PT"/>
        </w:rPr>
      </w:pPr>
      <w:r w:rsidRPr="009C56EC">
        <w:rPr>
          <w:rFonts w:cs="Arial"/>
          <w:b/>
          <w:lang w:val="pt-PT"/>
        </w:rPr>
        <w:t>Trabalhos para casa (TPC), exercícios e textos para leitura – incluir data a ser entregue:</w:t>
      </w:r>
      <w:r w:rsidRPr="009C56EC">
        <w:rPr>
          <w:rFonts w:cs="Arial"/>
          <w:lang w:val="pt-PT"/>
        </w:rPr>
        <w:t xml:space="preserve"> </w:t>
      </w:r>
    </w:p>
    <w:p w:rsidR="00FC442D" w:rsidRPr="009C56EC" w:rsidRDefault="00FC442D" w:rsidP="00FC442D">
      <w:pPr>
        <w:tabs>
          <w:tab w:val="left" w:pos="424"/>
        </w:tabs>
        <w:jc w:val="both"/>
        <w:rPr>
          <w:rFonts w:cs="Arial"/>
          <w:lang w:val="pt-PT"/>
        </w:rPr>
      </w:pPr>
    </w:p>
    <w:p w:rsidR="00FC442D" w:rsidRPr="00927EAF" w:rsidRDefault="00FC442D" w:rsidP="00927EAF">
      <w:pPr>
        <w:rPr>
          <w:b/>
          <w:lang w:val="pt-PT"/>
        </w:rPr>
      </w:pPr>
      <w:r w:rsidRPr="00927EAF">
        <w:rPr>
          <w:b/>
          <w:sz w:val="24"/>
          <w:szCs w:val="24"/>
          <w:lang w:val="pt-PT"/>
        </w:rPr>
        <w:t>Bibliografia (r</w:t>
      </w:r>
      <w:r w:rsidRPr="00927EAF">
        <w:rPr>
          <w:b/>
          <w:lang w:val="pt-PT"/>
        </w:rPr>
        <w:t>eferências usadas para o desenvolvimento do conteúdo):</w:t>
      </w:r>
    </w:p>
    <w:p w:rsidR="00FC442D" w:rsidRPr="009C56EC" w:rsidRDefault="00FC442D" w:rsidP="007701A8">
      <w:pPr>
        <w:spacing w:line="240" w:lineRule="auto"/>
        <w:rPr>
          <w:lang w:val="pt-PT"/>
        </w:rPr>
      </w:pPr>
      <w:r w:rsidRPr="00CA3915">
        <w:rPr>
          <w:lang w:val="en-GB"/>
        </w:rPr>
        <w:t xml:space="preserve">Brunton LL, Lazo JS, Parker KL. </w:t>
      </w:r>
      <w:r w:rsidRPr="009C56EC">
        <w:rPr>
          <w:lang w:val="pt-PT"/>
        </w:rPr>
        <w:t>Goodman e Gilman - As bases farmacológicas da terapêutica. 11 Edição. Brasil: Mcgraw-Hill; 2006.</w:t>
      </w:r>
    </w:p>
    <w:p w:rsidR="00FC442D" w:rsidRPr="009C56EC" w:rsidRDefault="00FC442D" w:rsidP="007701A8">
      <w:pPr>
        <w:spacing w:line="240" w:lineRule="auto"/>
        <w:rPr>
          <w:lang w:val="pt-PT"/>
        </w:rPr>
      </w:pPr>
      <w:r w:rsidRPr="009C56EC">
        <w:rPr>
          <w:lang w:val="pt-PT"/>
        </w:rPr>
        <w:t>Katzung B. Farmacologia básica e clínica. 9 Edição. Brasil: Guanabara Koogan; 2006.</w:t>
      </w:r>
    </w:p>
    <w:p w:rsidR="00FC442D" w:rsidRDefault="00FC442D" w:rsidP="007701A8">
      <w:pPr>
        <w:spacing w:line="240" w:lineRule="auto"/>
        <w:rPr>
          <w:lang w:val="pt-PT"/>
        </w:rPr>
      </w:pPr>
      <w:r>
        <w:rPr>
          <w:lang w:val="pt-PT"/>
        </w:rPr>
        <w:t>MISAU. Formulário Nacional de Medicamentos. 5ª edição. Maputo. +</w:t>
      </w:r>
    </w:p>
    <w:p w:rsidR="00FC442D" w:rsidRPr="00F47FAF" w:rsidRDefault="00FC442D" w:rsidP="007701A8">
      <w:pPr>
        <w:spacing w:line="240" w:lineRule="auto"/>
      </w:pPr>
      <w:r w:rsidRPr="009C56EC">
        <w:rPr>
          <w:lang w:val="pt-PT"/>
        </w:rPr>
        <w:t xml:space="preserve">Nelson DL, Cox MM. Princípios de bioquímica do Lehninger. </w:t>
      </w:r>
      <w:proofErr w:type="gramStart"/>
      <w:r w:rsidRPr="00F47FAF">
        <w:t>4 edição.</w:t>
      </w:r>
      <w:proofErr w:type="gramEnd"/>
      <w:r w:rsidRPr="00F47FAF">
        <w:t xml:space="preserve"> </w:t>
      </w:r>
      <w:proofErr w:type="gramStart"/>
      <w:r w:rsidRPr="00F47FAF">
        <w:t>W.H. Freeman; 2004.</w:t>
      </w:r>
      <w:proofErr w:type="gramEnd"/>
      <w:r w:rsidRPr="00F47FAF">
        <w:t xml:space="preserve"> </w:t>
      </w:r>
    </w:p>
    <w:p w:rsidR="00FC442D" w:rsidRPr="000B25DB" w:rsidRDefault="00FC442D" w:rsidP="00FC442D">
      <w:pPr>
        <w:pStyle w:val="TM-1n"/>
        <w:numPr>
          <w:ilvl w:val="0"/>
          <w:numId w:val="0"/>
        </w:numPr>
        <w:shd w:val="clear" w:color="auto" w:fill="C6D9F1"/>
        <w:tabs>
          <w:tab w:val="clear" w:pos="9072"/>
        </w:tabs>
        <w:spacing w:before="120" w:after="120"/>
      </w:pPr>
      <w:proofErr w:type="gramStart"/>
      <w:r w:rsidRPr="00F47FAF">
        <w:rPr>
          <w:lang w:val="en-US"/>
        </w:rPr>
        <w:lastRenderedPageBreak/>
        <w:t>BLOCO 1.</w:t>
      </w:r>
      <w:proofErr w:type="gramEnd"/>
      <w:r w:rsidRPr="00F47FAF">
        <w:rPr>
          <w:lang w:val="en-US"/>
        </w:rPr>
        <w:t xml:space="preserve"> </w:t>
      </w:r>
      <w:r>
        <w:t>INTRODUÇÃO A AULA</w:t>
      </w:r>
    </w:p>
    <w:p w:rsidR="00FC442D" w:rsidRPr="00FC442D" w:rsidRDefault="00FC442D" w:rsidP="00C52E09">
      <w:pPr>
        <w:pStyle w:val="TM-2n"/>
        <w:numPr>
          <w:ilvl w:val="1"/>
          <w:numId w:val="176"/>
        </w:numPr>
        <w:spacing w:before="120" w:after="0"/>
        <w:rPr>
          <w:rFonts w:eastAsia="Calibri" w:cs="Times New Roman"/>
        </w:rPr>
      </w:pPr>
      <w:r w:rsidRPr="00FC442D">
        <w:rPr>
          <w:rFonts w:eastAsia="Calibri" w:cs="Times New Roman"/>
        </w:rPr>
        <w:t>Apresentação do tópico, conteúdos e objectivos de aprendizagem.</w:t>
      </w:r>
    </w:p>
    <w:p w:rsidR="00FC442D" w:rsidRPr="009A2970" w:rsidRDefault="00FC442D" w:rsidP="00FC442D">
      <w:pPr>
        <w:numPr>
          <w:ilvl w:val="1"/>
          <w:numId w:val="2"/>
        </w:numPr>
        <w:tabs>
          <w:tab w:val="clear" w:pos="567"/>
        </w:tabs>
        <w:spacing w:before="120" w:after="0"/>
        <w:ind w:left="446" w:hanging="446"/>
        <w:jc w:val="both"/>
        <w:rPr>
          <w:rFonts w:eastAsia="Calibri" w:cs="Times New Roman"/>
          <w:lang w:val="pt-PT" w:eastAsia="es-ES"/>
        </w:rPr>
      </w:pPr>
      <w:r w:rsidRPr="009A2970">
        <w:rPr>
          <w:rFonts w:eastAsia="Calibri" w:cs="Times New Roman"/>
          <w:lang w:val="pt-PT" w:eastAsia="es-ES"/>
        </w:rPr>
        <w:t>Apresentação da estrutura da aula.</w:t>
      </w:r>
    </w:p>
    <w:p w:rsidR="00FC442D" w:rsidRDefault="00FC442D" w:rsidP="00FC442D">
      <w:pPr>
        <w:numPr>
          <w:ilvl w:val="1"/>
          <w:numId w:val="2"/>
        </w:numPr>
        <w:tabs>
          <w:tab w:val="clear" w:pos="567"/>
        </w:tabs>
        <w:spacing w:before="120" w:after="0"/>
        <w:ind w:left="446" w:hanging="446"/>
        <w:jc w:val="both"/>
        <w:rPr>
          <w:rFonts w:eastAsia="Calibri" w:cs="Times New Roman"/>
          <w:lang w:val="pt-PT" w:eastAsia="es-ES"/>
        </w:rPr>
      </w:pPr>
      <w:r w:rsidRPr="009A2970">
        <w:rPr>
          <w:rFonts w:eastAsia="Calibri" w:cs="Times New Roman"/>
          <w:lang w:val="pt-PT" w:eastAsia="es-ES"/>
        </w:rPr>
        <w:t xml:space="preserve">Apresentação da bibliografia que o aluno deverá consultar para ampliar </w:t>
      </w:r>
      <w:r>
        <w:rPr>
          <w:rFonts w:eastAsia="Calibri" w:cs="Times New Roman"/>
          <w:lang w:val="pt-PT" w:eastAsia="es-ES"/>
        </w:rPr>
        <w:t xml:space="preserve">os </w:t>
      </w:r>
      <w:r w:rsidRPr="009A2970">
        <w:rPr>
          <w:rFonts w:eastAsia="Calibri" w:cs="Times New Roman"/>
          <w:lang w:val="pt-PT" w:eastAsia="es-ES"/>
        </w:rPr>
        <w:t>conhecimentos.</w:t>
      </w:r>
    </w:p>
    <w:p w:rsidR="009B602C" w:rsidRDefault="009B602C" w:rsidP="009B602C">
      <w:pPr>
        <w:spacing w:before="120" w:after="0"/>
        <w:ind w:left="446"/>
        <w:jc w:val="both"/>
        <w:rPr>
          <w:rFonts w:eastAsia="Calibri" w:cs="Times New Roman"/>
          <w:lang w:val="pt-PT" w:eastAsia="es-ES"/>
        </w:rPr>
      </w:pPr>
    </w:p>
    <w:p w:rsidR="00FC442D" w:rsidRPr="000B25DB" w:rsidRDefault="00FC442D" w:rsidP="00FC442D">
      <w:pPr>
        <w:pStyle w:val="TM-1n"/>
        <w:numPr>
          <w:ilvl w:val="0"/>
          <w:numId w:val="0"/>
        </w:numPr>
        <w:shd w:val="clear" w:color="auto" w:fill="C6D9F1"/>
      </w:pPr>
      <w:r>
        <w:t>BLOCO 2: ANTI-MICROBIANOS</w:t>
      </w:r>
      <w:r w:rsidRPr="000B25DB">
        <w:tab/>
      </w:r>
    </w:p>
    <w:p w:rsidR="00FC442D" w:rsidRDefault="00FC442D" w:rsidP="00FC442D">
      <w:pPr>
        <w:spacing w:before="120"/>
        <w:rPr>
          <w:rFonts w:cs="Arial"/>
          <w:lang w:val="pt-BR"/>
        </w:rPr>
      </w:pPr>
      <w:r>
        <w:rPr>
          <w:rFonts w:cs="Arial"/>
          <w:lang w:val="pt-BR"/>
        </w:rPr>
        <w:t>Nas aulas 07 a 14, falou-se dos agentes infecciosos que podem afectar os seres humanos produzindo doenças. Estas mesmas doenças, podem ser controladas e combatidas com recurso a substâncias químicas que são desenvolvidas para o efeito.</w:t>
      </w:r>
    </w:p>
    <w:p w:rsidR="00FC442D" w:rsidRPr="00160535" w:rsidRDefault="00FC442D" w:rsidP="00FC442D">
      <w:pPr>
        <w:spacing w:before="120"/>
        <w:rPr>
          <w:rFonts w:cs="Arial"/>
          <w:b/>
          <w:lang w:val="pt-BR"/>
        </w:rPr>
      </w:pPr>
      <w:r w:rsidRPr="009B700B">
        <w:rPr>
          <w:rFonts w:cs="Arial"/>
          <w:b/>
          <w:lang w:val="pt-BR"/>
        </w:rPr>
        <w:t>2.1</w:t>
      </w:r>
      <w:r w:rsidRPr="00160535">
        <w:rPr>
          <w:rFonts w:cs="Arial"/>
          <w:b/>
          <w:lang w:val="pt-BR"/>
        </w:rPr>
        <w:t xml:space="preserve"> Definições</w:t>
      </w:r>
    </w:p>
    <w:p w:rsidR="00FC442D" w:rsidRDefault="00FC442D" w:rsidP="00FC442D">
      <w:pPr>
        <w:spacing w:before="120"/>
        <w:rPr>
          <w:rFonts w:cs="Arial"/>
          <w:lang w:val="pt-BR"/>
        </w:rPr>
      </w:pPr>
      <w:r>
        <w:rPr>
          <w:rFonts w:cs="Arial"/>
          <w:lang w:val="pt-BR"/>
        </w:rPr>
        <w:t>Agentes Anti-microbianos – são fármacos  utilizados no tratamento de doenças infecciosas e que provocam a morte ou inibição do crescimento dos microrganismos.</w:t>
      </w:r>
    </w:p>
    <w:p w:rsidR="00FC442D" w:rsidRDefault="00FC442D" w:rsidP="00FC442D">
      <w:pPr>
        <w:spacing w:before="120"/>
        <w:rPr>
          <w:rFonts w:cs="Arial"/>
          <w:lang w:val="pt-BR"/>
        </w:rPr>
      </w:pPr>
      <w:r>
        <w:rPr>
          <w:rFonts w:cs="Arial"/>
          <w:lang w:val="pt-BR"/>
        </w:rPr>
        <w:t>O principal objectivo do uso de um anti-microbiano é o de tratar ou prevenir uma infecção, diminuindo ou eliminado os organismos patogênicos e, se possível, preservando os microorganismos da microbiota normal.</w:t>
      </w:r>
    </w:p>
    <w:p w:rsidR="00FC442D" w:rsidRDefault="00FC442D" w:rsidP="00FC442D">
      <w:pPr>
        <w:spacing w:before="120"/>
        <w:rPr>
          <w:rFonts w:cs="Arial"/>
          <w:lang w:val="pt-BR"/>
        </w:rPr>
      </w:pPr>
      <w:r>
        <w:rPr>
          <w:rFonts w:cs="Arial"/>
          <w:lang w:val="pt-BR"/>
        </w:rPr>
        <w:t>Agente quimioterápico – é qualquer fármaco usado no tratamento de qualquer condição física ou doença.</w:t>
      </w:r>
    </w:p>
    <w:p w:rsidR="00FC442D" w:rsidRDefault="00FC442D" w:rsidP="00FC442D">
      <w:pPr>
        <w:spacing w:before="120"/>
        <w:rPr>
          <w:rFonts w:cs="Arial"/>
          <w:lang w:val="pt-BR"/>
        </w:rPr>
      </w:pPr>
      <w:r>
        <w:rPr>
          <w:rFonts w:cs="Arial"/>
          <w:lang w:val="pt-BR"/>
        </w:rPr>
        <w:t xml:space="preserve">Antibiótico – é uma substância produzida por um microrganismo que se mostra eficaz na destruição ou inibição do crescimento de outros microrganismos. </w:t>
      </w:r>
    </w:p>
    <w:p w:rsidR="00FC442D" w:rsidRPr="00160535" w:rsidRDefault="00FC442D" w:rsidP="00FC442D">
      <w:pPr>
        <w:spacing w:before="120"/>
        <w:rPr>
          <w:rFonts w:cs="Arial"/>
          <w:b/>
          <w:lang w:val="pt-BR"/>
        </w:rPr>
      </w:pPr>
      <w:r w:rsidRPr="009B700B">
        <w:rPr>
          <w:rFonts w:cs="Arial"/>
          <w:b/>
          <w:lang w:val="pt-BR"/>
        </w:rPr>
        <w:t>2.2</w:t>
      </w:r>
      <w:r w:rsidRPr="00160535">
        <w:rPr>
          <w:rFonts w:cs="Arial"/>
          <w:b/>
          <w:lang w:val="pt-BR"/>
        </w:rPr>
        <w:t xml:space="preserve"> Classificação dos Anti-microbianos</w:t>
      </w:r>
    </w:p>
    <w:p w:rsidR="00FC442D" w:rsidRDefault="00FC442D" w:rsidP="00FC442D">
      <w:pPr>
        <w:spacing w:before="120"/>
        <w:rPr>
          <w:rFonts w:cs="Arial"/>
          <w:lang w:val="pt-BR"/>
        </w:rPr>
      </w:pPr>
      <w:r>
        <w:rPr>
          <w:rFonts w:cs="Arial"/>
          <w:lang w:val="pt-BR"/>
        </w:rPr>
        <w:t xml:space="preserve">Os anti-microbianos podem ser classificados de diversas formas. A maior utilidade da classificação dos anti-microbianos é a de permitir uma melhor compreensão das características dos fármacos. </w:t>
      </w:r>
    </w:p>
    <w:p w:rsidR="00FC442D" w:rsidRPr="00160535" w:rsidRDefault="00FC442D" w:rsidP="009B700B">
      <w:pPr>
        <w:spacing w:before="120"/>
        <w:ind w:firstLine="540"/>
        <w:rPr>
          <w:rFonts w:cs="Arial"/>
          <w:b/>
          <w:lang w:val="pt-BR"/>
        </w:rPr>
      </w:pPr>
      <w:r w:rsidRPr="009B700B">
        <w:rPr>
          <w:rFonts w:cs="Arial"/>
          <w:b/>
          <w:lang w:val="pt-BR"/>
        </w:rPr>
        <w:t>2.2.1</w:t>
      </w:r>
      <w:r w:rsidRPr="00160535">
        <w:rPr>
          <w:rFonts w:cs="Arial"/>
          <w:b/>
          <w:lang w:val="pt-BR"/>
        </w:rPr>
        <w:t xml:space="preserve"> Classificação por  micro</w:t>
      </w:r>
      <w:r>
        <w:rPr>
          <w:rFonts w:cs="Arial"/>
          <w:b/>
          <w:lang w:val="pt-BR"/>
        </w:rPr>
        <w:t>rganismos susceptíveis</w:t>
      </w:r>
    </w:p>
    <w:p w:rsidR="00FC442D" w:rsidRDefault="00FC442D" w:rsidP="009B700B">
      <w:pPr>
        <w:spacing w:before="120"/>
        <w:ind w:left="540"/>
        <w:rPr>
          <w:rFonts w:cs="Arial"/>
          <w:lang w:val="pt-BR"/>
        </w:rPr>
      </w:pPr>
      <w:r>
        <w:rPr>
          <w:rFonts w:cs="Arial"/>
          <w:lang w:val="pt-BR"/>
        </w:rPr>
        <w:t xml:space="preserve">Anti-bacterianos – quando actuam sobre as bactérias. </w:t>
      </w:r>
    </w:p>
    <w:p w:rsidR="00FC442D" w:rsidRDefault="00FC442D" w:rsidP="009B700B">
      <w:pPr>
        <w:spacing w:before="120"/>
        <w:ind w:left="540"/>
        <w:rPr>
          <w:rFonts w:cs="Arial"/>
          <w:lang w:val="pt-BR"/>
        </w:rPr>
      </w:pPr>
      <w:r>
        <w:rPr>
          <w:rFonts w:cs="Arial"/>
          <w:lang w:val="pt-BR"/>
        </w:rPr>
        <w:t xml:space="preserve">Anti-parasitários – quando actuam sobre os parasitas (protozoários, helmintos ou artrópodes). </w:t>
      </w:r>
    </w:p>
    <w:p w:rsidR="00FC442D" w:rsidRDefault="00FC442D" w:rsidP="009B700B">
      <w:pPr>
        <w:spacing w:before="120"/>
        <w:ind w:left="540"/>
        <w:rPr>
          <w:rFonts w:cs="Arial"/>
          <w:lang w:val="pt-BR"/>
        </w:rPr>
      </w:pPr>
      <w:r>
        <w:rPr>
          <w:rFonts w:cs="Arial"/>
          <w:lang w:val="pt-BR"/>
        </w:rPr>
        <w:t xml:space="preserve">Anti-fúngicos – quando actuam sobre os fungos. </w:t>
      </w:r>
    </w:p>
    <w:p w:rsidR="00FC442D" w:rsidRDefault="00FC442D" w:rsidP="009B700B">
      <w:pPr>
        <w:spacing w:before="120"/>
        <w:ind w:left="540"/>
        <w:rPr>
          <w:rFonts w:cs="Arial"/>
          <w:lang w:val="pt-BR"/>
        </w:rPr>
      </w:pPr>
      <w:r>
        <w:rPr>
          <w:rFonts w:cs="Arial"/>
          <w:lang w:val="pt-BR"/>
        </w:rPr>
        <w:t xml:space="preserve">Anti-virais – quando actuam sobre os vírus. </w:t>
      </w:r>
    </w:p>
    <w:p w:rsidR="00FC442D" w:rsidRDefault="00FC442D" w:rsidP="009B700B">
      <w:pPr>
        <w:spacing w:before="120"/>
        <w:ind w:left="540"/>
        <w:rPr>
          <w:rFonts w:cs="Arial"/>
          <w:lang w:val="pt-BR"/>
        </w:rPr>
      </w:pPr>
      <w:r>
        <w:rPr>
          <w:rFonts w:cs="Arial"/>
          <w:lang w:val="pt-BR"/>
        </w:rPr>
        <w:t>No entanto, é necessário saber que alguns anti-microbianos podem agir sobre outros tipos de microorganismos que não os que pertencem ao grupo. Exemplo: a doxiciclina que é um anti-bacteriano, tem acção anti-fúngica e acção anti-parasitária</w:t>
      </w:r>
    </w:p>
    <w:p w:rsidR="00FC442D" w:rsidRPr="00160535" w:rsidRDefault="00FC442D" w:rsidP="009B700B">
      <w:pPr>
        <w:spacing w:before="120"/>
        <w:ind w:firstLine="540"/>
        <w:rPr>
          <w:rFonts w:cs="Arial"/>
          <w:b/>
          <w:lang w:val="pt-BR"/>
        </w:rPr>
      </w:pPr>
      <w:r w:rsidRPr="009B700B">
        <w:rPr>
          <w:rFonts w:cs="Arial"/>
          <w:b/>
          <w:lang w:val="pt-BR"/>
        </w:rPr>
        <w:t>2.2.</w:t>
      </w:r>
      <w:r w:rsidR="006B444A" w:rsidRPr="009B700B">
        <w:rPr>
          <w:rFonts w:cs="Arial"/>
          <w:b/>
          <w:lang w:val="pt-BR"/>
        </w:rPr>
        <w:t>2</w:t>
      </w:r>
      <w:r w:rsidRPr="00160535">
        <w:rPr>
          <w:rFonts w:cs="Arial"/>
          <w:b/>
          <w:lang w:val="pt-BR"/>
        </w:rPr>
        <w:t xml:space="preserve"> Classificação por efeito nos microorganismos</w:t>
      </w:r>
    </w:p>
    <w:p w:rsidR="00FC442D" w:rsidRDefault="00FC442D" w:rsidP="009B700B">
      <w:pPr>
        <w:spacing w:before="120"/>
        <w:ind w:left="540"/>
        <w:rPr>
          <w:rFonts w:cs="Arial"/>
          <w:lang w:val="pt-BR"/>
        </w:rPr>
      </w:pPr>
      <w:r>
        <w:rPr>
          <w:rFonts w:cs="Arial"/>
          <w:lang w:val="pt-BR"/>
        </w:rPr>
        <w:t xml:space="preserve">Bactericidas – são anti-microbianos que destroem (matam) os microorganismos </w:t>
      </w:r>
    </w:p>
    <w:p w:rsidR="00FC442D" w:rsidRDefault="00FC442D" w:rsidP="009B700B">
      <w:pPr>
        <w:spacing w:before="120"/>
        <w:ind w:left="540"/>
        <w:rPr>
          <w:rFonts w:cs="Arial"/>
          <w:lang w:val="pt-BR"/>
        </w:rPr>
      </w:pPr>
      <w:r>
        <w:rPr>
          <w:rFonts w:cs="Arial"/>
          <w:lang w:val="pt-BR"/>
        </w:rPr>
        <w:t xml:space="preserve">Bacteriostáticos – são anti-microbianos que inibem o crescimento dos microorganismos, sendo complementado pelo sistema imune para a eliminação do agente infeccioso </w:t>
      </w:r>
    </w:p>
    <w:p w:rsidR="00FC442D" w:rsidRPr="00160535" w:rsidRDefault="00FC442D" w:rsidP="009B700B">
      <w:pPr>
        <w:spacing w:before="120"/>
        <w:ind w:firstLine="540"/>
        <w:rPr>
          <w:rFonts w:cs="Arial"/>
          <w:b/>
          <w:lang w:val="pt-BR"/>
        </w:rPr>
      </w:pPr>
      <w:r w:rsidRPr="009B700B">
        <w:rPr>
          <w:rFonts w:cs="Arial"/>
          <w:b/>
          <w:lang w:val="pt-BR"/>
        </w:rPr>
        <w:t>2.2.3</w:t>
      </w:r>
      <w:r w:rsidRPr="00160535">
        <w:rPr>
          <w:rFonts w:cs="Arial"/>
          <w:b/>
          <w:lang w:val="pt-BR"/>
        </w:rPr>
        <w:t xml:space="preserve"> Classificação por  mecanismo de acção</w:t>
      </w:r>
    </w:p>
    <w:p w:rsidR="00FC442D" w:rsidRPr="00CA3915" w:rsidRDefault="00FC442D" w:rsidP="00C52E09">
      <w:pPr>
        <w:numPr>
          <w:ilvl w:val="0"/>
          <w:numId w:val="172"/>
        </w:numPr>
        <w:spacing w:before="120" w:after="0"/>
        <w:rPr>
          <w:rFonts w:cs="Arial"/>
          <w:lang w:val="pt-BR"/>
        </w:rPr>
      </w:pPr>
      <w:r>
        <w:rPr>
          <w:rFonts w:cs="Arial"/>
          <w:lang w:val="pt-BR"/>
        </w:rPr>
        <w:t xml:space="preserve">Inibição da </w:t>
      </w:r>
      <w:r w:rsidRPr="00CA3915">
        <w:rPr>
          <w:rFonts w:cs="Arial"/>
          <w:lang w:val="pt-BR"/>
        </w:rPr>
        <w:t>síntese da parede celular.</w:t>
      </w:r>
    </w:p>
    <w:p w:rsidR="00FC442D" w:rsidRPr="00CA3915" w:rsidRDefault="00FC442D" w:rsidP="00C52E09">
      <w:pPr>
        <w:numPr>
          <w:ilvl w:val="0"/>
          <w:numId w:val="172"/>
        </w:numPr>
        <w:spacing w:before="120" w:after="0"/>
        <w:rPr>
          <w:rFonts w:cs="Arial"/>
          <w:lang w:val="pt-BR"/>
        </w:rPr>
      </w:pPr>
      <w:r>
        <w:rPr>
          <w:rFonts w:cs="Arial"/>
          <w:lang w:val="pt-BR"/>
        </w:rPr>
        <w:lastRenderedPageBreak/>
        <w:t>Lesão da membrana celular</w:t>
      </w:r>
      <w:r w:rsidRPr="00CA3915">
        <w:rPr>
          <w:rFonts w:cs="Arial"/>
          <w:lang w:val="pt-BR"/>
        </w:rPr>
        <w:t>.</w:t>
      </w:r>
    </w:p>
    <w:p w:rsidR="00FC442D" w:rsidRPr="00CA3915" w:rsidRDefault="00FC442D" w:rsidP="00C52E09">
      <w:pPr>
        <w:numPr>
          <w:ilvl w:val="0"/>
          <w:numId w:val="172"/>
        </w:numPr>
        <w:spacing w:before="120" w:after="0"/>
        <w:rPr>
          <w:rFonts w:cs="Arial"/>
          <w:lang w:val="pt-BR"/>
        </w:rPr>
      </w:pPr>
      <w:r>
        <w:rPr>
          <w:rFonts w:cs="Arial"/>
          <w:lang w:val="pt-BR"/>
        </w:rPr>
        <w:t xml:space="preserve">Inibição da </w:t>
      </w:r>
      <w:r w:rsidRPr="00CA3915">
        <w:rPr>
          <w:rFonts w:cs="Arial"/>
          <w:lang w:val="pt-BR"/>
        </w:rPr>
        <w:t>síntese proteica.</w:t>
      </w:r>
    </w:p>
    <w:p w:rsidR="00FC442D" w:rsidRDefault="00FC442D" w:rsidP="00C52E09">
      <w:pPr>
        <w:numPr>
          <w:ilvl w:val="0"/>
          <w:numId w:val="172"/>
        </w:numPr>
        <w:spacing w:before="120" w:after="0"/>
        <w:rPr>
          <w:rFonts w:cs="Arial"/>
          <w:lang w:val="pt-BR"/>
        </w:rPr>
      </w:pPr>
      <w:r>
        <w:rPr>
          <w:rFonts w:cs="Arial"/>
          <w:lang w:val="pt-BR"/>
        </w:rPr>
        <w:t xml:space="preserve">Inibição da </w:t>
      </w:r>
      <w:r w:rsidRPr="00CA3915">
        <w:rPr>
          <w:rFonts w:cs="Arial"/>
          <w:lang w:val="pt-BR"/>
        </w:rPr>
        <w:t>síntese de ácidos nucleicos</w:t>
      </w:r>
      <w:r>
        <w:rPr>
          <w:rFonts w:cs="Arial"/>
          <w:lang w:val="pt-BR"/>
        </w:rPr>
        <w:t xml:space="preserve"> (síntese de DNA ou RNA)</w:t>
      </w:r>
      <w:r w:rsidRPr="00CA3915">
        <w:rPr>
          <w:rFonts w:cs="Arial"/>
          <w:lang w:val="pt-BR"/>
        </w:rPr>
        <w:t>.</w:t>
      </w:r>
    </w:p>
    <w:p w:rsidR="00FC442D" w:rsidRDefault="00FC442D" w:rsidP="00C52E09">
      <w:pPr>
        <w:numPr>
          <w:ilvl w:val="0"/>
          <w:numId w:val="172"/>
        </w:numPr>
        <w:spacing w:before="120" w:after="0"/>
        <w:rPr>
          <w:rFonts w:cs="Arial"/>
          <w:lang w:val="pt-BR"/>
        </w:rPr>
      </w:pPr>
      <w:r>
        <w:rPr>
          <w:rFonts w:cs="Arial"/>
          <w:lang w:val="pt-BR"/>
        </w:rPr>
        <w:t xml:space="preserve">Inibição da actividade enzimática </w:t>
      </w:r>
    </w:p>
    <w:p w:rsidR="00FC442D" w:rsidRPr="00160535" w:rsidRDefault="00FC442D" w:rsidP="00FC442D">
      <w:pPr>
        <w:pStyle w:val="TM-2n"/>
        <w:numPr>
          <w:ilvl w:val="0"/>
          <w:numId w:val="0"/>
        </w:numPr>
        <w:spacing w:before="120" w:after="0" w:line="276" w:lineRule="auto"/>
        <w:ind w:left="284" w:hanging="284"/>
        <w:rPr>
          <w:b/>
        </w:rPr>
      </w:pPr>
      <w:r w:rsidRPr="009B700B">
        <w:rPr>
          <w:b/>
        </w:rPr>
        <w:t>2.3</w:t>
      </w:r>
      <w:r w:rsidRPr="00160535">
        <w:rPr>
          <w:b/>
        </w:rPr>
        <w:t xml:space="preserve"> Qualidades Ideais de um Agente Anti-Microbiano</w:t>
      </w:r>
    </w:p>
    <w:p w:rsidR="00FC442D" w:rsidRDefault="00FC442D" w:rsidP="00AD66DD">
      <w:pPr>
        <w:pStyle w:val="TM-2n"/>
        <w:numPr>
          <w:ilvl w:val="0"/>
          <w:numId w:val="0"/>
        </w:numPr>
        <w:spacing w:before="120" w:after="0" w:line="276" w:lineRule="auto"/>
        <w:ind w:left="284" w:hanging="284"/>
      </w:pPr>
      <w:r>
        <w:t>O agente anti-microbiano ideal deve ter as seguintes qualidades:</w:t>
      </w:r>
    </w:p>
    <w:p w:rsidR="00FC442D" w:rsidRDefault="00FC442D" w:rsidP="00C52E09">
      <w:pPr>
        <w:pStyle w:val="TM-2n"/>
        <w:numPr>
          <w:ilvl w:val="0"/>
          <w:numId w:val="174"/>
        </w:numPr>
        <w:spacing w:before="120" w:after="0" w:line="276" w:lineRule="auto"/>
      </w:pPr>
      <w:r>
        <w:t>Matar os patógenos ou inibir seu crescimento</w:t>
      </w:r>
    </w:p>
    <w:p w:rsidR="00FC442D" w:rsidRDefault="00FC442D" w:rsidP="00C52E09">
      <w:pPr>
        <w:pStyle w:val="TM-2n"/>
        <w:numPr>
          <w:ilvl w:val="0"/>
          <w:numId w:val="174"/>
        </w:numPr>
        <w:spacing w:before="120" w:after="0" w:line="276" w:lineRule="auto"/>
      </w:pPr>
      <w:r>
        <w:t>Não causar lesão ao hospedeiro (ser humano)</w:t>
      </w:r>
    </w:p>
    <w:p w:rsidR="00FC442D" w:rsidRDefault="00FC442D" w:rsidP="00C52E09">
      <w:pPr>
        <w:pStyle w:val="TM-2n"/>
        <w:numPr>
          <w:ilvl w:val="0"/>
          <w:numId w:val="174"/>
        </w:numPr>
        <w:spacing w:before="120" w:after="0" w:line="276" w:lineRule="auto"/>
      </w:pPr>
      <w:r>
        <w:t>Não causar reacção alérgica ao hospedeiro (ser humano)</w:t>
      </w:r>
    </w:p>
    <w:p w:rsidR="00FC442D" w:rsidRDefault="00FC442D" w:rsidP="00C52E09">
      <w:pPr>
        <w:pStyle w:val="TM-2n"/>
        <w:numPr>
          <w:ilvl w:val="0"/>
          <w:numId w:val="174"/>
        </w:numPr>
        <w:spacing w:before="120" w:after="0" w:line="276" w:lineRule="auto"/>
      </w:pPr>
      <w:r>
        <w:t>Manter-se estável quando conservado na forma sólida ou líquida</w:t>
      </w:r>
    </w:p>
    <w:p w:rsidR="00FC442D" w:rsidRDefault="00FC442D" w:rsidP="00C52E09">
      <w:pPr>
        <w:pStyle w:val="TM-2n"/>
        <w:numPr>
          <w:ilvl w:val="0"/>
          <w:numId w:val="174"/>
        </w:numPr>
        <w:spacing w:before="120" w:after="0" w:line="276" w:lineRule="auto"/>
      </w:pPr>
      <w:r>
        <w:t>Permanecer no tecido específico do corpo o tempo necessário para ser eficaz</w:t>
      </w:r>
    </w:p>
    <w:p w:rsidR="00FC442D" w:rsidRDefault="00FC442D" w:rsidP="00C52E09">
      <w:pPr>
        <w:pStyle w:val="TM-2n"/>
        <w:numPr>
          <w:ilvl w:val="0"/>
          <w:numId w:val="174"/>
        </w:numPr>
        <w:spacing w:before="120" w:after="0" w:line="276" w:lineRule="auto"/>
      </w:pPr>
      <w:r>
        <w:t>Destruir os patógenos antes que estes sofram mutações e tornem-se resistentes</w:t>
      </w:r>
    </w:p>
    <w:p w:rsidR="00FC442D" w:rsidRDefault="00FC442D" w:rsidP="00FC442D">
      <w:pPr>
        <w:pStyle w:val="TM-2n"/>
        <w:numPr>
          <w:ilvl w:val="0"/>
          <w:numId w:val="0"/>
        </w:numPr>
        <w:spacing w:before="120" w:after="0" w:line="276" w:lineRule="auto"/>
        <w:ind w:left="284" w:hanging="284"/>
      </w:pPr>
    </w:p>
    <w:p w:rsidR="00FC442D" w:rsidRPr="000B25DB" w:rsidRDefault="00FC442D" w:rsidP="00FC442D">
      <w:pPr>
        <w:pStyle w:val="TM-1n"/>
        <w:numPr>
          <w:ilvl w:val="0"/>
          <w:numId w:val="0"/>
        </w:numPr>
        <w:shd w:val="clear" w:color="auto" w:fill="C6D9F1"/>
      </w:pPr>
      <w:r>
        <w:t>BLOCO 3: ANTI-BACTERIANOS (I)</w:t>
      </w:r>
      <w:r>
        <w:tab/>
      </w:r>
    </w:p>
    <w:p w:rsidR="00FC442D" w:rsidRDefault="00FC442D" w:rsidP="00FC442D">
      <w:pPr>
        <w:pStyle w:val="TM-2n"/>
        <w:numPr>
          <w:ilvl w:val="0"/>
          <w:numId w:val="0"/>
        </w:numPr>
        <w:spacing w:before="120" w:after="0" w:line="276" w:lineRule="auto"/>
        <w:ind w:left="284" w:hanging="284"/>
      </w:pPr>
      <w:r>
        <w:t xml:space="preserve">Os anti-bacterianos são os fármacos que frequentemente são usados na prática clínica de doenças infecciosas, pois as bactérias representam a maior parte dos agentes infecciosos que afectam os seres humanos em Moçambique. </w:t>
      </w:r>
    </w:p>
    <w:p w:rsidR="00FC442D" w:rsidRPr="00160535" w:rsidRDefault="00FC442D" w:rsidP="00FC442D">
      <w:pPr>
        <w:pStyle w:val="TM-2n"/>
        <w:numPr>
          <w:ilvl w:val="0"/>
          <w:numId w:val="0"/>
        </w:numPr>
        <w:spacing w:before="120" w:after="0" w:line="276" w:lineRule="auto"/>
        <w:ind w:left="284" w:hanging="284"/>
        <w:rPr>
          <w:b/>
        </w:rPr>
      </w:pPr>
      <w:r w:rsidRPr="009B700B">
        <w:rPr>
          <w:b/>
        </w:rPr>
        <w:t>3.1</w:t>
      </w:r>
      <w:r w:rsidRPr="00160535">
        <w:rPr>
          <w:b/>
        </w:rPr>
        <w:t xml:space="preserve"> Espectro de acção dos anti-bacterianos</w:t>
      </w:r>
    </w:p>
    <w:p w:rsidR="00FC442D" w:rsidRDefault="00FC442D" w:rsidP="009B700B">
      <w:pPr>
        <w:pStyle w:val="TM-2n"/>
        <w:numPr>
          <w:ilvl w:val="0"/>
          <w:numId w:val="0"/>
        </w:numPr>
        <w:spacing w:before="120" w:after="0" w:line="276" w:lineRule="auto"/>
        <w:ind w:left="720"/>
      </w:pPr>
      <w:r w:rsidRPr="00AD66DD">
        <w:rPr>
          <w:b/>
        </w:rPr>
        <w:t>3.1.1</w:t>
      </w:r>
      <w:r>
        <w:t xml:space="preserve"> Espectro bacteriano – é a diversidade de bactérias que são afectadas pelo agente anti-bacteriano. Assim, os anti-bacterianos podem ter dois tipos de espectro:</w:t>
      </w:r>
    </w:p>
    <w:p w:rsidR="00FC442D" w:rsidRDefault="00FC442D" w:rsidP="009B700B">
      <w:pPr>
        <w:pStyle w:val="TM-2n"/>
        <w:numPr>
          <w:ilvl w:val="0"/>
          <w:numId w:val="0"/>
        </w:numPr>
        <w:spacing w:before="120" w:after="0" w:line="276" w:lineRule="auto"/>
        <w:ind w:left="720"/>
      </w:pPr>
      <w:r>
        <w:t xml:space="preserve">Amplo espectro – </w:t>
      </w:r>
      <w:r w:rsidRPr="00B97AFC">
        <w:t>são aqueles que são capazes de destruir tanto bactérias gram positivas quanto gram negativas. Exemplo: ampicilina, cloranfenicol, tetraciclina, rifampicina</w:t>
      </w:r>
    </w:p>
    <w:p w:rsidR="00FC442D" w:rsidRDefault="00FC442D" w:rsidP="009B700B">
      <w:pPr>
        <w:pStyle w:val="TM-2n"/>
        <w:numPr>
          <w:ilvl w:val="0"/>
          <w:numId w:val="0"/>
        </w:numPr>
        <w:spacing w:before="120" w:after="0" w:line="276" w:lineRule="auto"/>
        <w:ind w:left="720"/>
      </w:pPr>
      <w:r>
        <w:t xml:space="preserve">Espectro limitado - </w:t>
      </w:r>
      <w:r w:rsidRPr="00B97AFC">
        <w:t>são aqueles que são capazes de destruir apenas bactérias gram positivas ou gram negativas, mas não ambos tipos. Exemplo: contra apenas gram positivas – vancomicina. Contra apenas gram negativas: ácido nalidíxico</w:t>
      </w:r>
      <w:r>
        <w:t>.</w:t>
      </w:r>
    </w:p>
    <w:p w:rsidR="00FC442D" w:rsidRPr="00160535" w:rsidRDefault="00FC442D" w:rsidP="00FC442D">
      <w:pPr>
        <w:pStyle w:val="TM-2n"/>
        <w:numPr>
          <w:ilvl w:val="0"/>
          <w:numId w:val="0"/>
        </w:numPr>
        <w:spacing w:before="120" w:after="0" w:line="276" w:lineRule="auto"/>
        <w:ind w:left="284" w:hanging="284"/>
        <w:rPr>
          <w:b/>
        </w:rPr>
      </w:pPr>
      <w:r w:rsidRPr="00AD66DD">
        <w:rPr>
          <w:b/>
        </w:rPr>
        <w:t>3.2</w:t>
      </w:r>
      <w:r w:rsidRPr="00160535">
        <w:rPr>
          <w:b/>
        </w:rPr>
        <w:t xml:space="preserve"> Principais tipos de anti-bacterianos</w:t>
      </w:r>
    </w:p>
    <w:p w:rsidR="00FC442D" w:rsidRDefault="00FC442D" w:rsidP="00FC442D">
      <w:pPr>
        <w:pStyle w:val="TM-2n"/>
        <w:numPr>
          <w:ilvl w:val="0"/>
          <w:numId w:val="0"/>
        </w:numPr>
        <w:spacing w:before="120" w:after="0" w:line="276" w:lineRule="auto"/>
        <w:ind w:left="284" w:hanging="284"/>
      </w:pPr>
      <w:r>
        <w:t xml:space="preserve">Os anti-bacterianos </w:t>
      </w:r>
      <w:r w:rsidRPr="00B97AFC">
        <w:t>estão agrupados em determinadas classes</w:t>
      </w:r>
      <w:r>
        <w:t>, sendo as principais classes as seguintes:</w:t>
      </w:r>
    </w:p>
    <w:p w:rsidR="00FC442D" w:rsidRDefault="00FC442D" w:rsidP="00C52E09">
      <w:pPr>
        <w:pStyle w:val="TM-2n"/>
        <w:numPr>
          <w:ilvl w:val="0"/>
          <w:numId w:val="175"/>
        </w:numPr>
        <w:spacing w:before="120" w:after="0" w:line="276" w:lineRule="auto"/>
      </w:pPr>
      <w:r>
        <w:t>Penicilinas</w:t>
      </w:r>
    </w:p>
    <w:p w:rsidR="00FC442D" w:rsidRDefault="00FC442D" w:rsidP="00C52E09">
      <w:pPr>
        <w:pStyle w:val="TM-2n"/>
        <w:numPr>
          <w:ilvl w:val="0"/>
          <w:numId w:val="175"/>
        </w:numPr>
        <w:spacing w:before="120" w:after="0" w:line="276" w:lineRule="auto"/>
      </w:pPr>
      <w:r>
        <w:t>Cefalosporinas</w:t>
      </w:r>
    </w:p>
    <w:p w:rsidR="00FC442D" w:rsidRDefault="00FC442D" w:rsidP="00C52E09">
      <w:pPr>
        <w:pStyle w:val="TM-2n"/>
        <w:numPr>
          <w:ilvl w:val="0"/>
          <w:numId w:val="175"/>
        </w:numPr>
        <w:spacing w:before="120" w:after="0" w:line="276" w:lineRule="auto"/>
      </w:pPr>
      <w:r>
        <w:t>Aminoglicosídeos</w:t>
      </w:r>
    </w:p>
    <w:p w:rsidR="00FC442D" w:rsidRDefault="00FC442D" w:rsidP="00C52E09">
      <w:pPr>
        <w:pStyle w:val="TM-2n"/>
        <w:numPr>
          <w:ilvl w:val="0"/>
          <w:numId w:val="175"/>
        </w:numPr>
        <w:spacing w:before="120" w:after="0" w:line="276" w:lineRule="auto"/>
      </w:pPr>
      <w:r>
        <w:t>Macrólidos</w:t>
      </w:r>
    </w:p>
    <w:p w:rsidR="00FC442D" w:rsidRDefault="00FC442D" w:rsidP="00C52E09">
      <w:pPr>
        <w:pStyle w:val="TM-2n"/>
        <w:numPr>
          <w:ilvl w:val="0"/>
          <w:numId w:val="175"/>
        </w:numPr>
        <w:spacing w:before="120" w:after="0" w:line="276" w:lineRule="auto"/>
      </w:pPr>
      <w:r>
        <w:t>Tetraciclinas</w:t>
      </w:r>
    </w:p>
    <w:p w:rsidR="00FC442D" w:rsidRDefault="00FC442D" w:rsidP="00C52E09">
      <w:pPr>
        <w:pStyle w:val="TM-2n"/>
        <w:numPr>
          <w:ilvl w:val="0"/>
          <w:numId w:val="175"/>
        </w:numPr>
        <w:spacing w:before="120" w:after="0" w:line="276" w:lineRule="auto"/>
      </w:pPr>
      <w:r>
        <w:t>Quinolonas</w:t>
      </w:r>
    </w:p>
    <w:p w:rsidR="00FC442D" w:rsidRDefault="00FC442D" w:rsidP="00C52E09">
      <w:pPr>
        <w:pStyle w:val="TM-2n"/>
        <w:numPr>
          <w:ilvl w:val="0"/>
          <w:numId w:val="175"/>
        </w:numPr>
        <w:spacing w:before="120" w:after="0" w:line="276" w:lineRule="auto"/>
      </w:pPr>
      <w:r>
        <w:t>Sulfamidas</w:t>
      </w:r>
    </w:p>
    <w:p w:rsidR="00FC442D" w:rsidRDefault="00FC442D" w:rsidP="00C52E09">
      <w:pPr>
        <w:pStyle w:val="TM-2n"/>
        <w:numPr>
          <w:ilvl w:val="0"/>
          <w:numId w:val="175"/>
        </w:numPr>
        <w:spacing w:before="120" w:after="0" w:line="276" w:lineRule="auto"/>
      </w:pPr>
      <w:r>
        <w:t>Anfenicóis</w:t>
      </w:r>
    </w:p>
    <w:p w:rsidR="00951225" w:rsidRDefault="00FC442D" w:rsidP="00C52E09">
      <w:pPr>
        <w:pStyle w:val="TM-2n"/>
        <w:numPr>
          <w:ilvl w:val="0"/>
          <w:numId w:val="175"/>
        </w:numPr>
        <w:spacing w:before="120" w:after="0" w:line="276" w:lineRule="auto"/>
        <w:sectPr w:rsidR="00951225" w:rsidSect="00562C19">
          <w:headerReference w:type="even" r:id="rId145"/>
          <w:footerReference w:type="default" r:id="rId146"/>
          <w:headerReference w:type="first" r:id="rId147"/>
          <w:pgSz w:w="11906" w:h="16838" w:code="9"/>
          <w:pgMar w:top="864" w:right="864" w:bottom="864" w:left="864" w:header="706" w:footer="706" w:gutter="0"/>
          <w:cols w:space="708"/>
          <w:docGrid w:linePitch="360"/>
        </w:sectPr>
      </w:pPr>
      <w:r>
        <w:t xml:space="preserve">Nitroimidazólicos </w:t>
      </w:r>
    </w:p>
    <w:p w:rsidR="00FC442D" w:rsidRDefault="00FC442D" w:rsidP="00FC442D">
      <w:pPr>
        <w:pStyle w:val="TM-2n"/>
        <w:numPr>
          <w:ilvl w:val="0"/>
          <w:numId w:val="0"/>
        </w:numPr>
        <w:spacing w:before="120" w:after="0" w:line="276" w:lineRule="auto"/>
        <w:ind w:left="284" w:hanging="284"/>
      </w:pPr>
      <w:r w:rsidRPr="00B97AFC">
        <w:lastRenderedPageBreak/>
        <w:t>A tabela abaixo ilustra as principais classes de antibióticos, seus representantes, i</w:t>
      </w:r>
      <w:r>
        <w:t>ndicações, efeitos secundários, mecanismo de acção e forma farmacêutica</w:t>
      </w:r>
    </w:p>
    <w:tbl>
      <w:tblPr>
        <w:tblW w:w="5000" w:type="pct"/>
        <w:tblCellSpacing w:w="15" w:type="dxa"/>
        <w:tblLayout w:type="fixed"/>
        <w:tblCellMar>
          <w:top w:w="30" w:type="dxa"/>
          <w:left w:w="30" w:type="dxa"/>
          <w:bottom w:w="30" w:type="dxa"/>
          <w:right w:w="30" w:type="dxa"/>
        </w:tblCellMar>
        <w:tblLook w:val="04A0" w:firstRow="1" w:lastRow="0" w:firstColumn="1" w:lastColumn="0" w:noHBand="0" w:noVBand="1"/>
      </w:tblPr>
      <w:tblGrid>
        <w:gridCol w:w="1950"/>
        <w:gridCol w:w="1628"/>
        <w:gridCol w:w="1690"/>
        <w:gridCol w:w="1690"/>
        <w:gridCol w:w="1943"/>
        <w:gridCol w:w="1397"/>
      </w:tblGrid>
      <w:tr w:rsidR="00FC442D" w:rsidRPr="00FC6E81" w:rsidTr="00AD66DD">
        <w:trPr>
          <w:tblCellSpacing w:w="15" w:type="dxa"/>
        </w:trPr>
        <w:tc>
          <w:tcPr>
            <w:tcW w:w="925" w:type="pct"/>
            <w:shd w:val="clear" w:color="auto" w:fill="009933"/>
            <w:vAlign w:val="center"/>
          </w:tcPr>
          <w:p w:rsidR="00FC442D" w:rsidRPr="00B97AFC" w:rsidRDefault="00FC442D" w:rsidP="00FC442D">
            <w:pPr>
              <w:jc w:val="center"/>
              <w:rPr>
                <w:rFonts w:cs="Arial"/>
                <w:color w:val="000000"/>
                <w:lang w:eastAsia="en-GB"/>
              </w:rPr>
            </w:pPr>
            <w:r w:rsidRPr="00B97AFC">
              <w:rPr>
                <w:rFonts w:cs="Arial"/>
                <w:i/>
                <w:iCs/>
                <w:color w:val="FFFFFF"/>
                <w:lang w:eastAsia="en-GB"/>
              </w:rPr>
              <w:t>Classe de antibióticos</w:t>
            </w:r>
          </w:p>
        </w:tc>
        <w:tc>
          <w:tcPr>
            <w:tcW w:w="776" w:type="pct"/>
            <w:shd w:val="clear" w:color="auto" w:fill="009933"/>
            <w:vAlign w:val="center"/>
          </w:tcPr>
          <w:p w:rsidR="00FC442D" w:rsidRPr="00B97AFC" w:rsidRDefault="00FC442D" w:rsidP="00FC442D">
            <w:pPr>
              <w:jc w:val="center"/>
              <w:rPr>
                <w:rFonts w:cs="Arial"/>
                <w:color w:val="000000"/>
                <w:lang w:val="pt-PT" w:eastAsia="en-GB"/>
              </w:rPr>
            </w:pPr>
            <w:r w:rsidRPr="00B97AFC">
              <w:rPr>
                <w:rFonts w:cs="Arial"/>
                <w:i/>
                <w:iCs/>
                <w:color w:val="FFFFFF"/>
                <w:lang w:val="pt-PT" w:eastAsia="en-GB"/>
              </w:rPr>
              <w:t xml:space="preserve">Principais moléculas - princípios ativos da família </w:t>
            </w:r>
          </w:p>
        </w:tc>
        <w:tc>
          <w:tcPr>
            <w:tcW w:w="806" w:type="pct"/>
            <w:shd w:val="clear" w:color="auto" w:fill="009933"/>
            <w:vAlign w:val="center"/>
          </w:tcPr>
          <w:p w:rsidR="00FC442D" w:rsidRPr="00B97AFC" w:rsidRDefault="00FC442D" w:rsidP="00FC442D">
            <w:pPr>
              <w:jc w:val="center"/>
              <w:rPr>
                <w:rFonts w:cs="Arial"/>
                <w:i/>
                <w:iCs/>
                <w:color w:val="FFFFFF"/>
                <w:lang w:eastAsia="en-GB"/>
              </w:rPr>
            </w:pPr>
            <w:r w:rsidRPr="00B97AFC">
              <w:rPr>
                <w:rFonts w:cs="Arial"/>
                <w:i/>
                <w:iCs/>
                <w:color w:val="FFFFFF"/>
                <w:lang w:eastAsia="en-GB"/>
              </w:rPr>
              <w:t>Indicações</w:t>
            </w:r>
          </w:p>
          <w:p w:rsidR="00FC442D" w:rsidRPr="00B97AFC" w:rsidRDefault="00FC442D" w:rsidP="00FC442D">
            <w:pPr>
              <w:jc w:val="center"/>
              <w:rPr>
                <w:rFonts w:cs="Arial"/>
                <w:color w:val="000000"/>
                <w:lang w:eastAsia="en-GB"/>
              </w:rPr>
            </w:pPr>
            <w:r w:rsidRPr="00B97AFC">
              <w:rPr>
                <w:rFonts w:cs="Arial"/>
                <w:i/>
                <w:iCs/>
                <w:color w:val="FFFFFF"/>
                <w:lang w:eastAsia="en-GB"/>
              </w:rPr>
              <w:t xml:space="preserve"> (ex. em geral)</w:t>
            </w:r>
          </w:p>
        </w:tc>
        <w:tc>
          <w:tcPr>
            <w:tcW w:w="806" w:type="pct"/>
            <w:shd w:val="clear" w:color="auto" w:fill="009933"/>
            <w:vAlign w:val="center"/>
          </w:tcPr>
          <w:p w:rsidR="00FC442D" w:rsidRPr="00B97AFC" w:rsidRDefault="00FC442D" w:rsidP="00FC442D">
            <w:pPr>
              <w:jc w:val="center"/>
              <w:rPr>
                <w:rFonts w:cs="Arial"/>
                <w:color w:val="000000"/>
                <w:lang w:eastAsia="en-GB"/>
              </w:rPr>
            </w:pPr>
            <w:r w:rsidRPr="00B97AFC">
              <w:rPr>
                <w:rFonts w:cs="Arial"/>
                <w:i/>
                <w:iCs/>
                <w:color w:val="FFFFFF"/>
                <w:lang w:eastAsia="en-GB"/>
              </w:rPr>
              <w:t>Efeitos secundários principais</w:t>
            </w:r>
          </w:p>
        </w:tc>
        <w:tc>
          <w:tcPr>
            <w:tcW w:w="929" w:type="pct"/>
            <w:shd w:val="clear" w:color="auto" w:fill="009933"/>
            <w:vAlign w:val="center"/>
          </w:tcPr>
          <w:p w:rsidR="00FC442D" w:rsidRPr="00B97AFC" w:rsidRDefault="00FC442D" w:rsidP="00FC442D">
            <w:pPr>
              <w:jc w:val="center"/>
              <w:rPr>
                <w:rFonts w:cs="Arial"/>
                <w:color w:val="000000"/>
                <w:lang w:val="pt-PT" w:eastAsia="en-GB"/>
              </w:rPr>
            </w:pPr>
            <w:r w:rsidRPr="00B97AFC">
              <w:rPr>
                <w:rFonts w:cs="Arial"/>
                <w:i/>
                <w:iCs/>
                <w:color w:val="FFFFFF"/>
                <w:lang w:val="pt-PT" w:eastAsia="en-GB"/>
              </w:rPr>
              <w:t>Ação sobre a bactéria (forma de ação)</w:t>
            </w:r>
          </w:p>
        </w:tc>
        <w:tc>
          <w:tcPr>
            <w:tcW w:w="656" w:type="pct"/>
            <w:shd w:val="clear" w:color="auto" w:fill="009933"/>
            <w:vAlign w:val="center"/>
          </w:tcPr>
          <w:p w:rsidR="00FC442D" w:rsidRPr="00B97AFC" w:rsidRDefault="00FC442D" w:rsidP="00FC442D">
            <w:pPr>
              <w:jc w:val="center"/>
              <w:rPr>
                <w:rFonts w:cs="Arial"/>
                <w:color w:val="000000"/>
                <w:lang w:val="pt-PT" w:eastAsia="en-GB"/>
              </w:rPr>
            </w:pPr>
            <w:r w:rsidRPr="00B97AFC">
              <w:rPr>
                <w:rFonts w:cs="Arial"/>
                <w:i/>
                <w:iCs/>
                <w:color w:val="FFFFFF"/>
                <w:lang w:val="pt-PT" w:eastAsia="en-GB"/>
              </w:rPr>
              <w:t>Formas galênicas do medicamento (em geral)</w:t>
            </w:r>
          </w:p>
        </w:tc>
      </w:tr>
      <w:tr w:rsidR="00FC442D" w:rsidRPr="00B97AFC" w:rsidTr="00AD66DD">
        <w:trPr>
          <w:trHeight w:val="2085"/>
          <w:tblCellSpacing w:w="15" w:type="dxa"/>
        </w:trPr>
        <w:tc>
          <w:tcPr>
            <w:tcW w:w="925" w:type="pct"/>
            <w:vMerge w:val="restart"/>
            <w:shd w:val="clear" w:color="auto" w:fill="E1E1E1"/>
            <w:vAlign w:val="center"/>
          </w:tcPr>
          <w:p w:rsidR="00FC442D" w:rsidRPr="00B97AFC" w:rsidRDefault="00FC442D" w:rsidP="00FC442D">
            <w:pPr>
              <w:jc w:val="center"/>
              <w:rPr>
                <w:rFonts w:cs="Arial"/>
                <w:color w:val="000000"/>
                <w:lang w:eastAsia="en-GB"/>
              </w:rPr>
            </w:pPr>
            <w:r w:rsidRPr="00B97AFC">
              <w:rPr>
                <w:rFonts w:cs="Arial"/>
                <w:b/>
                <w:bCs/>
                <w:color w:val="000000"/>
                <w:lang w:eastAsia="en-GB"/>
              </w:rPr>
              <w:t>Penicilinas</w:t>
            </w:r>
            <w:r w:rsidRPr="00B97AFC">
              <w:rPr>
                <w:rFonts w:cs="Arial"/>
                <w:color w:val="000000"/>
                <w:lang w:eastAsia="en-GB"/>
              </w:rPr>
              <w:t xml:space="preserve"> </w:t>
            </w:r>
          </w:p>
          <w:p w:rsidR="00FC442D" w:rsidRPr="00B97AFC" w:rsidRDefault="00FC442D" w:rsidP="00FC442D">
            <w:pPr>
              <w:jc w:val="center"/>
              <w:rPr>
                <w:rFonts w:cs="Arial"/>
                <w:color w:val="000000"/>
                <w:lang w:eastAsia="en-GB"/>
              </w:rPr>
            </w:pPr>
            <w:r w:rsidRPr="00B97AFC">
              <w:rPr>
                <w:rFonts w:cs="Arial"/>
                <w:color w:val="000000"/>
                <w:lang w:eastAsia="en-GB"/>
              </w:rPr>
              <w:t>(beta-lactâmicos)</w:t>
            </w:r>
          </w:p>
        </w:tc>
        <w:tc>
          <w:tcPr>
            <w:tcW w:w="776" w:type="pct"/>
            <w:shd w:val="clear" w:color="auto" w:fill="E1E1E1"/>
            <w:vAlign w:val="center"/>
          </w:tcPr>
          <w:p w:rsidR="00FC442D" w:rsidRPr="00181BC2" w:rsidRDefault="00FC442D" w:rsidP="00FC442D">
            <w:pPr>
              <w:jc w:val="center"/>
              <w:rPr>
                <w:rFonts w:cs="Arial"/>
                <w:b/>
                <w:lang w:val="pt-PT" w:eastAsia="en-GB"/>
              </w:rPr>
            </w:pPr>
            <w:r w:rsidRPr="00181BC2">
              <w:rPr>
                <w:rFonts w:cs="Arial"/>
                <w:b/>
                <w:i/>
                <w:iCs/>
                <w:lang w:val="pt-PT" w:eastAsia="en-GB"/>
              </w:rPr>
              <w:t>Amoxicilina</w:t>
            </w:r>
            <w:r w:rsidRPr="00181BC2">
              <w:rPr>
                <w:rFonts w:cs="Arial"/>
                <w:b/>
                <w:lang w:val="pt-PT" w:eastAsia="en-GB"/>
              </w:rPr>
              <w:t xml:space="preserve"> </w:t>
            </w:r>
          </w:p>
          <w:p w:rsidR="00FC442D" w:rsidRPr="00B97AFC" w:rsidRDefault="00FC442D" w:rsidP="00FC442D">
            <w:pPr>
              <w:jc w:val="center"/>
              <w:rPr>
                <w:rFonts w:cs="Arial"/>
                <w:lang w:val="pt-PT" w:eastAsia="en-GB"/>
              </w:rPr>
            </w:pPr>
            <w:r w:rsidRPr="00181BC2">
              <w:rPr>
                <w:rFonts w:cs="Arial"/>
                <w:b/>
                <w:i/>
                <w:lang w:val="pt-PT" w:eastAsia="en-GB"/>
              </w:rPr>
              <w:t>Amoxicilina e ácido clavulânico</w:t>
            </w:r>
            <w:r w:rsidRPr="00B97AFC">
              <w:rPr>
                <w:rFonts w:cs="Arial"/>
                <w:i/>
                <w:lang w:val="pt-PT" w:eastAsia="en-GB"/>
              </w:rPr>
              <w:t xml:space="preserve"> </w:t>
            </w:r>
            <w:r>
              <w:rPr>
                <w:rFonts w:cs="Arial"/>
                <w:lang w:val="pt-PT" w:eastAsia="en-GB"/>
              </w:rPr>
              <w:t>(</w:t>
            </w:r>
            <w:r w:rsidRPr="00B97AFC">
              <w:rPr>
                <w:rFonts w:cs="Arial"/>
                <w:lang w:val="pt-PT" w:eastAsia="en-GB"/>
              </w:rPr>
              <w:t>um inibidor da lactamase)</w:t>
            </w:r>
          </w:p>
        </w:tc>
        <w:tc>
          <w:tcPr>
            <w:tcW w:w="806" w:type="pct"/>
            <w:vMerge w:val="restart"/>
            <w:shd w:val="clear" w:color="auto" w:fill="E1E1E1"/>
            <w:vAlign w:val="center"/>
          </w:tcPr>
          <w:p w:rsidR="00FC442D" w:rsidRPr="00B97AFC" w:rsidRDefault="00FC442D" w:rsidP="00FC442D">
            <w:pPr>
              <w:jc w:val="center"/>
              <w:rPr>
                <w:rFonts w:cs="Arial"/>
                <w:lang w:val="pt-PT" w:eastAsia="en-GB"/>
              </w:rPr>
            </w:pPr>
            <w:r w:rsidRPr="00B97AFC">
              <w:rPr>
                <w:rFonts w:cs="Arial"/>
                <w:lang w:val="pt-PT" w:eastAsia="en-GB"/>
              </w:rPr>
              <w:t>Diversas (</w:t>
            </w:r>
            <w:r>
              <w:rPr>
                <w:rFonts w:cs="Arial"/>
                <w:lang w:val="pt-PT" w:eastAsia="en-GB"/>
              </w:rPr>
              <w:t xml:space="preserve">amigdalite, </w:t>
            </w:r>
            <w:hyperlink r:id="rId148" w:history="1">
              <w:r w:rsidRPr="00B97AFC">
                <w:rPr>
                  <w:rFonts w:cs="Arial"/>
                  <w:lang w:val="pt-PT" w:eastAsia="en-GB"/>
                </w:rPr>
                <w:t>bronquite</w:t>
              </w:r>
            </w:hyperlink>
            <w:r w:rsidRPr="00B97AFC">
              <w:rPr>
                <w:rFonts w:cs="Arial"/>
                <w:lang w:val="pt-PT" w:eastAsia="en-GB"/>
              </w:rPr>
              <w:t xml:space="preserve">s, </w:t>
            </w:r>
            <w:hyperlink r:id="rId149" w:history="1">
              <w:r w:rsidRPr="00B97AFC">
                <w:rPr>
                  <w:rFonts w:cs="Arial"/>
                  <w:lang w:val="pt-PT" w:eastAsia="en-GB"/>
                </w:rPr>
                <w:t>pneumonia</w:t>
              </w:r>
            </w:hyperlink>
            <w:r w:rsidRPr="00B97AFC">
              <w:rPr>
                <w:rFonts w:cs="Arial"/>
                <w:lang w:val="pt-PT" w:eastAsia="en-GB"/>
              </w:rPr>
              <w:t>,</w:t>
            </w:r>
            <w:r>
              <w:rPr>
                <w:rFonts w:cs="Arial"/>
                <w:lang w:val="pt-PT" w:eastAsia="en-GB"/>
              </w:rPr>
              <w:t xml:space="preserve"> </w:t>
            </w:r>
            <w:r w:rsidRPr="00B97AFC">
              <w:rPr>
                <w:rFonts w:cs="Arial"/>
                <w:lang w:val="pt-PT" w:eastAsia="en-GB"/>
              </w:rPr>
              <w:t xml:space="preserve">otites </w:t>
            </w:r>
            <w:hyperlink r:id="rId150" w:history="1">
              <w:r w:rsidRPr="00B97AFC">
                <w:rPr>
                  <w:rFonts w:cs="Arial"/>
                  <w:lang w:val="pt-PT" w:eastAsia="en-GB"/>
                </w:rPr>
                <w:t>meningites</w:t>
              </w:r>
            </w:hyperlink>
            <w:r w:rsidRPr="00B97AFC">
              <w:rPr>
                <w:rFonts w:cs="Arial"/>
                <w:lang w:val="pt-PT" w:eastAsia="en-GB"/>
              </w:rPr>
              <w:t>, sífilis...)</w:t>
            </w:r>
          </w:p>
        </w:tc>
        <w:tc>
          <w:tcPr>
            <w:tcW w:w="806" w:type="pct"/>
            <w:vMerge w:val="restart"/>
            <w:shd w:val="clear" w:color="auto" w:fill="E1E1E1"/>
            <w:vAlign w:val="center"/>
          </w:tcPr>
          <w:p w:rsidR="00FC442D" w:rsidRPr="00B97AFC" w:rsidRDefault="00FC442D" w:rsidP="00FC442D">
            <w:pPr>
              <w:jc w:val="center"/>
              <w:rPr>
                <w:rFonts w:cs="Arial"/>
                <w:lang w:val="pt-PT" w:eastAsia="en-GB"/>
              </w:rPr>
            </w:pPr>
            <w:r w:rsidRPr="00B97AFC">
              <w:rPr>
                <w:rFonts w:cs="Arial"/>
                <w:lang w:val="pt-PT" w:eastAsia="en-GB"/>
              </w:rPr>
              <w:t xml:space="preserve">Diarréia, erupção cutânea, </w:t>
            </w:r>
          </w:p>
          <w:p w:rsidR="00FC442D" w:rsidRPr="00B97AFC" w:rsidRDefault="00FC442D" w:rsidP="00FC442D">
            <w:pPr>
              <w:jc w:val="center"/>
              <w:rPr>
                <w:rFonts w:cs="Arial"/>
                <w:lang w:val="pt-PT" w:eastAsia="en-GB"/>
              </w:rPr>
            </w:pPr>
            <w:r w:rsidRPr="00B97AFC">
              <w:rPr>
                <w:rFonts w:cs="Arial"/>
                <w:lang w:val="pt-PT" w:eastAsia="en-GB"/>
              </w:rPr>
              <w:t>A penicilina G está implicada (raramente) no surgimento de reacção de Jarisch-Herxheimer (febre, mal-estar, artralgia, mialgia e exacerbação de lesões sifilíticas) quando usada no tratamento da sífilis</w:t>
            </w:r>
          </w:p>
        </w:tc>
        <w:tc>
          <w:tcPr>
            <w:tcW w:w="929" w:type="pct"/>
            <w:vMerge w:val="restart"/>
            <w:shd w:val="clear" w:color="auto" w:fill="E1E1E1"/>
            <w:vAlign w:val="center"/>
          </w:tcPr>
          <w:p w:rsidR="00FC442D" w:rsidRPr="00B97AFC" w:rsidRDefault="00FC442D" w:rsidP="00FC442D">
            <w:pPr>
              <w:jc w:val="center"/>
              <w:rPr>
                <w:rFonts w:cs="Arial"/>
                <w:lang w:val="pt-PT" w:eastAsia="en-GB"/>
              </w:rPr>
            </w:pPr>
            <w:r w:rsidRPr="00B97AFC">
              <w:rPr>
                <w:rFonts w:cs="Arial"/>
                <w:lang w:val="pt-PT" w:eastAsia="en-GB"/>
              </w:rPr>
              <w:t>Inibidores da síntese da parede bacteriana (bactericida)</w:t>
            </w:r>
          </w:p>
        </w:tc>
        <w:tc>
          <w:tcPr>
            <w:tcW w:w="656" w:type="pct"/>
            <w:vMerge w:val="restart"/>
            <w:shd w:val="clear" w:color="auto" w:fill="E1E1E1"/>
            <w:vAlign w:val="center"/>
          </w:tcPr>
          <w:p w:rsidR="00FC442D" w:rsidRPr="00B97AFC" w:rsidRDefault="00FC442D" w:rsidP="00FC442D">
            <w:pPr>
              <w:jc w:val="center"/>
              <w:rPr>
                <w:rFonts w:cs="Arial"/>
                <w:color w:val="000000"/>
                <w:lang w:eastAsia="en-GB"/>
              </w:rPr>
            </w:pPr>
            <w:r w:rsidRPr="00B97AFC">
              <w:rPr>
                <w:rFonts w:cs="Arial"/>
                <w:color w:val="000000"/>
                <w:lang w:eastAsia="en-GB"/>
              </w:rPr>
              <w:t>- Via Oral, parenteral, local</w:t>
            </w:r>
          </w:p>
        </w:tc>
      </w:tr>
      <w:tr w:rsidR="00FC442D" w:rsidRPr="00B97AFC" w:rsidTr="00AD66DD">
        <w:trPr>
          <w:trHeight w:val="435"/>
          <w:tblCellSpacing w:w="15" w:type="dxa"/>
        </w:trPr>
        <w:tc>
          <w:tcPr>
            <w:tcW w:w="925" w:type="pct"/>
            <w:vMerge/>
            <w:vAlign w:val="center"/>
          </w:tcPr>
          <w:p w:rsidR="00FC442D" w:rsidRPr="00B97AFC" w:rsidRDefault="00FC442D" w:rsidP="00FC442D">
            <w:pPr>
              <w:rPr>
                <w:rFonts w:cs="Arial"/>
                <w:color w:val="000000"/>
                <w:lang w:eastAsia="en-GB"/>
              </w:rPr>
            </w:pPr>
          </w:p>
        </w:tc>
        <w:tc>
          <w:tcPr>
            <w:tcW w:w="776" w:type="pct"/>
            <w:shd w:val="clear" w:color="auto" w:fill="E1E1E1"/>
            <w:vAlign w:val="center"/>
          </w:tcPr>
          <w:p w:rsidR="00FC442D" w:rsidRPr="00181BC2" w:rsidRDefault="00FC442D" w:rsidP="00FC442D">
            <w:pPr>
              <w:jc w:val="center"/>
              <w:rPr>
                <w:rFonts w:cs="Arial"/>
                <w:b/>
                <w:lang w:eastAsia="en-GB"/>
              </w:rPr>
            </w:pPr>
            <w:r w:rsidRPr="00181BC2">
              <w:rPr>
                <w:rFonts w:cs="Arial"/>
                <w:b/>
                <w:i/>
                <w:iCs/>
                <w:lang w:eastAsia="en-GB"/>
              </w:rPr>
              <w:t>Ampicilina</w:t>
            </w:r>
          </w:p>
        </w:tc>
        <w:tc>
          <w:tcPr>
            <w:tcW w:w="806" w:type="pct"/>
            <w:vMerge/>
            <w:vAlign w:val="center"/>
          </w:tcPr>
          <w:p w:rsidR="00FC442D" w:rsidRPr="00B97AFC" w:rsidRDefault="00FC442D" w:rsidP="00FC442D">
            <w:pPr>
              <w:rPr>
                <w:rFonts w:cs="Arial"/>
                <w:lang w:eastAsia="en-GB"/>
              </w:rPr>
            </w:pPr>
          </w:p>
        </w:tc>
        <w:tc>
          <w:tcPr>
            <w:tcW w:w="806" w:type="pct"/>
            <w:vMerge/>
            <w:vAlign w:val="center"/>
          </w:tcPr>
          <w:p w:rsidR="00FC442D" w:rsidRPr="00B97AFC" w:rsidRDefault="00FC442D" w:rsidP="00FC442D">
            <w:pPr>
              <w:rPr>
                <w:rFonts w:cs="Arial"/>
                <w:lang w:eastAsia="en-GB"/>
              </w:rPr>
            </w:pPr>
          </w:p>
        </w:tc>
        <w:tc>
          <w:tcPr>
            <w:tcW w:w="929" w:type="pct"/>
            <w:vMerge/>
            <w:vAlign w:val="center"/>
          </w:tcPr>
          <w:p w:rsidR="00FC442D" w:rsidRPr="00B97AFC" w:rsidRDefault="00FC442D" w:rsidP="00FC442D">
            <w:pPr>
              <w:rPr>
                <w:rFonts w:cs="Arial"/>
                <w:lang w:eastAsia="en-GB"/>
              </w:rPr>
            </w:pPr>
          </w:p>
        </w:tc>
        <w:tc>
          <w:tcPr>
            <w:tcW w:w="656" w:type="pct"/>
            <w:vMerge/>
            <w:vAlign w:val="center"/>
          </w:tcPr>
          <w:p w:rsidR="00FC442D" w:rsidRPr="00B97AFC" w:rsidRDefault="00FC442D" w:rsidP="00FC442D">
            <w:pPr>
              <w:rPr>
                <w:rFonts w:cs="Arial"/>
                <w:color w:val="000000"/>
                <w:lang w:eastAsia="en-GB"/>
              </w:rPr>
            </w:pPr>
          </w:p>
        </w:tc>
      </w:tr>
      <w:tr w:rsidR="00FC442D" w:rsidRPr="00FC6E81" w:rsidTr="00AD66DD">
        <w:trPr>
          <w:trHeight w:val="885"/>
          <w:tblCellSpacing w:w="15" w:type="dxa"/>
        </w:trPr>
        <w:tc>
          <w:tcPr>
            <w:tcW w:w="925" w:type="pct"/>
            <w:vMerge/>
            <w:vAlign w:val="center"/>
          </w:tcPr>
          <w:p w:rsidR="00FC442D" w:rsidRPr="00B97AFC" w:rsidRDefault="00FC442D" w:rsidP="00FC442D">
            <w:pPr>
              <w:rPr>
                <w:rFonts w:cs="Arial"/>
                <w:color w:val="000000"/>
                <w:lang w:eastAsia="en-GB"/>
              </w:rPr>
            </w:pPr>
          </w:p>
        </w:tc>
        <w:tc>
          <w:tcPr>
            <w:tcW w:w="776" w:type="pct"/>
            <w:shd w:val="clear" w:color="auto" w:fill="E1E1E1"/>
            <w:vAlign w:val="center"/>
          </w:tcPr>
          <w:p w:rsidR="00FC442D" w:rsidRPr="00181BC2" w:rsidRDefault="00FC442D" w:rsidP="00FC442D">
            <w:pPr>
              <w:jc w:val="center"/>
              <w:rPr>
                <w:rFonts w:cs="Arial"/>
                <w:b/>
                <w:lang w:val="pt-PT" w:eastAsia="en-GB"/>
              </w:rPr>
            </w:pPr>
            <w:r w:rsidRPr="00181BC2">
              <w:rPr>
                <w:rFonts w:cs="Arial"/>
                <w:b/>
                <w:i/>
                <w:iCs/>
                <w:lang w:val="pt-PT" w:eastAsia="en-GB"/>
              </w:rPr>
              <w:t>Penicilina G, Bezantínica e Procaína</w:t>
            </w:r>
          </w:p>
        </w:tc>
        <w:tc>
          <w:tcPr>
            <w:tcW w:w="806" w:type="pct"/>
            <w:vMerge/>
            <w:vAlign w:val="center"/>
          </w:tcPr>
          <w:p w:rsidR="00FC442D" w:rsidRPr="00B97AFC" w:rsidRDefault="00FC442D" w:rsidP="00FC442D">
            <w:pPr>
              <w:rPr>
                <w:rFonts w:cs="Arial"/>
                <w:lang w:val="pt-PT" w:eastAsia="en-GB"/>
              </w:rPr>
            </w:pPr>
          </w:p>
        </w:tc>
        <w:tc>
          <w:tcPr>
            <w:tcW w:w="806" w:type="pct"/>
            <w:vMerge/>
            <w:vAlign w:val="center"/>
          </w:tcPr>
          <w:p w:rsidR="00FC442D" w:rsidRPr="00B97AFC" w:rsidRDefault="00FC442D" w:rsidP="00FC442D">
            <w:pPr>
              <w:rPr>
                <w:rFonts w:cs="Arial"/>
                <w:lang w:val="pt-PT" w:eastAsia="en-GB"/>
              </w:rPr>
            </w:pPr>
          </w:p>
        </w:tc>
        <w:tc>
          <w:tcPr>
            <w:tcW w:w="929" w:type="pct"/>
            <w:vMerge/>
            <w:vAlign w:val="center"/>
          </w:tcPr>
          <w:p w:rsidR="00FC442D" w:rsidRPr="00B97AFC" w:rsidRDefault="00FC442D" w:rsidP="00FC442D">
            <w:pPr>
              <w:rPr>
                <w:rFonts w:cs="Arial"/>
                <w:lang w:val="pt-PT" w:eastAsia="en-GB"/>
              </w:rPr>
            </w:pPr>
          </w:p>
        </w:tc>
        <w:tc>
          <w:tcPr>
            <w:tcW w:w="656" w:type="pct"/>
            <w:vMerge/>
            <w:vAlign w:val="center"/>
          </w:tcPr>
          <w:p w:rsidR="00FC442D" w:rsidRPr="00B97AFC" w:rsidRDefault="00FC442D" w:rsidP="00FC442D">
            <w:pPr>
              <w:rPr>
                <w:rFonts w:cs="Arial"/>
                <w:color w:val="000000"/>
                <w:lang w:val="pt-PT" w:eastAsia="en-GB"/>
              </w:rPr>
            </w:pPr>
          </w:p>
        </w:tc>
      </w:tr>
      <w:tr w:rsidR="00FC442D" w:rsidRPr="00B97AFC" w:rsidTr="00AD66DD">
        <w:trPr>
          <w:trHeight w:val="1125"/>
          <w:tblCellSpacing w:w="15" w:type="dxa"/>
        </w:trPr>
        <w:tc>
          <w:tcPr>
            <w:tcW w:w="925" w:type="pct"/>
            <w:vMerge/>
            <w:vAlign w:val="center"/>
          </w:tcPr>
          <w:p w:rsidR="00FC442D" w:rsidRPr="00B97AFC" w:rsidRDefault="00FC442D" w:rsidP="00FC442D">
            <w:pPr>
              <w:rPr>
                <w:rFonts w:cs="Arial"/>
                <w:color w:val="000000"/>
                <w:lang w:val="pt-PT" w:eastAsia="en-GB"/>
              </w:rPr>
            </w:pPr>
          </w:p>
        </w:tc>
        <w:tc>
          <w:tcPr>
            <w:tcW w:w="776" w:type="pct"/>
            <w:shd w:val="clear" w:color="auto" w:fill="E1E1E1"/>
            <w:vAlign w:val="center"/>
          </w:tcPr>
          <w:p w:rsidR="00FC442D" w:rsidRPr="00181BC2" w:rsidRDefault="00FC442D" w:rsidP="00FC442D">
            <w:pPr>
              <w:jc w:val="center"/>
              <w:rPr>
                <w:rFonts w:cs="Arial"/>
                <w:b/>
                <w:lang w:eastAsia="en-GB"/>
              </w:rPr>
            </w:pPr>
            <w:r w:rsidRPr="00181BC2">
              <w:rPr>
                <w:rFonts w:cs="Arial"/>
                <w:b/>
                <w:i/>
                <w:iCs/>
                <w:lang w:eastAsia="en-GB"/>
              </w:rPr>
              <w:t>Penicilina V</w:t>
            </w:r>
          </w:p>
        </w:tc>
        <w:tc>
          <w:tcPr>
            <w:tcW w:w="806" w:type="pct"/>
            <w:vMerge/>
            <w:vAlign w:val="center"/>
          </w:tcPr>
          <w:p w:rsidR="00FC442D" w:rsidRPr="00B97AFC" w:rsidRDefault="00FC442D" w:rsidP="00FC442D">
            <w:pPr>
              <w:rPr>
                <w:rFonts w:cs="Arial"/>
                <w:lang w:eastAsia="en-GB"/>
              </w:rPr>
            </w:pPr>
          </w:p>
        </w:tc>
        <w:tc>
          <w:tcPr>
            <w:tcW w:w="806" w:type="pct"/>
            <w:vMerge/>
            <w:vAlign w:val="center"/>
          </w:tcPr>
          <w:p w:rsidR="00FC442D" w:rsidRPr="00B97AFC" w:rsidRDefault="00FC442D" w:rsidP="00FC442D">
            <w:pPr>
              <w:rPr>
                <w:rFonts w:cs="Arial"/>
                <w:lang w:eastAsia="en-GB"/>
              </w:rPr>
            </w:pPr>
          </w:p>
        </w:tc>
        <w:tc>
          <w:tcPr>
            <w:tcW w:w="929" w:type="pct"/>
            <w:vMerge/>
            <w:vAlign w:val="center"/>
          </w:tcPr>
          <w:p w:rsidR="00FC442D" w:rsidRPr="00B97AFC" w:rsidRDefault="00FC442D" w:rsidP="00FC442D">
            <w:pPr>
              <w:rPr>
                <w:rFonts w:cs="Arial"/>
                <w:lang w:eastAsia="en-GB"/>
              </w:rPr>
            </w:pPr>
          </w:p>
        </w:tc>
        <w:tc>
          <w:tcPr>
            <w:tcW w:w="656" w:type="pct"/>
            <w:vMerge/>
            <w:vAlign w:val="center"/>
          </w:tcPr>
          <w:p w:rsidR="00FC442D" w:rsidRPr="00B97AFC" w:rsidRDefault="00FC442D" w:rsidP="00FC442D">
            <w:pPr>
              <w:rPr>
                <w:rFonts w:cs="Arial"/>
                <w:color w:val="000000"/>
                <w:lang w:eastAsia="en-GB"/>
              </w:rPr>
            </w:pPr>
          </w:p>
        </w:tc>
      </w:tr>
      <w:tr w:rsidR="00FC442D" w:rsidRPr="00B97AFC" w:rsidTr="00AD66DD">
        <w:trPr>
          <w:trHeight w:val="1500"/>
          <w:tblCellSpacing w:w="15" w:type="dxa"/>
        </w:trPr>
        <w:tc>
          <w:tcPr>
            <w:tcW w:w="925" w:type="pct"/>
            <w:vMerge w:val="restart"/>
            <w:shd w:val="clear" w:color="auto" w:fill="E1E1E1"/>
            <w:vAlign w:val="center"/>
          </w:tcPr>
          <w:p w:rsidR="00FC442D" w:rsidRPr="00B97AFC" w:rsidRDefault="00FC442D" w:rsidP="00FC442D">
            <w:pPr>
              <w:jc w:val="center"/>
              <w:rPr>
                <w:rFonts w:cs="Arial"/>
                <w:color w:val="000000"/>
                <w:lang w:eastAsia="en-GB"/>
              </w:rPr>
            </w:pPr>
            <w:r w:rsidRPr="00B97AFC">
              <w:rPr>
                <w:rFonts w:cs="Arial"/>
                <w:b/>
                <w:bCs/>
                <w:color w:val="000000"/>
                <w:lang w:eastAsia="en-GB"/>
              </w:rPr>
              <w:t>Cefalosporinas</w:t>
            </w:r>
            <w:r w:rsidRPr="00B97AFC">
              <w:rPr>
                <w:rFonts w:cs="Arial"/>
                <w:color w:val="000000"/>
                <w:lang w:eastAsia="en-GB"/>
              </w:rPr>
              <w:t xml:space="preserve"> (beta-lactâmicos)</w:t>
            </w:r>
          </w:p>
        </w:tc>
        <w:tc>
          <w:tcPr>
            <w:tcW w:w="776" w:type="pct"/>
            <w:shd w:val="clear" w:color="auto" w:fill="E1E1E1"/>
            <w:vAlign w:val="center"/>
          </w:tcPr>
          <w:p w:rsidR="00FC442D" w:rsidRPr="00B97AFC" w:rsidRDefault="00FC442D" w:rsidP="00FC442D">
            <w:pPr>
              <w:jc w:val="center"/>
              <w:rPr>
                <w:rFonts w:cs="Arial"/>
                <w:lang w:eastAsia="en-GB"/>
              </w:rPr>
            </w:pPr>
            <w:r w:rsidRPr="00B97AFC">
              <w:rPr>
                <w:rFonts w:cs="Arial"/>
                <w:i/>
                <w:iCs/>
                <w:lang w:eastAsia="en-GB"/>
              </w:rPr>
              <w:t>1</w:t>
            </w:r>
            <w:r w:rsidRPr="00B52C84">
              <w:rPr>
                <w:rFonts w:cs="Arial"/>
                <w:i/>
                <w:iCs/>
                <w:vertAlign w:val="superscript"/>
                <w:lang w:eastAsia="en-GB"/>
              </w:rPr>
              <w:t>a</w:t>
            </w:r>
            <w:r w:rsidRPr="00B97AFC">
              <w:rPr>
                <w:rFonts w:cs="Arial"/>
                <w:i/>
                <w:iCs/>
                <w:lang w:eastAsia="en-GB"/>
              </w:rPr>
              <w:t xml:space="preserve"> geração</w:t>
            </w:r>
            <w:r w:rsidRPr="00B97AFC">
              <w:rPr>
                <w:rFonts w:cs="Arial"/>
                <w:lang w:eastAsia="en-GB"/>
              </w:rPr>
              <w:br/>
              <w:t xml:space="preserve">- </w:t>
            </w:r>
            <w:r w:rsidRPr="00B97AFC">
              <w:rPr>
                <w:rFonts w:cs="Arial"/>
                <w:i/>
                <w:iCs/>
                <w:lang w:eastAsia="en-GB"/>
              </w:rPr>
              <w:t>Cefaclor</w:t>
            </w:r>
            <w:r w:rsidRPr="00B97AFC">
              <w:rPr>
                <w:rFonts w:cs="Arial"/>
                <w:lang w:eastAsia="en-GB"/>
              </w:rPr>
              <w:t xml:space="preserve"> </w:t>
            </w:r>
            <w:r w:rsidRPr="00B97AFC">
              <w:rPr>
                <w:rFonts w:cs="Arial"/>
                <w:lang w:eastAsia="en-GB"/>
              </w:rPr>
              <w:br/>
              <w:t xml:space="preserve">- </w:t>
            </w:r>
            <w:r w:rsidRPr="00B97AFC">
              <w:rPr>
                <w:rFonts w:cs="Arial"/>
                <w:i/>
                <w:iCs/>
                <w:lang w:eastAsia="en-GB"/>
              </w:rPr>
              <w:t>Cefazolina</w:t>
            </w:r>
            <w:r w:rsidRPr="00B97AFC">
              <w:rPr>
                <w:rFonts w:cs="Arial"/>
                <w:lang w:eastAsia="en-GB"/>
              </w:rPr>
              <w:t xml:space="preserve"> </w:t>
            </w:r>
          </w:p>
        </w:tc>
        <w:tc>
          <w:tcPr>
            <w:tcW w:w="806" w:type="pct"/>
            <w:vMerge w:val="restart"/>
            <w:shd w:val="clear" w:color="auto" w:fill="E1E1E1"/>
            <w:vAlign w:val="center"/>
          </w:tcPr>
          <w:p w:rsidR="00FC442D" w:rsidRPr="00B97AFC" w:rsidRDefault="00FC442D" w:rsidP="00FC442D">
            <w:pPr>
              <w:jc w:val="center"/>
              <w:rPr>
                <w:rFonts w:cs="Arial"/>
                <w:lang w:val="pt-PT" w:eastAsia="en-GB"/>
              </w:rPr>
            </w:pPr>
            <w:r w:rsidRPr="00B97AFC">
              <w:rPr>
                <w:rFonts w:cs="Arial"/>
                <w:lang w:val="pt-PT" w:eastAsia="en-GB"/>
              </w:rPr>
              <w:t>Diversas, mas nas formas mais graves (</w:t>
            </w:r>
            <w:hyperlink r:id="rId151" w:history="1">
              <w:r w:rsidRPr="00B97AFC">
                <w:rPr>
                  <w:rFonts w:cs="Arial"/>
                  <w:lang w:val="pt-PT" w:eastAsia="en-GB"/>
                </w:rPr>
                <w:t>bronquite</w:t>
              </w:r>
            </w:hyperlink>
            <w:r w:rsidRPr="00B97AFC">
              <w:rPr>
                <w:rFonts w:cs="Arial"/>
                <w:lang w:val="pt-PT" w:eastAsia="en-GB"/>
              </w:rPr>
              <w:t xml:space="preserve">, </w:t>
            </w:r>
            <w:hyperlink r:id="rId152" w:history="1">
              <w:r w:rsidRPr="00B97AFC">
                <w:rPr>
                  <w:rFonts w:cs="Arial"/>
                  <w:lang w:val="pt-PT" w:eastAsia="en-GB"/>
                </w:rPr>
                <w:t>pneumonia</w:t>
              </w:r>
            </w:hyperlink>
            <w:r w:rsidRPr="00B97AFC">
              <w:rPr>
                <w:rFonts w:cs="Arial"/>
                <w:lang w:val="pt-PT" w:eastAsia="en-GB"/>
              </w:rPr>
              <w:t xml:space="preserve">, otites, </w:t>
            </w:r>
            <w:hyperlink r:id="rId153" w:history="1">
              <w:r w:rsidRPr="00B97AFC">
                <w:rPr>
                  <w:rFonts w:cs="Arial"/>
                  <w:lang w:val="pt-PT" w:eastAsia="en-GB"/>
                </w:rPr>
                <w:t>meningites</w:t>
              </w:r>
            </w:hyperlink>
            <w:r w:rsidRPr="00B97AFC">
              <w:rPr>
                <w:rFonts w:cs="Arial"/>
                <w:lang w:val="pt-PT" w:eastAsia="en-GB"/>
              </w:rPr>
              <w:t>, borreliose...)</w:t>
            </w:r>
          </w:p>
          <w:p w:rsidR="00FC442D" w:rsidRPr="00B97AFC" w:rsidRDefault="00FC442D" w:rsidP="00FC442D">
            <w:pPr>
              <w:jc w:val="center"/>
              <w:rPr>
                <w:rFonts w:cs="Arial"/>
                <w:lang w:val="pt-PT" w:eastAsia="en-GB"/>
              </w:rPr>
            </w:pPr>
            <w:r w:rsidRPr="00B97AFC">
              <w:rPr>
                <w:rFonts w:cs="Arial"/>
                <w:lang w:val="pt-PT" w:eastAsia="en-GB"/>
              </w:rPr>
              <w:t xml:space="preserve">A ceftriaxona é útil no tratamento da </w:t>
            </w:r>
            <w:r w:rsidRPr="00B97AFC">
              <w:rPr>
                <w:rFonts w:cs="Arial"/>
                <w:lang w:val="pt-PT" w:eastAsia="en-GB"/>
              </w:rPr>
              <w:lastRenderedPageBreak/>
              <w:t>gonorreia</w:t>
            </w:r>
          </w:p>
        </w:tc>
        <w:tc>
          <w:tcPr>
            <w:tcW w:w="806" w:type="pct"/>
            <w:shd w:val="clear" w:color="auto" w:fill="E1E1E1"/>
            <w:vAlign w:val="center"/>
          </w:tcPr>
          <w:p w:rsidR="00FC442D" w:rsidRPr="00B97AFC" w:rsidRDefault="00FC442D" w:rsidP="00FC442D">
            <w:pPr>
              <w:jc w:val="center"/>
              <w:rPr>
                <w:rFonts w:cs="Arial"/>
                <w:lang w:val="pt-PT" w:eastAsia="en-GB"/>
              </w:rPr>
            </w:pPr>
            <w:r w:rsidRPr="00B97AFC">
              <w:rPr>
                <w:rFonts w:cs="Arial"/>
                <w:lang w:val="pt-PT" w:eastAsia="en-GB"/>
              </w:rPr>
              <w:lastRenderedPageBreak/>
              <w:t>Alergia (erupção cutânea a síndrome de Stevens-Johnson), toxicidade renal (alta dose)</w:t>
            </w:r>
          </w:p>
        </w:tc>
        <w:tc>
          <w:tcPr>
            <w:tcW w:w="929" w:type="pct"/>
            <w:vMerge w:val="restart"/>
            <w:shd w:val="clear" w:color="auto" w:fill="E1E1E1"/>
            <w:vAlign w:val="center"/>
          </w:tcPr>
          <w:p w:rsidR="00FC442D" w:rsidRPr="00B97AFC" w:rsidRDefault="00FC442D" w:rsidP="00FC442D">
            <w:pPr>
              <w:jc w:val="center"/>
              <w:rPr>
                <w:rFonts w:cs="Arial"/>
                <w:lang w:val="pt-PT" w:eastAsia="en-GB"/>
              </w:rPr>
            </w:pPr>
            <w:r w:rsidRPr="00B97AFC">
              <w:rPr>
                <w:rFonts w:cs="Arial"/>
                <w:lang w:val="pt-PT" w:eastAsia="en-GB"/>
              </w:rPr>
              <w:t>Inibidores da síntese da parede bacteriana  (bactericida)</w:t>
            </w:r>
          </w:p>
        </w:tc>
        <w:tc>
          <w:tcPr>
            <w:tcW w:w="656" w:type="pct"/>
            <w:vMerge w:val="restart"/>
            <w:shd w:val="clear" w:color="auto" w:fill="E1E1E1"/>
            <w:vAlign w:val="center"/>
          </w:tcPr>
          <w:p w:rsidR="00FC442D" w:rsidRPr="00B97AFC" w:rsidRDefault="00FC442D" w:rsidP="00FC442D">
            <w:pPr>
              <w:jc w:val="center"/>
              <w:rPr>
                <w:rFonts w:cs="Arial"/>
                <w:color w:val="000000"/>
                <w:lang w:eastAsia="en-GB"/>
              </w:rPr>
            </w:pPr>
            <w:r w:rsidRPr="00B97AFC">
              <w:rPr>
                <w:rFonts w:cs="Arial"/>
                <w:color w:val="000000"/>
                <w:lang w:eastAsia="en-GB"/>
              </w:rPr>
              <w:t>- Via Oral, parenteral</w:t>
            </w:r>
          </w:p>
        </w:tc>
      </w:tr>
      <w:tr w:rsidR="00FC442D" w:rsidRPr="00FC6E81" w:rsidTr="00AD66DD">
        <w:trPr>
          <w:tblCellSpacing w:w="15" w:type="dxa"/>
        </w:trPr>
        <w:tc>
          <w:tcPr>
            <w:tcW w:w="925" w:type="pct"/>
            <w:vMerge/>
            <w:vAlign w:val="center"/>
          </w:tcPr>
          <w:p w:rsidR="00FC442D" w:rsidRPr="00B97AFC" w:rsidRDefault="00FC442D" w:rsidP="00FC442D">
            <w:pPr>
              <w:rPr>
                <w:rFonts w:cs="Arial"/>
                <w:color w:val="000000"/>
                <w:lang w:eastAsia="en-GB"/>
              </w:rPr>
            </w:pPr>
          </w:p>
        </w:tc>
        <w:tc>
          <w:tcPr>
            <w:tcW w:w="776" w:type="pct"/>
            <w:shd w:val="clear" w:color="auto" w:fill="E1E1E1"/>
            <w:vAlign w:val="center"/>
          </w:tcPr>
          <w:p w:rsidR="00FC442D" w:rsidRPr="00B97AFC" w:rsidRDefault="00FC442D" w:rsidP="00FC442D">
            <w:pPr>
              <w:jc w:val="center"/>
              <w:rPr>
                <w:rFonts w:cs="Arial"/>
                <w:color w:val="000000"/>
                <w:lang w:eastAsia="en-GB"/>
              </w:rPr>
            </w:pPr>
            <w:r w:rsidRPr="00B97AFC">
              <w:rPr>
                <w:rFonts w:cs="Arial"/>
                <w:i/>
                <w:iCs/>
                <w:color w:val="000000"/>
                <w:lang w:eastAsia="en-GB"/>
              </w:rPr>
              <w:t>2</w:t>
            </w:r>
            <w:r w:rsidRPr="00B52C84">
              <w:rPr>
                <w:rFonts w:cs="Arial"/>
                <w:i/>
                <w:iCs/>
                <w:color w:val="000000"/>
                <w:vertAlign w:val="superscript"/>
                <w:lang w:eastAsia="en-GB"/>
              </w:rPr>
              <w:t>a</w:t>
            </w:r>
            <w:r w:rsidRPr="00B97AFC">
              <w:rPr>
                <w:rFonts w:cs="Arial"/>
                <w:i/>
                <w:iCs/>
                <w:color w:val="000000"/>
                <w:lang w:eastAsia="en-GB"/>
              </w:rPr>
              <w:t xml:space="preserve"> geração</w:t>
            </w:r>
            <w:r w:rsidRPr="00B97AFC">
              <w:rPr>
                <w:rFonts w:cs="Arial"/>
                <w:color w:val="000000"/>
                <w:lang w:eastAsia="en-GB"/>
              </w:rPr>
              <w:br/>
              <w:t xml:space="preserve">- </w:t>
            </w:r>
            <w:r w:rsidRPr="00B97AFC">
              <w:rPr>
                <w:rFonts w:cs="Arial"/>
                <w:i/>
                <w:iCs/>
                <w:color w:val="000000"/>
                <w:lang w:eastAsia="en-GB"/>
              </w:rPr>
              <w:t>Cefamandol</w:t>
            </w:r>
            <w:r w:rsidRPr="00B97AFC">
              <w:rPr>
                <w:rFonts w:cs="Arial"/>
                <w:color w:val="000000"/>
                <w:lang w:eastAsia="en-GB"/>
              </w:rPr>
              <w:t xml:space="preserve"> </w:t>
            </w:r>
            <w:r w:rsidRPr="00B97AFC">
              <w:rPr>
                <w:rFonts w:cs="Arial"/>
                <w:color w:val="000000"/>
                <w:lang w:eastAsia="en-GB"/>
              </w:rPr>
              <w:br/>
              <w:t xml:space="preserve">- </w:t>
            </w:r>
            <w:r w:rsidRPr="00B97AFC">
              <w:rPr>
                <w:rFonts w:cs="Arial"/>
                <w:i/>
                <w:iCs/>
                <w:color w:val="000000"/>
                <w:lang w:eastAsia="en-GB"/>
              </w:rPr>
              <w:t>Cefuroxima</w:t>
            </w:r>
            <w:r w:rsidRPr="00B97AFC">
              <w:rPr>
                <w:rFonts w:cs="Arial"/>
                <w:color w:val="000000"/>
                <w:lang w:eastAsia="en-GB"/>
              </w:rPr>
              <w:t xml:space="preserve"> </w:t>
            </w:r>
          </w:p>
        </w:tc>
        <w:tc>
          <w:tcPr>
            <w:tcW w:w="806" w:type="pct"/>
            <w:vMerge/>
            <w:vAlign w:val="center"/>
          </w:tcPr>
          <w:p w:rsidR="00FC442D" w:rsidRPr="00B97AFC" w:rsidRDefault="00FC442D" w:rsidP="00FC442D">
            <w:pPr>
              <w:rPr>
                <w:rFonts w:cs="Arial"/>
                <w:color w:val="000000"/>
                <w:lang w:eastAsia="en-GB"/>
              </w:rPr>
            </w:pPr>
          </w:p>
        </w:tc>
        <w:tc>
          <w:tcPr>
            <w:tcW w:w="806" w:type="pct"/>
            <w:vMerge w:val="restart"/>
            <w:shd w:val="clear" w:color="auto" w:fill="E1E1E1"/>
            <w:vAlign w:val="center"/>
          </w:tcPr>
          <w:p w:rsidR="00FC442D" w:rsidRPr="00B97AFC" w:rsidRDefault="00FC442D" w:rsidP="00FC442D">
            <w:pPr>
              <w:jc w:val="center"/>
              <w:rPr>
                <w:rFonts w:cs="Arial"/>
                <w:color w:val="000000"/>
                <w:lang w:val="pt-PT" w:eastAsia="en-GB"/>
              </w:rPr>
            </w:pPr>
            <w:r w:rsidRPr="00B97AFC">
              <w:rPr>
                <w:rFonts w:cs="Arial"/>
                <w:color w:val="000000"/>
                <w:lang w:val="pt-PT" w:eastAsia="en-GB"/>
              </w:rPr>
              <w:t>Geralmente bem tolerada.</w:t>
            </w:r>
          </w:p>
          <w:p w:rsidR="00FC442D" w:rsidRPr="00F11707" w:rsidRDefault="00FC442D" w:rsidP="00FC442D">
            <w:pPr>
              <w:jc w:val="center"/>
              <w:rPr>
                <w:rFonts w:cs="Arial"/>
                <w:color w:val="000000"/>
                <w:lang w:val="pt-PT" w:eastAsia="en-GB"/>
              </w:rPr>
            </w:pPr>
            <w:r w:rsidRPr="00B97AFC">
              <w:rPr>
                <w:rFonts w:cs="Arial"/>
                <w:color w:val="000000"/>
                <w:lang w:val="pt-PT" w:eastAsia="en-GB"/>
              </w:rPr>
              <w:t xml:space="preserve">Pode surgir </w:t>
            </w:r>
            <w:r w:rsidRPr="00B97AFC">
              <w:rPr>
                <w:rFonts w:cs="Arial"/>
                <w:color w:val="000000"/>
                <w:lang w:val="pt-PT" w:eastAsia="en-GB"/>
              </w:rPr>
              <w:lastRenderedPageBreak/>
              <w:t>Reações alérgicas. Em dosis alta, podem causar neútropenia, anémia, trombocitopenia</w:t>
            </w:r>
          </w:p>
        </w:tc>
        <w:tc>
          <w:tcPr>
            <w:tcW w:w="929" w:type="pct"/>
            <w:vMerge/>
            <w:vAlign w:val="center"/>
          </w:tcPr>
          <w:p w:rsidR="00FC442D" w:rsidRPr="00B97AFC" w:rsidRDefault="00FC442D" w:rsidP="00FC442D">
            <w:pPr>
              <w:rPr>
                <w:rFonts w:cs="Arial"/>
                <w:color w:val="000000"/>
                <w:lang w:val="pt-PT" w:eastAsia="en-GB"/>
              </w:rPr>
            </w:pPr>
          </w:p>
        </w:tc>
        <w:tc>
          <w:tcPr>
            <w:tcW w:w="656" w:type="pct"/>
            <w:vMerge/>
            <w:vAlign w:val="center"/>
          </w:tcPr>
          <w:p w:rsidR="00FC442D" w:rsidRPr="00B97AFC" w:rsidRDefault="00FC442D" w:rsidP="00FC442D">
            <w:pPr>
              <w:rPr>
                <w:rFonts w:cs="Arial"/>
                <w:color w:val="000000"/>
                <w:lang w:val="pt-PT" w:eastAsia="en-GB"/>
              </w:rPr>
            </w:pPr>
          </w:p>
        </w:tc>
      </w:tr>
      <w:tr w:rsidR="00FC442D" w:rsidRPr="00FC6E81" w:rsidTr="00AD66DD">
        <w:trPr>
          <w:trHeight w:val="2889"/>
          <w:tblCellSpacing w:w="15" w:type="dxa"/>
        </w:trPr>
        <w:tc>
          <w:tcPr>
            <w:tcW w:w="925" w:type="pct"/>
            <w:vMerge/>
            <w:vAlign w:val="center"/>
          </w:tcPr>
          <w:p w:rsidR="00FC442D" w:rsidRPr="00B97AFC" w:rsidRDefault="00FC442D" w:rsidP="00FC442D">
            <w:pPr>
              <w:rPr>
                <w:rFonts w:cs="Arial"/>
                <w:color w:val="000000"/>
                <w:lang w:val="pt-PT" w:eastAsia="en-GB"/>
              </w:rPr>
            </w:pPr>
          </w:p>
        </w:tc>
        <w:tc>
          <w:tcPr>
            <w:tcW w:w="776" w:type="pct"/>
            <w:shd w:val="clear" w:color="auto" w:fill="E1E1E1"/>
            <w:vAlign w:val="center"/>
          </w:tcPr>
          <w:p w:rsidR="00FC442D" w:rsidRPr="00B97AFC" w:rsidRDefault="00FC442D" w:rsidP="00FC442D">
            <w:pPr>
              <w:jc w:val="center"/>
              <w:rPr>
                <w:rFonts w:cs="Arial"/>
                <w:i/>
                <w:iCs/>
                <w:color w:val="000000"/>
                <w:lang w:val="pt-PT" w:eastAsia="en-GB"/>
              </w:rPr>
            </w:pPr>
            <w:r w:rsidRPr="00B97AFC">
              <w:rPr>
                <w:rFonts w:cs="Arial"/>
                <w:i/>
                <w:iCs/>
                <w:color w:val="000000"/>
                <w:lang w:val="pt-PT" w:eastAsia="en-GB"/>
              </w:rPr>
              <w:t>3</w:t>
            </w:r>
            <w:r w:rsidRPr="00B52C84">
              <w:rPr>
                <w:rFonts w:cs="Arial"/>
                <w:i/>
                <w:iCs/>
                <w:color w:val="000000"/>
                <w:vertAlign w:val="superscript"/>
                <w:lang w:val="pt-PT" w:eastAsia="en-GB"/>
              </w:rPr>
              <w:t>a</w:t>
            </w:r>
            <w:r w:rsidRPr="00B97AFC">
              <w:rPr>
                <w:rFonts w:cs="Arial"/>
                <w:i/>
                <w:iCs/>
                <w:color w:val="000000"/>
                <w:lang w:val="pt-PT" w:eastAsia="en-GB"/>
              </w:rPr>
              <w:t xml:space="preserve"> geração</w:t>
            </w:r>
            <w:r w:rsidRPr="00B97AFC">
              <w:rPr>
                <w:rFonts w:cs="Arial"/>
                <w:color w:val="000000"/>
                <w:lang w:val="pt-PT" w:eastAsia="en-GB"/>
              </w:rPr>
              <w:br/>
              <w:t xml:space="preserve">- </w:t>
            </w:r>
            <w:r w:rsidRPr="00181BC2">
              <w:rPr>
                <w:rFonts w:cs="Arial"/>
                <w:b/>
                <w:i/>
                <w:iCs/>
                <w:color w:val="000000"/>
                <w:lang w:val="pt-PT" w:eastAsia="en-GB"/>
              </w:rPr>
              <w:t>Ceftriaxona</w:t>
            </w:r>
          </w:p>
          <w:p w:rsidR="00FC442D" w:rsidRPr="00B97AFC" w:rsidRDefault="00FC442D" w:rsidP="00FC442D">
            <w:pPr>
              <w:jc w:val="center"/>
              <w:rPr>
                <w:rFonts w:cs="Arial"/>
                <w:color w:val="000000"/>
                <w:lang w:val="pt-PT" w:eastAsia="en-GB"/>
              </w:rPr>
            </w:pPr>
            <w:r w:rsidRPr="00B97AFC">
              <w:rPr>
                <w:rFonts w:cs="Arial"/>
                <w:color w:val="000000"/>
                <w:lang w:val="pt-PT" w:eastAsia="en-GB"/>
              </w:rPr>
              <w:t xml:space="preserve"> - </w:t>
            </w:r>
            <w:r w:rsidRPr="00B97AFC">
              <w:rPr>
                <w:rFonts w:cs="Arial"/>
                <w:i/>
                <w:iCs/>
                <w:color w:val="000000"/>
                <w:lang w:val="pt-PT" w:eastAsia="en-GB"/>
              </w:rPr>
              <w:t>Cefixima</w:t>
            </w:r>
            <w:r w:rsidRPr="00B97AFC">
              <w:rPr>
                <w:rFonts w:cs="Arial"/>
                <w:color w:val="000000"/>
                <w:lang w:val="pt-PT" w:eastAsia="en-GB"/>
              </w:rPr>
              <w:t xml:space="preserve"> </w:t>
            </w:r>
            <w:r w:rsidRPr="00B97AFC">
              <w:rPr>
                <w:rFonts w:cs="Arial"/>
                <w:color w:val="000000"/>
                <w:lang w:val="pt-PT" w:eastAsia="en-GB"/>
              </w:rPr>
              <w:br/>
              <w:t xml:space="preserve">- </w:t>
            </w:r>
            <w:r w:rsidRPr="00B97AFC">
              <w:rPr>
                <w:rFonts w:cs="Arial"/>
                <w:i/>
                <w:iCs/>
                <w:color w:val="000000"/>
                <w:lang w:val="pt-PT" w:eastAsia="en-GB"/>
              </w:rPr>
              <w:t>Cefpodoxima</w:t>
            </w:r>
            <w:r w:rsidRPr="00B97AFC">
              <w:rPr>
                <w:rFonts w:cs="Arial"/>
                <w:color w:val="000000"/>
                <w:shd w:val="clear" w:color="auto" w:fill="E1E1E1"/>
                <w:lang w:val="pt-PT" w:eastAsia="en-GB"/>
              </w:rPr>
              <w:br/>
            </w:r>
            <w:r w:rsidRPr="00B97AFC">
              <w:rPr>
                <w:rFonts w:cs="Arial"/>
                <w:color w:val="000000"/>
                <w:lang w:val="pt-PT" w:eastAsia="en-GB"/>
              </w:rPr>
              <w:t xml:space="preserve">- </w:t>
            </w:r>
            <w:r w:rsidRPr="00B97AFC">
              <w:rPr>
                <w:rFonts w:cs="Arial"/>
                <w:i/>
                <w:iCs/>
                <w:color w:val="000000"/>
                <w:lang w:val="pt-PT" w:eastAsia="en-GB"/>
              </w:rPr>
              <w:t>Cefotaxima</w:t>
            </w:r>
            <w:r w:rsidRPr="00B97AFC">
              <w:rPr>
                <w:rFonts w:cs="Arial"/>
                <w:color w:val="000000"/>
                <w:lang w:val="pt-PT" w:eastAsia="en-GB"/>
              </w:rPr>
              <w:t xml:space="preserve"> </w:t>
            </w:r>
            <w:r w:rsidRPr="00B97AFC">
              <w:rPr>
                <w:rFonts w:cs="Arial"/>
                <w:color w:val="000000"/>
                <w:lang w:val="pt-PT" w:eastAsia="en-GB"/>
              </w:rPr>
              <w:br/>
              <w:t xml:space="preserve">- </w:t>
            </w:r>
            <w:r w:rsidRPr="00B97AFC">
              <w:rPr>
                <w:rFonts w:cs="Arial"/>
                <w:i/>
                <w:iCs/>
                <w:color w:val="000000"/>
                <w:lang w:val="pt-PT" w:eastAsia="en-GB"/>
              </w:rPr>
              <w:t>Ceftazidima</w:t>
            </w:r>
          </w:p>
        </w:tc>
        <w:tc>
          <w:tcPr>
            <w:tcW w:w="806" w:type="pct"/>
            <w:vMerge/>
            <w:vAlign w:val="center"/>
          </w:tcPr>
          <w:p w:rsidR="00FC442D" w:rsidRPr="00B97AFC" w:rsidRDefault="00FC442D" w:rsidP="00FC442D">
            <w:pPr>
              <w:rPr>
                <w:rFonts w:cs="Arial"/>
                <w:color w:val="000000"/>
                <w:lang w:val="pt-PT" w:eastAsia="en-GB"/>
              </w:rPr>
            </w:pPr>
          </w:p>
        </w:tc>
        <w:tc>
          <w:tcPr>
            <w:tcW w:w="806" w:type="pct"/>
            <w:vMerge/>
            <w:vAlign w:val="center"/>
          </w:tcPr>
          <w:p w:rsidR="00FC442D" w:rsidRPr="00B97AFC" w:rsidRDefault="00FC442D" w:rsidP="00FC442D">
            <w:pPr>
              <w:rPr>
                <w:rFonts w:cs="Arial"/>
                <w:color w:val="000000"/>
                <w:lang w:val="pt-PT" w:eastAsia="en-GB"/>
              </w:rPr>
            </w:pPr>
          </w:p>
        </w:tc>
        <w:tc>
          <w:tcPr>
            <w:tcW w:w="929" w:type="pct"/>
            <w:vMerge/>
            <w:vAlign w:val="center"/>
          </w:tcPr>
          <w:p w:rsidR="00FC442D" w:rsidRPr="00B97AFC" w:rsidRDefault="00FC442D" w:rsidP="00FC442D">
            <w:pPr>
              <w:rPr>
                <w:rFonts w:cs="Arial"/>
                <w:color w:val="000000"/>
                <w:lang w:val="pt-PT" w:eastAsia="en-GB"/>
              </w:rPr>
            </w:pPr>
          </w:p>
        </w:tc>
        <w:tc>
          <w:tcPr>
            <w:tcW w:w="656" w:type="pct"/>
            <w:vMerge/>
            <w:vAlign w:val="center"/>
          </w:tcPr>
          <w:p w:rsidR="00FC442D" w:rsidRPr="00B97AFC" w:rsidRDefault="00FC442D" w:rsidP="00FC442D">
            <w:pPr>
              <w:rPr>
                <w:rFonts w:cs="Arial"/>
                <w:color w:val="000000"/>
                <w:lang w:val="pt-PT" w:eastAsia="en-GB"/>
              </w:rPr>
            </w:pPr>
          </w:p>
        </w:tc>
      </w:tr>
      <w:tr w:rsidR="00FC442D" w:rsidRPr="00B97AFC" w:rsidTr="00AD66DD">
        <w:trPr>
          <w:trHeight w:val="540"/>
          <w:tblCellSpacing w:w="15" w:type="dxa"/>
        </w:trPr>
        <w:tc>
          <w:tcPr>
            <w:tcW w:w="925" w:type="pct"/>
            <w:vMerge w:val="restart"/>
            <w:shd w:val="clear" w:color="auto" w:fill="E1E1E1"/>
            <w:vAlign w:val="center"/>
          </w:tcPr>
          <w:p w:rsidR="00FC442D" w:rsidRPr="00B97AFC" w:rsidRDefault="00FC442D" w:rsidP="00FC442D">
            <w:pPr>
              <w:jc w:val="center"/>
              <w:rPr>
                <w:rFonts w:cs="Arial"/>
                <w:color w:val="000000"/>
                <w:lang w:eastAsia="en-GB"/>
              </w:rPr>
            </w:pPr>
            <w:r w:rsidRPr="00B97AFC">
              <w:rPr>
                <w:rFonts w:cs="Arial"/>
                <w:b/>
                <w:bCs/>
                <w:color w:val="000000"/>
                <w:lang w:eastAsia="en-GB"/>
              </w:rPr>
              <w:lastRenderedPageBreak/>
              <w:t xml:space="preserve">Aminosídeos </w:t>
            </w:r>
            <w:r w:rsidRPr="00B97AFC">
              <w:rPr>
                <w:rFonts w:cs="Arial"/>
                <w:color w:val="000000"/>
                <w:lang w:eastAsia="en-GB"/>
              </w:rPr>
              <w:t>(Aminoglicosídeos)</w:t>
            </w:r>
          </w:p>
        </w:tc>
        <w:tc>
          <w:tcPr>
            <w:tcW w:w="776" w:type="pct"/>
            <w:shd w:val="clear" w:color="auto" w:fill="E1E1E1"/>
            <w:vAlign w:val="center"/>
          </w:tcPr>
          <w:p w:rsidR="00FC442D" w:rsidRPr="00B97AFC" w:rsidRDefault="00FC442D" w:rsidP="00FC442D">
            <w:pPr>
              <w:jc w:val="center"/>
              <w:rPr>
                <w:rFonts w:cs="Arial"/>
                <w:b/>
                <w:color w:val="000000"/>
                <w:lang w:eastAsia="en-GB"/>
              </w:rPr>
            </w:pPr>
            <w:r w:rsidRPr="00B97AFC">
              <w:rPr>
                <w:rFonts w:cs="Arial"/>
                <w:b/>
                <w:i/>
                <w:iCs/>
                <w:color w:val="000000"/>
                <w:lang w:eastAsia="en-GB"/>
              </w:rPr>
              <w:t xml:space="preserve">Estreptomicina </w:t>
            </w:r>
          </w:p>
        </w:tc>
        <w:tc>
          <w:tcPr>
            <w:tcW w:w="806" w:type="pct"/>
            <w:shd w:val="clear" w:color="auto" w:fill="E1E1E1"/>
            <w:vAlign w:val="center"/>
          </w:tcPr>
          <w:p w:rsidR="00FC442D" w:rsidRPr="00B97AFC" w:rsidRDefault="009A56D9" w:rsidP="00FC442D">
            <w:pPr>
              <w:jc w:val="center"/>
              <w:rPr>
                <w:rFonts w:cs="Arial"/>
                <w:lang w:eastAsia="en-GB"/>
              </w:rPr>
            </w:pPr>
            <w:hyperlink r:id="rId154" w:history="1">
              <w:r w:rsidR="00FC442D" w:rsidRPr="00B97AFC">
                <w:rPr>
                  <w:rFonts w:cs="Arial"/>
                  <w:lang w:eastAsia="en-GB"/>
                </w:rPr>
                <w:t>Tuberculose</w:t>
              </w:r>
            </w:hyperlink>
          </w:p>
          <w:p w:rsidR="00FC442D" w:rsidRPr="00B97AFC" w:rsidRDefault="00FC442D" w:rsidP="00FC442D">
            <w:pPr>
              <w:jc w:val="center"/>
              <w:rPr>
                <w:rFonts w:cs="Arial"/>
                <w:lang w:eastAsia="en-GB"/>
              </w:rPr>
            </w:pPr>
            <w:r w:rsidRPr="00B97AFC">
              <w:rPr>
                <w:rFonts w:cs="Arial"/>
                <w:lang w:eastAsia="en-GB"/>
              </w:rPr>
              <w:t xml:space="preserve">Brucelose </w:t>
            </w:r>
          </w:p>
        </w:tc>
        <w:tc>
          <w:tcPr>
            <w:tcW w:w="806" w:type="pct"/>
            <w:vMerge w:val="restart"/>
            <w:shd w:val="clear" w:color="auto" w:fill="E1E1E1"/>
            <w:vAlign w:val="center"/>
          </w:tcPr>
          <w:p w:rsidR="00FC442D" w:rsidRPr="00B97AFC" w:rsidRDefault="00FC442D" w:rsidP="00FC442D">
            <w:pPr>
              <w:jc w:val="center"/>
              <w:rPr>
                <w:rFonts w:cs="Arial"/>
                <w:color w:val="000000"/>
                <w:lang w:val="pt-PT" w:eastAsia="en-GB"/>
              </w:rPr>
            </w:pPr>
            <w:r w:rsidRPr="00B97AFC">
              <w:rPr>
                <w:rFonts w:cs="Arial"/>
                <w:color w:val="000000"/>
                <w:lang w:val="pt-PT" w:eastAsia="en-GB"/>
              </w:rPr>
              <w:t>Toxicidade na região da audição (otoxicidade) e renal (nefrotoxicidade) em geral reversível</w:t>
            </w:r>
          </w:p>
        </w:tc>
        <w:tc>
          <w:tcPr>
            <w:tcW w:w="929" w:type="pct"/>
            <w:vMerge w:val="restart"/>
            <w:shd w:val="clear" w:color="auto" w:fill="E1E1E1"/>
            <w:vAlign w:val="center"/>
          </w:tcPr>
          <w:p w:rsidR="00FC442D" w:rsidRPr="00B97AFC" w:rsidRDefault="00FC442D" w:rsidP="00FC442D">
            <w:pPr>
              <w:jc w:val="center"/>
              <w:rPr>
                <w:rFonts w:cs="Arial"/>
                <w:color w:val="000000"/>
                <w:lang w:val="pt-PT" w:eastAsia="en-GB"/>
              </w:rPr>
            </w:pPr>
            <w:r w:rsidRPr="00B97AFC">
              <w:rPr>
                <w:rFonts w:cs="Arial"/>
                <w:color w:val="000000"/>
                <w:lang w:val="pt-PT" w:eastAsia="en-GB"/>
              </w:rPr>
              <w:t>Inibidores da síntese protéica (bactericida)</w:t>
            </w:r>
          </w:p>
        </w:tc>
        <w:tc>
          <w:tcPr>
            <w:tcW w:w="656" w:type="pct"/>
            <w:vMerge w:val="restart"/>
            <w:shd w:val="clear" w:color="auto" w:fill="E1E1E1"/>
            <w:vAlign w:val="center"/>
          </w:tcPr>
          <w:p w:rsidR="00FC442D" w:rsidRPr="00B97AFC" w:rsidRDefault="00FC442D" w:rsidP="00FC442D">
            <w:pPr>
              <w:jc w:val="center"/>
              <w:rPr>
                <w:rFonts w:cs="Arial"/>
                <w:color w:val="000000"/>
                <w:lang w:eastAsia="en-GB"/>
              </w:rPr>
            </w:pPr>
            <w:r w:rsidRPr="00B97AFC">
              <w:rPr>
                <w:rFonts w:cs="Arial"/>
                <w:color w:val="000000"/>
                <w:lang w:eastAsia="en-GB"/>
              </w:rPr>
              <w:t>- Via Oral, parenteral, local</w:t>
            </w:r>
          </w:p>
        </w:tc>
      </w:tr>
      <w:tr w:rsidR="00FC442D" w:rsidRPr="00FC6E81" w:rsidTr="00AD66DD">
        <w:trPr>
          <w:tblCellSpacing w:w="15" w:type="dxa"/>
        </w:trPr>
        <w:tc>
          <w:tcPr>
            <w:tcW w:w="925" w:type="pct"/>
            <w:vMerge/>
            <w:vAlign w:val="center"/>
          </w:tcPr>
          <w:p w:rsidR="00FC442D" w:rsidRPr="00B97AFC" w:rsidRDefault="00FC442D" w:rsidP="00FC442D">
            <w:pPr>
              <w:rPr>
                <w:rFonts w:cs="Arial"/>
                <w:color w:val="000000"/>
                <w:lang w:eastAsia="en-GB"/>
              </w:rPr>
            </w:pPr>
          </w:p>
        </w:tc>
        <w:tc>
          <w:tcPr>
            <w:tcW w:w="776" w:type="pct"/>
            <w:shd w:val="clear" w:color="auto" w:fill="E1E1E1"/>
            <w:vAlign w:val="center"/>
          </w:tcPr>
          <w:p w:rsidR="00FC442D" w:rsidRPr="00B97AFC" w:rsidRDefault="00FC442D" w:rsidP="00FC442D">
            <w:pPr>
              <w:jc w:val="center"/>
              <w:rPr>
                <w:rFonts w:cs="Arial"/>
                <w:color w:val="000000"/>
                <w:lang w:eastAsia="en-GB"/>
              </w:rPr>
            </w:pPr>
            <w:r w:rsidRPr="00B97AFC">
              <w:rPr>
                <w:rFonts w:cs="Arial"/>
                <w:i/>
                <w:iCs/>
                <w:color w:val="000000"/>
                <w:lang w:eastAsia="en-GB"/>
              </w:rPr>
              <w:t>Neomicina</w:t>
            </w:r>
            <w:r w:rsidRPr="00B97AFC">
              <w:rPr>
                <w:rFonts w:cs="Arial"/>
                <w:color w:val="000000"/>
                <w:lang w:eastAsia="en-GB"/>
              </w:rPr>
              <w:t xml:space="preserve"> </w:t>
            </w:r>
          </w:p>
        </w:tc>
        <w:tc>
          <w:tcPr>
            <w:tcW w:w="806" w:type="pct"/>
            <w:vMerge w:val="restart"/>
            <w:shd w:val="clear" w:color="auto" w:fill="E1E1E1"/>
            <w:vAlign w:val="center"/>
          </w:tcPr>
          <w:p w:rsidR="00FC442D" w:rsidRPr="00B97AFC" w:rsidRDefault="00FC442D" w:rsidP="00FC442D">
            <w:pPr>
              <w:jc w:val="center"/>
              <w:rPr>
                <w:rFonts w:cs="Arial"/>
                <w:color w:val="000000"/>
                <w:lang w:val="pt-PT" w:eastAsia="en-GB"/>
              </w:rPr>
            </w:pPr>
            <w:r w:rsidRPr="00B97AFC">
              <w:rPr>
                <w:rFonts w:cs="Arial"/>
                <w:color w:val="000000"/>
                <w:lang w:val="pt-PT" w:eastAsia="en-GB"/>
              </w:rPr>
              <w:t>Activa contra bactérias gram negativas aeróbicas (salmonella, escherichia coli, pseudomonas aeroginosa),</w:t>
            </w:r>
          </w:p>
          <w:p w:rsidR="00FC442D" w:rsidRPr="00B97AFC" w:rsidRDefault="00FC442D" w:rsidP="00FC442D">
            <w:pPr>
              <w:jc w:val="center"/>
              <w:rPr>
                <w:rFonts w:cs="Arial"/>
                <w:color w:val="000000"/>
                <w:lang w:val="pt-PT" w:eastAsia="en-GB"/>
              </w:rPr>
            </w:pPr>
            <w:r w:rsidRPr="00B97AFC">
              <w:rPr>
                <w:rFonts w:cs="Arial"/>
                <w:color w:val="000000"/>
                <w:lang w:val="pt-PT" w:eastAsia="en-GB"/>
              </w:rPr>
              <w:t xml:space="preserve"> Na sépsis</w:t>
            </w:r>
          </w:p>
          <w:p w:rsidR="00FC442D" w:rsidRPr="00B97AFC" w:rsidRDefault="00FC442D" w:rsidP="00FC442D">
            <w:pPr>
              <w:jc w:val="center"/>
              <w:rPr>
                <w:rFonts w:cs="Arial"/>
                <w:color w:val="000000"/>
                <w:lang w:val="pt-PT" w:eastAsia="en-GB"/>
              </w:rPr>
            </w:pPr>
          </w:p>
          <w:p w:rsidR="00FC442D" w:rsidRPr="00B97AFC" w:rsidRDefault="00FC442D" w:rsidP="00FC442D">
            <w:pPr>
              <w:jc w:val="center"/>
              <w:rPr>
                <w:rFonts w:cs="Arial"/>
                <w:color w:val="000000"/>
                <w:lang w:val="pt-PT" w:eastAsia="en-GB"/>
              </w:rPr>
            </w:pPr>
            <w:r w:rsidRPr="00B97AFC">
              <w:rPr>
                <w:rFonts w:cs="Arial"/>
                <w:color w:val="000000"/>
                <w:lang w:val="pt-PT" w:eastAsia="en-GB"/>
              </w:rPr>
              <w:t>A Kanamicina é útil no tratamento da tuberculose multidroga-resistente</w:t>
            </w:r>
          </w:p>
        </w:tc>
        <w:tc>
          <w:tcPr>
            <w:tcW w:w="806" w:type="pct"/>
            <w:vMerge/>
            <w:vAlign w:val="center"/>
          </w:tcPr>
          <w:p w:rsidR="00FC442D" w:rsidRPr="00B97AFC" w:rsidRDefault="00FC442D" w:rsidP="00FC442D">
            <w:pPr>
              <w:rPr>
                <w:rFonts w:cs="Arial"/>
                <w:color w:val="000000"/>
                <w:lang w:val="pt-PT" w:eastAsia="en-GB"/>
              </w:rPr>
            </w:pPr>
          </w:p>
        </w:tc>
        <w:tc>
          <w:tcPr>
            <w:tcW w:w="929" w:type="pct"/>
            <w:vMerge/>
            <w:vAlign w:val="center"/>
          </w:tcPr>
          <w:p w:rsidR="00FC442D" w:rsidRPr="00B97AFC" w:rsidRDefault="00FC442D" w:rsidP="00FC442D">
            <w:pPr>
              <w:rPr>
                <w:rFonts w:cs="Arial"/>
                <w:color w:val="000000"/>
                <w:lang w:val="pt-PT" w:eastAsia="en-GB"/>
              </w:rPr>
            </w:pPr>
          </w:p>
        </w:tc>
        <w:tc>
          <w:tcPr>
            <w:tcW w:w="656" w:type="pct"/>
            <w:vMerge/>
            <w:vAlign w:val="center"/>
          </w:tcPr>
          <w:p w:rsidR="00FC442D" w:rsidRPr="00B97AFC" w:rsidRDefault="00FC442D" w:rsidP="00FC442D">
            <w:pPr>
              <w:rPr>
                <w:rFonts w:cs="Arial"/>
                <w:color w:val="000000"/>
                <w:lang w:val="pt-PT" w:eastAsia="en-GB"/>
              </w:rPr>
            </w:pPr>
          </w:p>
        </w:tc>
      </w:tr>
      <w:tr w:rsidR="00FC442D" w:rsidRPr="00B97AFC" w:rsidTr="00AD66DD">
        <w:trPr>
          <w:tblCellSpacing w:w="15" w:type="dxa"/>
        </w:trPr>
        <w:tc>
          <w:tcPr>
            <w:tcW w:w="925" w:type="pct"/>
            <w:vMerge/>
            <w:vAlign w:val="center"/>
          </w:tcPr>
          <w:p w:rsidR="00FC442D" w:rsidRPr="00B97AFC" w:rsidRDefault="00FC442D" w:rsidP="00FC442D">
            <w:pPr>
              <w:rPr>
                <w:rFonts w:cs="Arial"/>
                <w:color w:val="000000"/>
                <w:lang w:val="pt-PT" w:eastAsia="en-GB"/>
              </w:rPr>
            </w:pPr>
          </w:p>
        </w:tc>
        <w:tc>
          <w:tcPr>
            <w:tcW w:w="776" w:type="pct"/>
            <w:shd w:val="clear" w:color="auto" w:fill="E1E1E1"/>
            <w:vAlign w:val="center"/>
          </w:tcPr>
          <w:p w:rsidR="00FC442D" w:rsidRPr="00181BC2" w:rsidRDefault="00FC442D" w:rsidP="00FC442D">
            <w:pPr>
              <w:jc w:val="center"/>
              <w:rPr>
                <w:rFonts w:cs="Arial"/>
                <w:b/>
                <w:color w:val="000000"/>
                <w:lang w:eastAsia="en-GB"/>
              </w:rPr>
            </w:pPr>
            <w:r w:rsidRPr="00181BC2">
              <w:rPr>
                <w:rFonts w:cs="Arial"/>
                <w:b/>
                <w:i/>
                <w:iCs/>
                <w:color w:val="000000"/>
                <w:lang w:eastAsia="en-GB"/>
              </w:rPr>
              <w:t xml:space="preserve">Kanamicina </w:t>
            </w:r>
          </w:p>
        </w:tc>
        <w:tc>
          <w:tcPr>
            <w:tcW w:w="806" w:type="pct"/>
            <w:vMerge/>
            <w:vAlign w:val="center"/>
          </w:tcPr>
          <w:p w:rsidR="00FC442D" w:rsidRPr="00B97AFC" w:rsidRDefault="00FC442D" w:rsidP="00FC442D">
            <w:pPr>
              <w:rPr>
                <w:rFonts w:cs="Arial"/>
                <w:color w:val="000000"/>
                <w:lang w:eastAsia="en-GB"/>
              </w:rPr>
            </w:pPr>
          </w:p>
        </w:tc>
        <w:tc>
          <w:tcPr>
            <w:tcW w:w="806" w:type="pct"/>
            <w:vMerge/>
            <w:vAlign w:val="center"/>
          </w:tcPr>
          <w:p w:rsidR="00FC442D" w:rsidRPr="00B97AFC" w:rsidRDefault="00FC442D" w:rsidP="00FC442D">
            <w:pPr>
              <w:rPr>
                <w:rFonts w:cs="Arial"/>
                <w:color w:val="000000"/>
                <w:lang w:eastAsia="en-GB"/>
              </w:rPr>
            </w:pPr>
          </w:p>
        </w:tc>
        <w:tc>
          <w:tcPr>
            <w:tcW w:w="929" w:type="pct"/>
            <w:vMerge/>
            <w:vAlign w:val="center"/>
          </w:tcPr>
          <w:p w:rsidR="00FC442D" w:rsidRPr="00B97AFC" w:rsidRDefault="00FC442D" w:rsidP="00FC442D">
            <w:pPr>
              <w:rPr>
                <w:rFonts w:cs="Arial"/>
                <w:color w:val="000000"/>
                <w:lang w:eastAsia="en-GB"/>
              </w:rPr>
            </w:pPr>
          </w:p>
        </w:tc>
        <w:tc>
          <w:tcPr>
            <w:tcW w:w="656" w:type="pct"/>
            <w:vMerge/>
            <w:vAlign w:val="center"/>
          </w:tcPr>
          <w:p w:rsidR="00FC442D" w:rsidRPr="00B97AFC" w:rsidRDefault="00FC442D" w:rsidP="00FC442D">
            <w:pPr>
              <w:rPr>
                <w:rFonts w:cs="Arial"/>
                <w:color w:val="000000"/>
                <w:lang w:eastAsia="en-GB"/>
              </w:rPr>
            </w:pPr>
          </w:p>
        </w:tc>
      </w:tr>
      <w:tr w:rsidR="00FC442D" w:rsidRPr="00B97AFC" w:rsidTr="00AD66DD">
        <w:trPr>
          <w:trHeight w:val="495"/>
          <w:tblCellSpacing w:w="15" w:type="dxa"/>
        </w:trPr>
        <w:tc>
          <w:tcPr>
            <w:tcW w:w="925" w:type="pct"/>
            <w:vMerge/>
            <w:vAlign w:val="center"/>
          </w:tcPr>
          <w:p w:rsidR="00FC442D" w:rsidRPr="00B97AFC" w:rsidRDefault="00FC442D" w:rsidP="00FC442D">
            <w:pPr>
              <w:rPr>
                <w:rFonts w:cs="Arial"/>
                <w:color w:val="000000"/>
                <w:lang w:eastAsia="en-GB"/>
              </w:rPr>
            </w:pPr>
          </w:p>
        </w:tc>
        <w:tc>
          <w:tcPr>
            <w:tcW w:w="776" w:type="pct"/>
            <w:shd w:val="clear" w:color="auto" w:fill="E1E1E1"/>
            <w:vAlign w:val="center"/>
          </w:tcPr>
          <w:p w:rsidR="00FC442D" w:rsidRPr="00181BC2" w:rsidRDefault="00FC442D" w:rsidP="00FC442D">
            <w:pPr>
              <w:jc w:val="center"/>
              <w:rPr>
                <w:rFonts w:cs="Arial"/>
                <w:b/>
                <w:color w:val="000000"/>
                <w:lang w:eastAsia="en-GB"/>
              </w:rPr>
            </w:pPr>
            <w:r w:rsidRPr="00181BC2">
              <w:rPr>
                <w:rFonts w:cs="Arial"/>
                <w:b/>
                <w:i/>
                <w:iCs/>
                <w:color w:val="000000"/>
                <w:lang w:eastAsia="en-GB"/>
              </w:rPr>
              <w:t>Amikacina</w:t>
            </w:r>
            <w:r w:rsidRPr="00181BC2">
              <w:rPr>
                <w:rFonts w:cs="Arial"/>
                <w:b/>
                <w:color w:val="000000"/>
                <w:lang w:eastAsia="en-GB"/>
              </w:rPr>
              <w:t xml:space="preserve"> </w:t>
            </w:r>
          </w:p>
        </w:tc>
        <w:tc>
          <w:tcPr>
            <w:tcW w:w="806" w:type="pct"/>
            <w:vMerge/>
            <w:vAlign w:val="center"/>
          </w:tcPr>
          <w:p w:rsidR="00FC442D" w:rsidRPr="00B97AFC" w:rsidRDefault="00FC442D" w:rsidP="00FC442D">
            <w:pPr>
              <w:rPr>
                <w:rFonts w:cs="Arial"/>
                <w:color w:val="000000"/>
                <w:lang w:eastAsia="en-GB"/>
              </w:rPr>
            </w:pPr>
          </w:p>
        </w:tc>
        <w:tc>
          <w:tcPr>
            <w:tcW w:w="806" w:type="pct"/>
            <w:vMerge/>
            <w:vAlign w:val="center"/>
          </w:tcPr>
          <w:p w:rsidR="00FC442D" w:rsidRPr="00B97AFC" w:rsidRDefault="00FC442D" w:rsidP="00FC442D">
            <w:pPr>
              <w:rPr>
                <w:rFonts w:cs="Arial"/>
                <w:color w:val="000000"/>
                <w:lang w:eastAsia="en-GB"/>
              </w:rPr>
            </w:pPr>
          </w:p>
        </w:tc>
        <w:tc>
          <w:tcPr>
            <w:tcW w:w="929" w:type="pct"/>
            <w:vMerge/>
            <w:vAlign w:val="center"/>
          </w:tcPr>
          <w:p w:rsidR="00FC442D" w:rsidRPr="00B97AFC" w:rsidRDefault="00FC442D" w:rsidP="00FC442D">
            <w:pPr>
              <w:rPr>
                <w:rFonts w:cs="Arial"/>
                <w:color w:val="000000"/>
                <w:lang w:eastAsia="en-GB"/>
              </w:rPr>
            </w:pPr>
          </w:p>
        </w:tc>
        <w:tc>
          <w:tcPr>
            <w:tcW w:w="656" w:type="pct"/>
            <w:vMerge/>
            <w:vAlign w:val="center"/>
          </w:tcPr>
          <w:p w:rsidR="00FC442D" w:rsidRPr="00B97AFC" w:rsidRDefault="00FC442D" w:rsidP="00FC442D">
            <w:pPr>
              <w:rPr>
                <w:rFonts w:cs="Arial"/>
                <w:color w:val="000000"/>
                <w:lang w:eastAsia="en-GB"/>
              </w:rPr>
            </w:pPr>
          </w:p>
        </w:tc>
      </w:tr>
      <w:tr w:rsidR="00FC442D" w:rsidRPr="00B97AFC" w:rsidTr="00AD66DD">
        <w:trPr>
          <w:tblCellSpacing w:w="15" w:type="dxa"/>
        </w:trPr>
        <w:tc>
          <w:tcPr>
            <w:tcW w:w="925" w:type="pct"/>
            <w:vMerge/>
            <w:vAlign w:val="center"/>
          </w:tcPr>
          <w:p w:rsidR="00FC442D" w:rsidRPr="00B97AFC" w:rsidRDefault="00FC442D" w:rsidP="00FC442D">
            <w:pPr>
              <w:rPr>
                <w:rFonts w:cs="Arial"/>
                <w:color w:val="000000"/>
                <w:lang w:eastAsia="en-GB"/>
              </w:rPr>
            </w:pPr>
          </w:p>
        </w:tc>
        <w:tc>
          <w:tcPr>
            <w:tcW w:w="776" w:type="pct"/>
            <w:shd w:val="clear" w:color="auto" w:fill="E1E1E1"/>
            <w:vAlign w:val="center"/>
          </w:tcPr>
          <w:p w:rsidR="00FC442D" w:rsidRPr="00B97AFC" w:rsidRDefault="00FC442D" w:rsidP="00FC442D">
            <w:pPr>
              <w:jc w:val="center"/>
              <w:rPr>
                <w:rFonts w:cs="Arial"/>
                <w:b/>
                <w:color w:val="000000"/>
                <w:lang w:eastAsia="en-GB"/>
              </w:rPr>
            </w:pPr>
            <w:r w:rsidRPr="00B97AFC">
              <w:rPr>
                <w:rFonts w:cs="Arial"/>
                <w:b/>
                <w:i/>
                <w:iCs/>
                <w:color w:val="000000"/>
                <w:lang w:eastAsia="en-GB"/>
              </w:rPr>
              <w:t>Gentamicina</w:t>
            </w:r>
            <w:r w:rsidRPr="00B97AFC">
              <w:rPr>
                <w:rFonts w:cs="Arial"/>
                <w:b/>
                <w:color w:val="000000"/>
                <w:lang w:eastAsia="en-GB"/>
              </w:rPr>
              <w:t xml:space="preserve"> </w:t>
            </w:r>
          </w:p>
        </w:tc>
        <w:tc>
          <w:tcPr>
            <w:tcW w:w="806" w:type="pct"/>
            <w:vMerge/>
            <w:vAlign w:val="center"/>
          </w:tcPr>
          <w:p w:rsidR="00FC442D" w:rsidRPr="00B97AFC" w:rsidRDefault="00FC442D" w:rsidP="00FC442D">
            <w:pPr>
              <w:rPr>
                <w:rFonts w:cs="Arial"/>
                <w:color w:val="000000"/>
                <w:lang w:eastAsia="en-GB"/>
              </w:rPr>
            </w:pPr>
          </w:p>
        </w:tc>
        <w:tc>
          <w:tcPr>
            <w:tcW w:w="806" w:type="pct"/>
            <w:vMerge/>
            <w:vAlign w:val="center"/>
          </w:tcPr>
          <w:p w:rsidR="00FC442D" w:rsidRPr="00B97AFC" w:rsidRDefault="00FC442D" w:rsidP="00FC442D">
            <w:pPr>
              <w:rPr>
                <w:rFonts w:cs="Arial"/>
                <w:color w:val="000000"/>
                <w:lang w:eastAsia="en-GB"/>
              </w:rPr>
            </w:pPr>
          </w:p>
        </w:tc>
        <w:tc>
          <w:tcPr>
            <w:tcW w:w="929" w:type="pct"/>
            <w:vMerge/>
            <w:vAlign w:val="center"/>
          </w:tcPr>
          <w:p w:rsidR="00FC442D" w:rsidRPr="00B97AFC" w:rsidRDefault="00FC442D" w:rsidP="00FC442D">
            <w:pPr>
              <w:rPr>
                <w:rFonts w:cs="Arial"/>
                <w:color w:val="000000"/>
                <w:lang w:eastAsia="en-GB"/>
              </w:rPr>
            </w:pPr>
          </w:p>
        </w:tc>
        <w:tc>
          <w:tcPr>
            <w:tcW w:w="656" w:type="pct"/>
            <w:vMerge/>
            <w:vAlign w:val="center"/>
          </w:tcPr>
          <w:p w:rsidR="00FC442D" w:rsidRPr="00B97AFC" w:rsidRDefault="00FC442D" w:rsidP="00FC442D">
            <w:pPr>
              <w:rPr>
                <w:rFonts w:cs="Arial"/>
                <w:color w:val="000000"/>
                <w:lang w:eastAsia="en-GB"/>
              </w:rPr>
            </w:pPr>
          </w:p>
        </w:tc>
      </w:tr>
      <w:tr w:rsidR="00FC442D" w:rsidRPr="00B97AFC" w:rsidTr="00AD66DD">
        <w:trPr>
          <w:trHeight w:val="3570"/>
          <w:tblCellSpacing w:w="15" w:type="dxa"/>
        </w:trPr>
        <w:tc>
          <w:tcPr>
            <w:tcW w:w="925" w:type="pct"/>
            <w:shd w:val="clear" w:color="auto" w:fill="E1E1E1"/>
            <w:vAlign w:val="center"/>
          </w:tcPr>
          <w:p w:rsidR="00FC442D" w:rsidRPr="00B97AFC" w:rsidRDefault="00FC442D" w:rsidP="00FC442D">
            <w:pPr>
              <w:jc w:val="center"/>
              <w:rPr>
                <w:rFonts w:cs="Arial"/>
                <w:color w:val="000000"/>
                <w:lang w:eastAsia="en-GB"/>
              </w:rPr>
            </w:pPr>
            <w:r w:rsidRPr="00B97AFC">
              <w:rPr>
                <w:rFonts w:cs="Arial"/>
                <w:b/>
                <w:bCs/>
                <w:color w:val="000000"/>
                <w:lang w:eastAsia="en-GB"/>
              </w:rPr>
              <w:t>Macrólidos</w:t>
            </w:r>
          </w:p>
        </w:tc>
        <w:tc>
          <w:tcPr>
            <w:tcW w:w="776" w:type="pct"/>
            <w:shd w:val="clear" w:color="auto" w:fill="E1E1E1"/>
            <w:vAlign w:val="center"/>
          </w:tcPr>
          <w:p w:rsidR="00FC442D" w:rsidRPr="00B97AFC" w:rsidRDefault="00FC442D" w:rsidP="00FC442D">
            <w:pPr>
              <w:spacing w:before="100" w:beforeAutospacing="1" w:after="100" w:afterAutospacing="1"/>
              <w:jc w:val="center"/>
              <w:rPr>
                <w:rFonts w:cs="Arial"/>
                <w:b/>
                <w:color w:val="000000"/>
                <w:lang w:eastAsia="en-GB"/>
              </w:rPr>
            </w:pPr>
            <w:r w:rsidRPr="00B97AFC">
              <w:rPr>
                <w:rFonts w:cs="Arial"/>
                <w:b/>
                <w:i/>
                <w:iCs/>
                <w:color w:val="000000"/>
                <w:lang w:eastAsia="en-GB"/>
              </w:rPr>
              <w:t>Azitromicina</w:t>
            </w:r>
            <w:r w:rsidRPr="00B97AFC">
              <w:rPr>
                <w:rFonts w:cs="Arial"/>
                <w:b/>
                <w:color w:val="000000"/>
                <w:lang w:eastAsia="en-GB"/>
              </w:rPr>
              <w:t xml:space="preserve"> </w:t>
            </w:r>
          </w:p>
          <w:p w:rsidR="00FC442D" w:rsidRPr="00B97AFC" w:rsidRDefault="00FC442D" w:rsidP="00FC442D">
            <w:pPr>
              <w:spacing w:before="100" w:beforeAutospacing="1" w:after="100" w:afterAutospacing="1"/>
              <w:jc w:val="center"/>
              <w:rPr>
                <w:rFonts w:cs="Arial"/>
                <w:b/>
                <w:color w:val="000000"/>
                <w:lang w:eastAsia="en-GB"/>
              </w:rPr>
            </w:pPr>
            <w:r w:rsidRPr="00B97AFC">
              <w:rPr>
                <w:rFonts w:cs="Arial"/>
                <w:b/>
                <w:i/>
                <w:iCs/>
                <w:color w:val="000000"/>
                <w:lang w:eastAsia="en-GB"/>
              </w:rPr>
              <w:t>Eritromicina</w:t>
            </w:r>
            <w:r w:rsidRPr="00B97AFC">
              <w:rPr>
                <w:rFonts w:cs="Arial"/>
                <w:b/>
                <w:color w:val="000000"/>
                <w:lang w:eastAsia="en-GB"/>
              </w:rPr>
              <w:t xml:space="preserve"> </w:t>
            </w:r>
          </w:p>
          <w:p w:rsidR="00FC442D" w:rsidRPr="00B97AFC" w:rsidRDefault="00FC442D" w:rsidP="00FC442D">
            <w:pPr>
              <w:spacing w:before="100" w:beforeAutospacing="1" w:after="100" w:afterAutospacing="1"/>
              <w:jc w:val="center"/>
              <w:rPr>
                <w:rFonts w:cs="Arial"/>
                <w:color w:val="000000"/>
                <w:lang w:eastAsia="en-GB"/>
              </w:rPr>
            </w:pPr>
          </w:p>
          <w:p w:rsidR="00FC442D" w:rsidRPr="00B97AFC" w:rsidRDefault="00FC442D" w:rsidP="00FC442D">
            <w:pPr>
              <w:spacing w:before="100" w:beforeAutospacing="1" w:after="100" w:afterAutospacing="1"/>
              <w:jc w:val="center"/>
              <w:rPr>
                <w:rFonts w:cs="Arial"/>
                <w:color w:val="000000"/>
                <w:lang w:eastAsia="en-GB"/>
              </w:rPr>
            </w:pPr>
          </w:p>
        </w:tc>
        <w:tc>
          <w:tcPr>
            <w:tcW w:w="806" w:type="pct"/>
            <w:shd w:val="clear" w:color="auto" w:fill="E1E1E1"/>
            <w:vAlign w:val="center"/>
          </w:tcPr>
          <w:p w:rsidR="00FC442D" w:rsidRPr="00B97AFC" w:rsidRDefault="00FC442D" w:rsidP="00FC442D">
            <w:pPr>
              <w:jc w:val="center"/>
              <w:rPr>
                <w:rFonts w:cs="Arial"/>
                <w:color w:val="000000"/>
                <w:lang w:val="pt-PT" w:eastAsia="en-GB"/>
              </w:rPr>
            </w:pPr>
            <w:r w:rsidRPr="00B97AFC">
              <w:rPr>
                <w:rFonts w:cs="Arial"/>
                <w:color w:val="000000"/>
                <w:lang w:val="pt-PT" w:eastAsia="en-GB"/>
              </w:rPr>
              <w:t>Otites, infecções de transmissão sexual (úlceras genitais), pneumonias extra-hospitalares, alternativa as penicilinas no caso de alergia</w:t>
            </w:r>
          </w:p>
        </w:tc>
        <w:tc>
          <w:tcPr>
            <w:tcW w:w="806" w:type="pct"/>
            <w:shd w:val="clear" w:color="auto" w:fill="E1E1E1"/>
            <w:vAlign w:val="center"/>
          </w:tcPr>
          <w:p w:rsidR="00FC442D" w:rsidRPr="00B97AFC" w:rsidRDefault="00FC442D" w:rsidP="00FC442D">
            <w:pPr>
              <w:jc w:val="center"/>
              <w:rPr>
                <w:rFonts w:cs="Arial"/>
                <w:color w:val="000000"/>
                <w:lang w:val="pt-PT" w:eastAsia="en-GB"/>
              </w:rPr>
            </w:pPr>
            <w:r w:rsidRPr="00B97AFC">
              <w:rPr>
                <w:rFonts w:cs="Arial"/>
                <w:color w:val="000000"/>
                <w:lang w:val="pt-PT" w:eastAsia="en-GB"/>
              </w:rPr>
              <w:t>Intolerância gastrointestinal (dor abdominal, náuseas, vómitos)</w:t>
            </w:r>
          </w:p>
          <w:p w:rsidR="00FC442D" w:rsidRPr="00B97AFC" w:rsidRDefault="00FC442D" w:rsidP="00FC442D">
            <w:pPr>
              <w:jc w:val="center"/>
              <w:rPr>
                <w:rFonts w:cs="Arial"/>
                <w:color w:val="000000"/>
                <w:lang w:val="pt-PT" w:eastAsia="en-GB"/>
              </w:rPr>
            </w:pPr>
            <w:r>
              <w:rPr>
                <w:rFonts w:cs="Arial"/>
                <w:color w:val="000000"/>
                <w:lang w:val="pt-PT" w:eastAsia="en-GB"/>
              </w:rPr>
              <w:t>Precauções deve-</w:t>
            </w:r>
            <w:r w:rsidRPr="00B97AFC">
              <w:rPr>
                <w:rFonts w:cs="Arial"/>
                <w:color w:val="000000"/>
                <w:lang w:val="pt-PT" w:eastAsia="en-GB"/>
              </w:rPr>
              <w:t>se ter em pacientes com alteração da função hepática ou renal</w:t>
            </w:r>
          </w:p>
        </w:tc>
        <w:tc>
          <w:tcPr>
            <w:tcW w:w="929" w:type="pct"/>
            <w:shd w:val="clear" w:color="auto" w:fill="E1E1E1"/>
            <w:vAlign w:val="center"/>
          </w:tcPr>
          <w:p w:rsidR="00FC442D" w:rsidRPr="00B97AFC" w:rsidRDefault="00FC442D" w:rsidP="00FC442D">
            <w:pPr>
              <w:jc w:val="center"/>
              <w:rPr>
                <w:rFonts w:cs="Arial"/>
                <w:color w:val="000000"/>
                <w:lang w:val="pt-PT" w:eastAsia="en-GB"/>
              </w:rPr>
            </w:pPr>
            <w:r w:rsidRPr="00B97AFC">
              <w:rPr>
                <w:rFonts w:cs="Arial"/>
                <w:color w:val="000000"/>
                <w:lang w:val="pt-PT" w:eastAsia="en-GB"/>
              </w:rPr>
              <w:t xml:space="preserve">Inibidores da síntese protéica (bacteriostático) </w:t>
            </w:r>
          </w:p>
        </w:tc>
        <w:tc>
          <w:tcPr>
            <w:tcW w:w="656" w:type="pct"/>
            <w:shd w:val="clear" w:color="auto" w:fill="E1E1E1"/>
            <w:vAlign w:val="center"/>
          </w:tcPr>
          <w:p w:rsidR="00FC442D" w:rsidRPr="00B97AFC" w:rsidRDefault="00FC442D" w:rsidP="00FC442D">
            <w:pPr>
              <w:jc w:val="center"/>
              <w:rPr>
                <w:rFonts w:cs="Arial"/>
                <w:color w:val="000000"/>
                <w:lang w:eastAsia="en-GB"/>
              </w:rPr>
            </w:pPr>
            <w:r w:rsidRPr="00B97AFC">
              <w:rPr>
                <w:rFonts w:cs="Arial"/>
                <w:color w:val="000000"/>
                <w:lang w:eastAsia="en-GB"/>
              </w:rPr>
              <w:t>- Via Oral, parenteral, local</w:t>
            </w:r>
          </w:p>
        </w:tc>
      </w:tr>
      <w:tr w:rsidR="00FC442D" w:rsidRPr="00FC6E81" w:rsidTr="00AD66DD">
        <w:trPr>
          <w:tblCellSpacing w:w="15" w:type="dxa"/>
        </w:trPr>
        <w:tc>
          <w:tcPr>
            <w:tcW w:w="925" w:type="pct"/>
            <w:shd w:val="clear" w:color="auto" w:fill="009933"/>
            <w:vAlign w:val="center"/>
          </w:tcPr>
          <w:p w:rsidR="00FC442D" w:rsidRPr="00160535" w:rsidRDefault="00FC442D" w:rsidP="00FC442D">
            <w:pPr>
              <w:jc w:val="center"/>
              <w:rPr>
                <w:rFonts w:cs="Arial"/>
                <w:color w:val="000000"/>
                <w:sz w:val="20"/>
                <w:szCs w:val="20"/>
                <w:lang w:eastAsia="en-GB"/>
              </w:rPr>
            </w:pPr>
            <w:r w:rsidRPr="00160535">
              <w:rPr>
                <w:rFonts w:cs="Arial"/>
                <w:i/>
                <w:iCs/>
                <w:color w:val="FFFFFF"/>
                <w:sz w:val="20"/>
                <w:szCs w:val="20"/>
                <w:lang w:eastAsia="en-GB"/>
              </w:rPr>
              <w:t>Classe de antibióticos</w:t>
            </w:r>
          </w:p>
        </w:tc>
        <w:tc>
          <w:tcPr>
            <w:tcW w:w="776" w:type="pct"/>
            <w:shd w:val="clear" w:color="auto" w:fill="009933"/>
            <w:vAlign w:val="center"/>
          </w:tcPr>
          <w:p w:rsidR="00FC442D" w:rsidRPr="00160535" w:rsidRDefault="00FC442D" w:rsidP="00FC442D">
            <w:pPr>
              <w:jc w:val="center"/>
              <w:rPr>
                <w:rFonts w:cs="Arial"/>
                <w:color w:val="000000"/>
                <w:sz w:val="20"/>
                <w:szCs w:val="20"/>
                <w:lang w:val="pt-PT" w:eastAsia="en-GB"/>
              </w:rPr>
            </w:pPr>
            <w:r w:rsidRPr="00160535">
              <w:rPr>
                <w:rFonts w:cs="Arial"/>
                <w:i/>
                <w:iCs/>
                <w:color w:val="FFFFFF"/>
                <w:sz w:val="20"/>
                <w:szCs w:val="20"/>
                <w:lang w:val="pt-PT" w:eastAsia="en-GB"/>
              </w:rPr>
              <w:t xml:space="preserve">Principais moléculas - princípios ativos da família </w:t>
            </w:r>
          </w:p>
        </w:tc>
        <w:tc>
          <w:tcPr>
            <w:tcW w:w="806" w:type="pct"/>
            <w:shd w:val="clear" w:color="auto" w:fill="009933"/>
            <w:vAlign w:val="center"/>
          </w:tcPr>
          <w:p w:rsidR="00FC442D" w:rsidRPr="00160535" w:rsidRDefault="00FC442D" w:rsidP="00FC442D">
            <w:pPr>
              <w:jc w:val="center"/>
              <w:rPr>
                <w:rFonts w:cs="Arial"/>
                <w:i/>
                <w:iCs/>
                <w:color w:val="FFFFFF"/>
                <w:sz w:val="20"/>
                <w:szCs w:val="20"/>
                <w:lang w:eastAsia="en-GB"/>
              </w:rPr>
            </w:pPr>
            <w:r w:rsidRPr="00160535">
              <w:rPr>
                <w:rFonts w:cs="Arial"/>
                <w:i/>
                <w:iCs/>
                <w:color w:val="FFFFFF"/>
                <w:sz w:val="20"/>
                <w:szCs w:val="20"/>
                <w:lang w:eastAsia="en-GB"/>
              </w:rPr>
              <w:t>Indicações</w:t>
            </w:r>
          </w:p>
          <w:p w:rsidR="00FC442D" w:rsidRPr="00160535" w:rsidRDefault="00FC442D" w:rsidP="00FC442D">
            <w:pPr>
              <w:jc w:val="center"/>
              <w:rPr>
                <w:rFonts w:cs="Arial"/>
                <w:color w:val="000000"/>
                <w:sz w:val="20"/>
                <w:szCs w:val="20"/>
                <w:lang w:eastAsia="en-GB"/>
              </w:rPr>
            </w:pPr>
            <w:r w:rsidRPr="00160535">
              <w:rPr>
                <w:rFonts w:cs="Arial"/>
                <w:i/>
                <w:iCs/>
                <w:color w:val="FFFFFF"/>
                <w:sz w:val="20"/>
                <w:szCs w:val="20"/>
                <w:lang w:eastAsia="en-GB"/>
              </w:rPr>
              <w:t xml:space="preserve"> (ex. em geral)</w:t>
            </w:r>
          </w:p>
        </w:tc>
        <w:tc>
          <w:tcPr>
            <w:tcW w:w="806" w:type="pct"/>
            <w:shd w:val="clear" w:color="auto" w:fill="009933"/>
            <w:vAlign w:val="center"/>
          </w:tcPr>
          <w:p w:rsidR="00FC442D" w:rsidRPr="00160535" w:rsidRDefault="00FC442D" w:rsidP="00FC442D">
            <w:pPr>
              <w:jc w:val="center"/>
              <w:rPr>
                <w:rFonts w:cs="Arial"/>
                <w:color w:val="000000"/>
                <w:sz w:val="20"/>
                <w:szCs w:val="20"/>
                <w:lang w:eastAsia="en-GB"/>
              </w:rPr>
            </w:pPr>
            <w:r w:rsidRPr="00160535">
              <w:rPr>
                <w:rFonts w:cs="Arial"/>
                <w:i/>
                <w:iCs/>
                <w:color w:val="FFFFFF"/>
                <w:sz w:val="20"/>
                <w:szCs w:val="20"/>
                <w:lang w:eastAsia="en-GB"/>
              </w:rPr>
              <w:t>Efeitos secundários principais</w:t>
            </w:r>
          </w:p>
        </w:tc>
        <w:tc>
          <w:tcPr>
            <w:tcW w:w="929" w:type="pct"/>
            <w:shd w:val="clear" w:color="auto" w:fill="009933"/>
            <w:vAlign w:val="center"/>
          </w:tcPr>
          <w:p w:rsidR="00FC442D" w:rsidRPr="00160535" w:rsidRDefault="00FC442D" w:rsidP="00FC442D">
            <w:pPr>
              <w:jc w:val="center"/>
              <w:rPr>
                <w:rFonts w:cs="Arial"/>
                <w:color w:val="000000"/>
                <w:sz w:val="20"/>
                <w:szCs w:val="20"/>
                <w:lang w:val="pt-PT" w:eastAsia="en-GB"/>
              </w:rPr>
            </w:pPr>
            <w:r w:rsidRPr="00160535">
              <w:rPr>
                <w:rFonts w:cs="Arial"/>
                <w:i/>
                <w:iCs/>
                <w:color w:val="FFFFFF"/>
                <w:sz w:val="20"/>
                <w:szCs w:val="20"/>
                <w:lang w:val="pt-PT" w:eastAsia="en-GB"/>
              </w:rPr>
              <w:t>Ação sobre a bactéria (forma de ação)</w:t>
            </w:r>
          </w:p>
        </w:tc>
        <w:tc>
          <w:tcPr>
            <w:tcW w:w="656" w:type="pct"/>
            <w:shd w:val="clear" w:color="auto" w:fill="009933"/>
            <w:vAlign w:val="center"/>
          </w:tcPr>
          <w:p w:rsidR="00FC442D" w:rsidRPr="00160535" w:rsidRDefault="00FC442D" w:rsidP="00FC442D">
            <w:pPr>
              <w:jc w:val="center"/>
              <w:rPr>
                <w:rFonts w:cs="Arial"/>
                <w:color w:val="000000"/>
                <w:sz w:val="20"/>
                <w:szCs w:val="20"/>
                <w:lang w:val="pt-PT" w:eastAsia="en-GB"/>
              </w:rPr>
            </w:pPr>
            <w:r w:rsidRPr="00160535">
              <w:rPr>
                <w:rFonts w:cs="Arial"/>
                <w:i/>
                <w:iCs/>
                <w:color w:val="FFFFFF"/>
                <w:sz w:val="20"/>
                <w:szCs w:val="20"/>
                <w:lang w:val="pt-PT" w:eastAsia="en-GB"/>
              </w:rPr>
              <w:t>Formas galênicas do medicamento (em geral)</w:t>
            </w:r>
          </w:p>
        </w:tc>
      </w:tr>
      <w:tr w:rsidR="00FC442D" w:rsidRPr="00B97AFC" w:rsidTr="00AD66DD">
        <w:trPr>
          <w:trHeight w:val="600"/>
          <w:tblCellSpacing w:w="15" w:type="dxa"/>
        </w:trPr>
        <w:tc>
          <w:tcPr>
            <w:tcW w:w="925" w:type="pct"/>
            <w:shd w:val="clear" w:color="auto" w:fill="E1E1E1"/>
            <w:vAlign w:val="center"/>
          </w:tcPr>
          <w:p w:rsidR="00FC442D" w:rsidRPr="00B97AFC" w:rsidRDefault="00FC442D" w:rsidP="00FC442D">
            <w:pPr>
              <w:jc w:val="center"/>
              <w:rPr>
                <w:rFonts w:cs="Arial"/>
                <w:color w:val="000000"/>
                <w:lang w:eastAsia="en-GB"/>
              </w:rPr>
            </w:pPr>
            <w:r w:rsidRPr="00B97AFC">
              <w:rPr>
                <w:rFonts w:cs="Arial"/>
                <w:b/>
                <w:bCs/>
                <w:color w:val="000000"/>
                <w:lang w:eastAsia="en-GB"/>
              </w:rPr>
              <w:lastRenderedPageBreak/>
              <w:t>Tetraciclinas</w:t>
            </w:r>
          </w:p>
        </w:tc>
        <w:tc>
          <w:tcPr>
            <w:tcW w:w="776" w:type="pct"/>
            <w:shd w:val="clear" w:color="auto" w:fill="E1E1E1"/>
            <w:vAlign w:val="center"/>
          </w:tcPr>
          <w:p w:rsidR="00FC442D" w:rsidRPr="00B97AFC" w:rsidRDefault="00FC442D" w:rsidP="00FC442D">
            <w:pPr>
              <w:jc w:val="center"/>
              <w:rPr>
                <w:rFonts w:cs="Arial"/>
                <w:color w:val="000000"/>
                <w:lang w:val="pt-PT" w:eastAsia="en-GB"/>
              </w:rPr>
            </w:pPr>
            <w:r w:rsidRPr="00B97AFC">
              <w:rPr>
                <w:rFonts w:cs="Arial"/>
                <w:b/>
                <w:i/>
                <w:iCs/>
                <w:color w:val="000000"/>
                <w:lang w:val="pt-PT" w:eastAsia="en-GB"/>
              </w:rPr>
              <w:t>Doxiciclina</w:t>
            </w:r>
            <w:r w:rsidRPr="00B97AFC">
              <w:rPr>
                <w:rFonts w:cs="Arial"/>
                <w:color w:val="000000"/>
                <w:lang w:val="pt-PT" w:eastAsia="en-GB"/>
              </w:rPr>
              <w:t xml:space="preserve"> </w:t>
            </w:r>
            <w:r w:rsidRPr="00B97AFC">
              <w:rPr>
                <w:rFonts w:cs="Arial"/>
                <w:color w:val="000000"/>
                <w:lang w:val="pt-PT" w:eastAsia="en-GB"/>
              </w:rPr>
              <w:br/>
            </w:r>
            <w:r w:rsidRPr="00B97AFC">
              <w:rPr>
                <w:rFonts w:cs="Arial"/>
                <w:color w:val="000000"/>
                <w:lang w:val="pt-PT" w:eastAsia="en-GB"/>
              </w:rPr>
              <w:br/>
            </w:r>
            <w:r w:rsidRPr="00B97AFC">
              <w:rPr>
                <w:rFonts w:cs="Arial"/>
                <w:b/>
                <w:iCs/>
                <w:color w:val="000000"/>
                <w:lang w:val="pt-PT" w:eastAsia="en-GB"/>
              </w:rPr>
              <w:t>Tetraciclina</w:t>
            </w:r>
          </w:p>
        </w:tc>
        <w:tc>
          <w:tcPr>
            <w:tcW w:w="806" w:type="pct"/>
            <w:shd w:val="clear" w:color="auto" w:fill="E1E1E1"/>
            <w:vAlign w:val="center"/>
          </w:tcPr>
          <w:p w:rsidR="00FC442D" w:rsidRPr="00B97AFC" w:rsidRDefault="00FC442D" w:rsidP="00FC442D">
            <w:pPr>
              <w:jc w:val="center"/>
              <w:rPr>
                <w:rFonts w:cs="Arial"/>
                <w:color w:val="000000"/>
                <w:lang w:val="pt-PT" w:eastAsia="en-GB"/>
              </w:rPr>
            </w:pPr>
            <w:r w:rsidRPr="00B97AFC">
              <w:rPr>
                <w:rFonts w:cs="Arial"/>
                <w:color w:val="000000"/>
                <w:lang w:val="pt-PT" w:eastAsia="en-GB"/>
              </w:rPr>
              <w:t>Infecções de transmissão sexual (uretrites, salpingites)</w:t>
            </w:r>
          </w:p>
          <w:p w:rsidR="00FC442D" w:rsidRPr="00B97AFC" w:rsidRDefault="00FC442D" w:rsidP="00FC442D">
            <w:pPr>
              <w:jc w:val="center"/>
              <w:rPr>
                <w:rFonts w:cs="Arial"/>
                <w:color w:val="000000"/>
                <w:lang w:val="pt-PT" w:eastAsia="en-GB"/>
              </w:rPr>
            </w:pPr>
            <w:r w:rsidRPr="00B97AFC">
              <w:rPr>
                <w:rFonts w:cs="Arial"/>
                <w:color w:val="000000"/>
                <w:lang w:val="pt-PT" w:eastAsia="en-GB"/>
              </w:rPr>
              <w:t xml:space="preserve">1ª escolha no tratamento de infecções por </w:t>
            </w:r>
            <w:r w:rsidRPr="00B97AFC">
              <w:rPr>
                <w:rFonts w:cs="Arial"/>
                <w:i/>
                <w:color w:val="000000"/>
                <w:lang w:val="pt-PT" w:eastAsia="en-GB"/>
              </w:rPr>
              <w:t>ricketsias, mycoplasma, brucelas e borrelias</w:t>
            </w:r>
            <w:r w:rsidRPr="00B97AFC">
              <w:rPr>
                <w:rFonts w:cs="Arial"/>
                <w:color w:val="000000"/>
                <w:lang w:val="pt-PT" w:eastAsia="en-GB"/>
              </w:rPr>
              <w:t xml:space="preserve"> (febre recorrente,)</w:t>
            </w:r>
          </w:p>
          <w:p w:rsidR="00FC442D" w:rsidRPr="00B97AFC" w:rsidRDefault="00FC442D" w:rsidP="00FC442D">
            <w:pPr>
              <w:jc w:val="center"/>
              <w:rPr>
                <w:rFonts w:cs="Arial"/>
                <w:color w:val="000000"/>
                <w:lang w:val="pt-PT" w:eastAsia="en-GB"/>
              </w:rPr>
            </w:pPr>
            <w:r w:rsidRPr="00B97AFC">
              <w:rPr>
                <w:rFonts w:cs="Arial"/>
                <w:color w:val="000000"/>
                <w:lang w:val="pt-PT" w:eastAsia="en-GB"/>
              </w:rPr>
              <w:t xml:space="preserve">Associada a quinina é útil no tratamento da malária. </w:t>
            </w:r>
          </w:p>
          <w:p w:rsidR="00FC442D" w:rsidRPr="00B97AFC" w:rsidRDefault="00FC442D" w:rsidP="00FC442D">
            <w:pPr>
              <w:jc w:val="center"/>
              <w:rPr>
                <w:rFonts w:cs="Arial"/>
                <w:color w:val="000000"/>
                <w:lang w:val="pt-PT" w:eastAsia="en-GB"/>
              </w:rPr>
            </w:pPr>
            <w:r w:rsidRPr="00B97AFC">
              <w:rPr>
                <w:rFonts w:cs="Arial"/>
                <w:color w:val="000000"/>
                <w:lang w:val="pt-PT" w:eastAsia="en-GB"/>
              </w:rPr>
              <w:t>Alternativa a rifampicina na profilaxia de meningite meningocócica</w:t>
            </w:r>
          </w:p>
        </w:tc>
        <w:tc>
          <w:tcPr>
            <w:tcW w:w="806" w:type="pct"/>
            <w:shd w:val="clear" w:color="auto" w:fill="E1E1E1"/>
            <w:vAlign w:val="center"/>
          </w:tcPr>
          <w:p w:rsidR="00FC442D" w:rsidRPr="00B97AFC" w:rsidRDefault="00FC442D" w:rsidP="00FC442D">
            <w:pPr>
              <w:jc w:val="center"/>
              <w:rPr>
                <w:rFonts w:cs="Arial"/>
                <w:color w:val="000000"/>
                <w:lang w:val="pt-PT" w:eastAsia="en-GB"/>
              </w:rPr>
            </w:pPr>
            <w:r w:rsidRPr="00B97AFC">
              <w:rPr>
                <w:rFonts w:cs="Arial"/>
                <w:color w:val="000000"/>
                <w:lang w:val="pt-PT" w:eastAsia="en-GB"/>
              </w:rPr>
              <w:t>Náuseas, vómitos, diarreia, coloração acastanhada dos dentes, lesões ósseas em crianças.</w:t>
            </w:r>
          </w:p>
          <w:p w:rsidR="00FC442D" w:rsidRPr="00B97AFC" w:rsidRDefault="00FC442D" w:rsidP="00FC442D">
            <w:pPr>
              <w:rPr>
                <w:rFonts w:cs="Arial"/>
                <w:color w:val="000000"/>
                <w:lang w:val="pt-PT" w:eastAsia="en-GB"/>
              </w:rPr>
            </w:pPr>
            <w:r w:rsidRPr="00B97AFC">
              <w:rPr>
                <w:rFonts w:cs="Arial"/>
                <w:color w:val="000000"/>
                <w:lang w:val="pt-PT" w:eastAsia="en-GB"/>
              </w:rPr>
              <w:t>Toxicidade renal</w:t>
            </w:r>
          </w:p>
          <w:p w:rsidR="00FC442D" w:rsidRPr="00B97AFC" w:rsidRDefault="00FC442D" w:rsidP="00FC442D">
            <w:pPr>
              <w:jc w:val="center"/>
              <w:rPr>
                <w:rFonts w:cs="Arial"/>
                <w:color w:val="000000"/>
                <w:lang w:val="pt-PT" w:eastAsia="en-GB"/>
              </w:rPr>
            </w:pPr>
            <w:r w:rsidRPr="00B97AFC">
              <w:rPr>
                <w:rFonts w:cs="Arial"/>
                <w:b/>
                <w:color w:val="000000"/>
                <w:lang w:val="pt-PT" w:eastAsia="en-GB"/>
              </w:rPr>
              <w:t>A doxiciclina não tem metabolismo renal pelo que pode ser usado em caso de insuficiência renal</w:t>
            </w:r>
            <w:r w:rsidRPr="00B97AFC">
              <w:rPr>
                <w:rFonts w:cs="Arial"/>
                <w:color w:val="000000"/>
                <w:lang w:val="pt-PT" w:eastAsia="en-GB"/>
              </w:rPr>
              <w:t xml:space="preserve"> </w:t>
            </w:r>
          </w:p>
          <w:p w:rsidR="00FC442D" w:rsidRPr="00F11707" w:rsidRDefault="00FC442D" w:rsidP="00FC442D">
            <w:pPr>
              <w:jc w:val="center"/>
              <w:rPr>
                <w:rFonts w:cs="Arial"/>
                <w:color w:val="000000"/>
                <w:lang w:val="pt-PT" w:eastAsia="en-GB"/>
              </w:rPr>
            </w:pPr>
            <w:r w:rsidRPr="00B97AFC">
              <w:rPr>
                <w:rFonts w:cs="Arial"/>
                <w:color w:val="000000"/>
                <w:lang w:val="pt-PT" w:eastAsia="en-GB"/>
              </w:rPr>
              <w:t>Não usar em mulheres grávidas, crianças menores de 7 anos e lactantes. Não consumir com leite e derivados</w:t>
            </w:r>
          </w:p>
        </w:tc>
        <w:tc>
          <w:tcPr>
            <w:tcW w:w="929" w:type="pct"/>
            <w:shd w:val="clear" w:color="auto" w:fill="E1E1E1"/>
            <w:vAlign w:val="center"/>
          </w:tcPr>
          <w:p w:rsidR="00FC442D" w:rsidRPr="00B97AFC" w:rsidRDefault="00FC442D" w:rsidP="00FC442D">
            <w:pPr>
              <w:jc w:val="center"/>
              <w:rPr>
                <w:rFonts w:cs="Arial"/>
                <w:color w:val="000000"/>
                <w:lang w:val="pt-PT" w:eastAsia="en-GB"/>
              </w:rPr>
            </w:pPr>
            <w:r w:rsidRPr="00B97AFC">
              <w:rPr>
                <w:rFonts w:cs="Arial"/>
                <w:color w:val="000000"/>
                <w:lang w:val="pt-PT" w:eastAsia="en-GB"/>
              </w:rPr>
              <w:t xml:space="preserve">Inibidores da síntese protéica Fundamentalmente bacteriostático </w:t>
            </w:r>
          </w:p>
        </w:tc>
        <w:tc>
          <w:tcPr>
            <w:tcW w:w="656" w:type="pct"/>
            <w:shd w:val="clear" w:color="auto" w:fill="E1E1E1"/>
            <w:vAlign w:val="center"/>
          </w:tcPr>
          <w:p w:rsidR="00FC442D" w:rsidRPr="00B97AFC" w:rsidRDefault="00FC442D" w:rsidP="00FC442D">
            <w:pPr>
              <w:jc w:val="center"/>
              <w:rPr>
                <w:rFonts w:cs="Arial"/>
                <w:color w:val="000000"/>
                <w:lang w:eastAsia="en-GB"/>
              </w:rPr>
            </w:pPr>
            <w:r w:rsidRPr="00B97AFC">
              <w:rPr>
                <w:rFonts w:cs="Arial"/>
                <w:color w:val="000000"/>
                <w:lang w:eastAsia="en-GB"/>
              </w:rPr>
              <w:t>- Via Oral, parenteral, local</w:t>
            </w:r>
          </w:p>
        </w:tc>
      </w:tr>
      <w:tr w:rsidR="00FC442D" w:rsidRPr="00B97AFC" w:rsidTr="00AD66DD">
        <w:trPr>
          <w:trHeight w:val="4428"/>
          <w:tblCellSpacing w:w="15" w:type="dxa"/>
        </w:trPr>
        <w:tc>
          <w:tcPr>
            <w:tcW w:w="925" w:type="pct"/>
            <w:shd w:val="clear" w:color="auto" w:fill="E1E1E1"/>
            <w:vAlign w:val="center"/>
          </w:tcPr>
          <w:p w:rsidR="00FC442D" w:rsidRPr="00B97AFC" w:rsidRDefault="00FC442D" w:rsidP="00FC442D">
            <w:pPr>
              <w:jc w:val="center"/>
              <w:rPr>
                <w:rFonts w:cs="Arial"/>
                <w:b/>
                <w:bCs/>
                <w:color w:val="000000"/>
                <w:lang w:val="pt-PT" w:eastAsia="en-GB"/>
              </w:rPr>
            </w:pPr>
            <w:r w:rsidRPr="00B97AFC">
              <w:rPr>
                <w:rFonts w:cs="Arial"/>
                <w:color w:val="000000"/>
                <w:lang w:val="pt-PT" w:eastAsia="en-GB"/>
              </w:rPr>
              <w:t xml:space="preserve">(Fluoro) </w:t>
            </w:r>
            <w:r w:rsidRPr="00B97AFC">
              <w:rPr>
                <w:rFonts w:cs="Arial"/>
                <w:b/>
                <w:bCs/>
                <w:color w:val="000000"/>
                <w:lang w:val="pt-PT" w:eastAsia="en-GB"/>
              </w:rPr>
              <w:t xml:space="preserve">quinolonas </w:t>
            </w:r>
          </w:p>
          <w:p w:rsidR="00FC442D" w:rsidRPr="00B97AFC" w:rsidRDefault="00FC442D" w:rsidP="00FC442D">
            <w:pPr>
              <w:jc w:val="center"/>
              <w:rPr>
                <w:rFonts w:cs="Arial"/>
                <w:color w:val="000000"/>
                <w:lang w:val="pt-PT" w:eastAsia="en-GB"/>
              </w:rPr>
            </w:pPr>
          </w:p>
        </w:tc>
        <w:tc>
          <w:tcPr>
            <w:tcW w:w="776" w:type="pct"/>
            <w:shd w:val="clear" w:color="auto" w:fill="E1E1E1"/>
            <w:vAlign w:val="center"/>
          </w:tcPr>
          <w:p w:rsidR="00FC442D" w:rsidRPr="00B97AFC" w:rsidRDefault="00FC442D" w:rsidP="00FC442D">
            <w:pPr>
              <w:jc w:val="center"/>
              <w:rPr>
                <w:rFonts w:cs="Arial"/>
                <w:color w:val="000000"/>
                <w:lang w:val="pt-PT" w:eastAsia="en-GB"/>
              </w:rPr>
            </w:pPr>
            <w:r w:rsidRPr="00B97AFC">
              <w:rPr>
                <w:rFonts w:cs="Arial"/>
                <w:b/>
                <w:i/>
                <w:color w:val="000000"/>
                <w:lang w:val="pt-PT" w:eastAsia="en-GB"/>
              </w:rPr>
              <w:t>Ácido nalidíxico</w:t>
            </w:r>
            <w:r w:rsidRPr="00B97AFC">
              <w:rPr>
                <w:rFonts w:cs="Arial"/>
                <w:b/>
                <w:i/>
                <w:iCs/>
                <w:color w:val="000000"/>
                <w:lang w:val="pt-PT" w:eastAsia="en-GB"/>
              </w:rPr>
              <w:t xml:space="preserve"> ciprofloxacina</w:t>
            </w:r>
            <w:r w:rsidRPr="00B97AFC">
              <w:rPr>
                <w:rFonts w:cs="Arial"/>
                <w:b/>
                <w:i/>
                <w:color w:val="000000"/>
                <w:lang w:val="pt-PT" w:eastAsia="en-GB"/>
              </w:rPr>
              <w:t xml:space="preserve"> </w:t>
            </w:r>
            <w:r w:rsidRPr="00B97AFC">
              <w:rPr>
                <w:rFonts w:cs="Arial"/>
                <w:color w:val="000000"/>
                <w:lang w:val="pt-PT" w:eastAsia="en-GB"/>
              </w:rPr>
              <w:br/>
            </w:r>
            <w:r w:rsidRPr="00B97AFC">
              <w:rPr>
                <w:rFonts w:cs="Arial"/>
                <w:i/>
                <w:iCs/>
                <w:color w:val="000000"/>
                <w:lang w:val="pt-PT" w:eastAsia="en-GB"/>
              </w:rPr>
              <w:t>levofloxacina</w:t>
            </w:r>
            <w:r w:rsidRPr="00B97AFC">
              <w:rPr>
                <w:rFonts w:cs="Arial"/>
                <w:color w:val="000000"/>
                <w:lang w:val="pt-PT" w:eastAsia="en-GB"/>
              </w:rPr>
              <w:t xml:space="preserve"> </w:t>
            </w:r>
            <w:r w:rsidRPr="00B97AFC">
              <w:rPr>
                <w:rFonts w:cs="Arial"/>
                <w:color w:val="000000"/>
                <w:lang w:val="pt-PT" w:eastAsia="en-GB"/>
              </w:rPr>
              <w:br/>
            </w:r>
            <w:r w:rsidRPr="00B97AFC">
              <w:rPr>
                <w:rFonts w:cs="Arial"/>
                <w:color w:val="000000"/>
                <w:shd w:val="clear" w:color="auto" w:fill="E1E1E1"/>
                <w:lang w:val="pt-PT" w:eastAsia="en-GB"/>
              </w:rPr>
              <w:br/>
            </w:r>
            <w:r w:rsidRPr="00B97AFC">
              <w:rPr>
                <w:rFonts w:cs="Arial"/>
                <w:color w:val="000000"/>
                <w:lang w:val="pt-PT" w:eastAsia="en-GB"/>
              </w:rPr>
              <w:t>ofloxacina</w:t>
            </w:r>
          </w:p>
          <w:p w:rsidR="00FC442D" w:rsidRPr="00B97AFC" w:rsidRDefault="00FC442D" w:rsidP="00FC442D">
            <w:pPr>
              <w:jc w:val="center"/>
              <w:rPr>
                <w:rFonts w:cs="Arial"/>
                <w:color w:val="000000"/>
                <w:lang w:val="pt-PT" w:eastAsia="en-GB"/>
              </w:rPr>
            </w:pPr>
          </w:p>
        </w:tc>
        <w:tc>
          <w:tcPr>
            <w:tcW w:w="806" w:type="pct"/>
            <w:shd w:val="clear" w:color="auto" w:fill="E1E1E1"/>
            <w:vAlign w:val="center"/>
          </w:tcPr>
          <w:p w:rsidR="00FC442D" w:rsidRPr="00B97AFC" w:rsidRDefault="00FC442D" w:rsidP="00FC442D">
            <w:pPr>
              <w:jc w:val="center"/>
              <w:rPr>
                <w:rFonts w:cs="Arial"/>
                <w:lang w:val="pt-PT" w:eastAsia="en-GB"/>
              </w:rPr>
            </w:pPr>
            <w:r w:rsidRPr="00B97AFC">
              <w:rPr>
                <w:rFonts w:cs="Arial"/>
                <w:color w:val="000000"/>
                <w:lang w:val="pt-PT" w:eastAsia="en-GB"/>
              </w:rPr>
              <w:t xml:space="preserve">Infecções urinárias </w:t>
            </w:r>
            <w:r w:rsidRPr="00B97AFC">
              <w:rPr>
                <w:rFonts w:cs="Arial"/>
                <w:lang w:val="pt-PT" w:eastAsia="en-GB"/>
              </w:rPr>
              <w:t>(</w:t>
            </w:r>
            <w:hyperlink r:id="rId155" w:history="1">
              <w:r w:rsidRPr="00B97AFC">
                <w:rPr>
                  <w:rFonts w:cs="Arial"/>
                  <w:lang w:val="pt-PT" w:eastAsia="en-GB"/>
                </w:rPr>
                <w:t>cistite</w:t>
              </w:r>
            </w:hyperlink>
            <w:r w:rsidRPr="00B97AFC">
              <w:rPr>
                <w:rFonts w:cs="Arial"/>
                <w:lang w:val="pt-PT" w:eastAsia="en-GB"/>
              </w:rPr>
              <w:t>),</w:t>
            </w:r>
          </w:p>
          <w:p w:rsidR="00FC442D" w:rsidRPr="00B97AFC" w:rsidRDefault="00FC442D" w:rsidP="00FC442D">
            <w:pPr>
              <w:jc w:val="center"/>
              <w:rPr>
                <w:rFonts w:cs="Arial"/>
                <w:lang w:val="pt-PT" w:eastAsia="en-GB"/>
              </w:rPr>
            </w:pPr>
            <w:r w:rsidRPr="00B97AFC">
              <w:rPr>
                <w:rFonts w:cs="Arial"/>
                <w:lang w:val="pt-PT" w:eastAsia="en-GB"/>
              </w:rPr>
              <w:t>D</w:t>
            </w:r>
            <w:r>
              <w:rPr>
                <w:rFonts w:cs="Arial"/>
                <w:lang w:val="pt-PT" w:eastAsia="en-GB"/>
              </w:rPr>
              <w:t>ise</w:t>
            </w:r>
            <w:r w:rsidRPr="00B97AFC">
              <w:rPr>
                <w:rFonts w:cs="Arial"/>
                <w:lang w:val="pt-PT" w:eastAsia="en-GB"/>
              </w:rPr>
              <w:t>nteria por shigella</w:t>
            </w:r>
          </w:p>
          <w:p w:rsidR="00FC442D" w:rsidRPr="00B97AFC" w:rsidRDefault="00FC442D" w:rsidP="00FC442D">
            <w:pPr>
              <w:jc w:val="center"/>
              <w:rPr>
                <w:rFonts w:cs="Arial"/>
                <w:color w:val="000000"/>
                <w:lang w:val="pt-PT" w:eastAsia="en-GB"/>
              </w:rPr>
            </w:pPr>
            <w:r w:rsidRPr="00B97AFC">
              <w:rPr>
                <w:rFonts w:cs="Arial"/>
                <w:lang w:val="pt-PT" w:eastAsia="en-GB"/>
              </w:rPr>
              <w:t>Profilaxia de contacto de doentes com meningite meningocóccica</w:t>
            </w:r>
            <w:r w:rsidRPr="00B97AFC">
              <w:rPr>
                <w:rFonts w:cs="Arial"/>
                <w:color w:val="000000"/>
                <w:lang w:val="pt-PT" w:eastAsia="en-GB"/>
              </w:rPr>
              <w:t xml:space="preserve"> </w:t>
            </w:r>
          </w:p>
        </w:tc>
        <w:tc>
          <w:tcPr>
            <w:tcW w:w="806" w:type="pct"/>
            <w:shd w:val="clear" w:color="auto" w:fill="E1E1E1"/>
            <w:vAlign w:val="center"/>
          </w:tcPr>
          <w:p w:rsidR="00FC442D" w:rsidRPr="00B97AFC" w:rsidRDefault="00FC442D" w:rsidP="00FC442D">
            <w:pPr>
              <w:jc w:val="center"/>
              <w:rPr>
                <w:rFonts w:cs="Arial"/>
                <w:color w:val="000000"/>
                <w:lang w:val="pt-PT" w:eastAsia="en-GB"/>
              </w:rPr>
            </w:pPr>
            <w:r w:rsidRPr="00B97AFC">
              <w:rPr>
                <w:rFonts w:cs="Arial"/>
                <w:color w:val="000000"/>
                <w:lang w:val="pt-PT" w:eastAsia="en-GB"/>
              </w:rPr>
              <w:t>Náuseas, vómitos, anorexia e dor abdominal</w:t>
            </w:r>
          </w:p>
          <w:p w:rsidR="00FC442D" w:rsidRPr="00B97AFC" w:rsidRDefault="00FC442D" w:rsidP="00FC442D">
            <w:pPr>
              <w:jc w:val="center"/>
              <w:rPr>
                <w:rFonts w:cs="Arial"/>
                <w:color w:val="000000"/>
                <w:lang w:val="pt-PT" w:eastAsia="en-GB"/>
              </w:rPr>
            </w:pPr>
            <w:r w:rsidRPr="00B97AFC">
              <w:rPr>
                <w:rFonts w:cs="Arial"/>
                <w:color w:val="000000"/>
                <w:lang w:val="pt-PT" w:eastAsia="en-GB"/>
              </w:rPr>
              <w:t>Precaução deve</w:t>
            </w:r>
            <w:r>
              <w:rPr>
                <w:rFonts w:cs="Arial"/>
                <w:color w:val="000000"/>
                <w:lang w:val="pt-PT" w:eastAsia="en-GB"/>
              </w:rPr>
              <w:t>-</w:t>
            </w:r>
            <w:r w:rsidRPr="00B97AFC">
              <w:rPr>
                <w:rFonts w:cs="Arial"/>
                <w:color w:val="000000"/>
                <w:lang w:val="pt-PT" w:eastAsia="en-GB"/>
              </w:rPr>
              <w:t xml:space="preserve">se ter na administração em menores de 18 anos (risco de hipertensão intra-craniana, </w:t>
            </w:r>
            <w:r w:rsidRPr="00EC5919">
              <w:rPr>
                <w:rFonts w:cs="Arial"/>
                <w:color w:val="000000"/>
                <w:lang w:val="pt-PT" w:eastAsia="en-GB"/>
              </w:rPr>
              <w:t>artropatia</w:t>
            </w:r>
            <w:r w:rsidRPr="00B97AFC">
              <w:rPr>
                <w:rFonts w:cs="Arial"/>
                <w:color w:val="000000"/>
                <w:lang w:val="pt-PT" w:eastAsia="en-GB"/>
              </w:rPr>
              <w:t>, convulsões), na gravidez e lactação</w:t>
            </w:r>
          </w:p>
        </w:tc>
        <w:tc>
          <w:tcPr>
            <w:tcW w:w="929" w:type="pct"/>
            <w:shd w:val="clear" w:color="auto" w:fill="E1E1E1"/>
            <w:vAlign w:val="center"/>
          </w:tcPr>
          <w:p w:rsidR="00FC442D" w:rsidRPr="00B97AFC" w:rsidRDefault="00FC442D" w:rsidP="00FC442D">
            <w:pPr>
              <w:jc w:val="center"/>
              <w:rPr>
                <w:rFonts w:cs="Arial"/>
                <w:color w:val="000000"/>
                <w:lang w:val="pt-PT" w:eastAsia="en-GB"/>
              </w:rPr>
            </w:pPr>
            <w:r w:rsidRPr="00B97AFC">
              <w:rPr>
                <w:rFonts w:cs="Arial"/>
                <w:color w:val="000000"/>
                <w:lang w:val="pt-PT" w:eastAsia="en-GB"/>
              </w:rPr>
              <w:t xml:space="preserve">Inibidor da síntese de ácidos nucléicos </w:t>
            </w:r>
          </w:p>
          <w:p w:rsidR="00FC442D" w:rsidRPr="00B97AFC" w:rsidRDefault="00FC442D" w:rsidP="00FC442D">
            <w:pPr>
              <w:jc w:val="center"/>
              <w:rPr>
                <w:rFonts w:cs="Arial"/>
                <w:color w:val="000000"/>
                <w:lang w:val="pt-PT" w:eastAsia="en-GB"/>
              </w:rPr>
            </w:pPr>
            <w:r w:rsidRPr="00B97AFC">
              <w:rPr>
                <w:rFonts w:cs="Arial"/>
                <w:color w:val="000000"/>
                <w:lang w:val="pt-PT" w:eastAsia="en-GB"/>
              </w:rPr>
              <w:t>(bactericida)</w:t>
            </w:r>
          </w:p>
        </w:tc>
        <w:tc>
          <w:tcPr>
            <w:tcW w:w="656" w:type="pct"/>
            <w:shd w:val="clear" w:color="auto" w:fill="E1E1E1"/>
            <w:vAlign w:val="center"/>
          </w:tcPr>
          <w:p w:rsidR="00FC442D" w:rsidRPr="00B97AFC" w:rsidRDefault="00FC442D" w:rsidP="00FC442D">
            <w:pPr>
              <w:jc w:val="center"/>
              <w:rPr>
                <w:rFonts w:cs="Arial"/>
                <w:color w:val="000000"/>
                <w:lang w:val="pt-PT" w:eastAsia="en-GB"/>
              </w:rPr>
            </w:pPr>
            <w:r w:rsidRPr="00B97AFC">
              <w:rPr>
                <w:rFonts w:cs="Arial"/>
                <w:color w:val="000000"/>
                <w:lang w:val="pt-PT" w:eastAsia="en-GB"/>
              </w:rPr>
              <w:t>- Via Oral, parenteral, local</w:t>
            </w:r>
          </w:p>
        </w:tc>
      </w:tr>
      <w:tr w:rsidR="00FC442D" w:rsidRPr="00FC6E81" w:rsidTr="00AD66DD">
        <w:trPr>
          <w:trHeight w:val="1098"/>
          <w:tblCellSpacing w:w="15" w:type="dxa"/>
        </w:trPr>
        <w:tc>
          <w:tcPr>
            <w:tcW w:w="925" w:type="pct"/>
            <w:shd w:val="clear" w:color="auto" w:fill="009933"/>
            <w:vAlign w:val="center"/>
          </w:tcPr>
          <w:p w:rsidR="00FC442D" w:rsidRPr="00B97AFC" w:rsidRDefault="00FC442D" w:rsidP="00FC442D">
            <w:pPr>
              <w:jc w:val="center"/>
              <w:rPr>
                <w:rFonts w:cs="Arial"/>
                <w:color w:val="000000"/>
                <w:lang w:eastAsia="en-GB"/>
              </w:rPr>
            </w:pPr>
            <w:r w:rsidRPr="00B97AFC">
              <w:rPr>
                <w:rFonts w:cs="Arial"/>
                <w:i/>
                <w:iCs/>
                <w:color w:val="FFFFFF"/>
                <w:lang w:eastAsia="en-GB"/>
              </w:rPr>
              <w:lastRenderedPageBreak/>
              <w:t>Classe de antibióticos</w:t>
            </w:r>
          </w:p>
        </w:tc>
        <w:tc>
          <w:tcPr>
            <w:tcW w:w="776" w:type="pct"/>
            <w:shd w:val="clear" w:color="auto" w:fill="009933"/>
            <w:vAlign w:val="center"/>
          </w:tcPr>
          <w:p w:rsidR="00FC442D" w:rsidRPr="00B97AFC" w:rsidRDefault="00FC442D" w:rsidP="00FC442D">
            <w:pPr>
              <w:jc w:val="center"/>
              <w:rPr>
                <w:rFonts w:cs="Arial"/>
                <w:color w:val="000000"/>
                <w:lang w:val="pt-PT" w:eastAsia="en-GB"/>
              </w:rPr>
            </w:pPr>
            <w:r w:rsidRPr="00B97AFC">
              <w:rPr>
                <w:rFonts w:cs="Arial"/>
                <w:i/>
                <w:iCs/>
                <w:color w:val="FFFFFF"/>
                <w:lang w:val="pt-PT" w:eastAsia="en-GB"/>
              </w:rPr>
              <w:t xml:space="preserve">Principais moléculas - princípios ativos da família </w:t>
            </w:r>
          </w:p>
        </w:tc>
        <w:tc>
          <w:tcPr>
            <w:tcW w:w="806" w:type="pct"/>
            <w:shd w:val="clear" w:color="auto" w:fill="009933"/>
            <w:vAlign w:val="center"/>
          </w:tcPr>
          <w:p w:rsidR="00FC442D" w:rsidRPr="00B97AFC" w:rsidRDefault="00FC442D" w:rsidP="00FC442D">
            <w:pPr>
              <w:jc w:val="center"/>
              <w:rPr>
                <w:rFonts w:cs="Arial"/>
                <w:color w:val="000000"/>
                <w:lang w:eastAsia="en-GB"/>
              </w:rPr>
            </w:pPr>
            <w:r w:rsidRPr="00B97AFC">
              <w:rPr>
                <w:rFonts w:cs="Arial"/>
                <w:i/>
                <w:iCs/>
                <w:color w:val="FFFFFF"/>
                <w:lang w:eastAsia="en-GB"/>
              </w:rPr>
              <w:t>Indicações (ex. em geral)</w:t>
            </w:r>
          </w:p>
        </w:tc>
        <w:tc>
          <w:tcPr>
            <w:tcW w:w="806" w:type="pct"/>
            <w:shd w:val="clear" w:color="auto" w:fill="009933"/>
            <w:vAlign w:val="center"/>
          </w:tcPr>
          <w:p w:rsidR="00FC442D" w:rsidRPr="00B97AFC" w:rsidRDefault="00FC442D" w:rsidP="00FC442D">
            <w:pPr>
              <w:jc w:val="center"/>
              <w:rPr>
                <w:rFonts w:cs="Arial"/>
                <w:color w:val="000000"/>
                <w:lang w:eastAsia="en-GB"/>
              </w:rPr>
            </w:pPr>
            <w:r w:rsidRPr="00B97AFC">
              <w:rPr>
                <w:rFonts w:cs="Arial"/>
                <w:i/>
                <w:iCs/>
                <w:color w:val="FFFFFF"/>
                <w:lang w:eastAsia="en-GB"/>
              </w:rPr>
              <w:t>Efeitos secundários principais</w:t>
            </w:r>
          </w:p>
        </w:tc>
        <w:tc>
          <w:tcPr>
            <w:tcW w:w="929" w:type="pct"/>
            <w:shd w:val="clear" w:color="auto" w:fill="009933"/>
            <w:vAlign w:val="center"/>
          </w:tcPr>
          <w:p w:rsidR="00FC442D" w:rsidRPr="00B97AFC" w:rsidRDefault="00FC442D" w:rsidP="00FC442D">
            <w:pPr>
              <w:jc w:val="center"/>
              <w:rPr>
                <w:rFonts w:cs="Arial"/>
                <w:color w:val="000000"/>
                <w:lang w:val="pt-PT" w:eastAsia="en-GB"/>
              </w:rPr>
            </w:pPr>
            <w:r w:rsidRPr="00B97AFC">
              <w:rPr>
                <w:rFonts w:cs="Arial"/>
                <w:i/>
                <w:iCs/>
                <w:color w:val="FFFFFF"/>
                <w:lang w:val="pt-PT" w:eastAsia="en-GB"/>
              </w:rPr>
              <w:t>Ação sobre a bactéria (forma de ação)</w:t>
            </w:r>
          </w:p>
        </w:tc>
        <w:tc>
          <w:tcPr>
            <w:tcW w:w="656" w:type="pct"/>
            <w:shd w:val="clear" w:color="auto" w:fill="009933"/>
            <w:vAlign w:val="center"/>
          </w:tcPr>
          <w:p w:rsidR="00FC442D" w:rsidRPr="00B97AFC" w:rsidRDefault="00FC442D" w:rsidP="00FC442D">
            <w:pPr>
              <w:jc w:val="center"/>
              <w:rPr>
                <w:rFonts w:cs="Arial"/>
                <w:color w:val="000000"/>
                <w:lang w:val="pt-PT" w:eastAsia="en-GB"/>
              </w:rPr>
            </w:pPr>
            <w:r w:rsidRPr="00B97AFC">
              <w:rPr>
                <w:rFonts w:cs="Arial"/>
                <w:i/>
                <w:iCs/>
                <w:color w:val="FFFFFF"/>
                <w:lang w:val="pt-PT" w:eastAsia="en-GB"/>
              </w:rPr>
              <w:t>Formas galênicas do medicamento (em geral)</w:t>
            </w:r>
          </w:p>
        </w:tc>
      </w:tr>
      <w:tr w:rsidR="00FC442D" w:rsidRPr="00B97AFC" w:rsidTr="00AD66DD">
        <w:trPr>
          <w:tblCellSpacing w:w="15" w:type="dxa"/>
        </w:trPr>
        <w:tc>
          <w:tcPr>
            <w:tcW w:w="925" w:type="pct"/>
            <w:shd w:val="clear" w:color="auto" w:fill="E1E1E1"/>
            <w:vAlign w:val="center"/>
          </w:tcPr>
          <w:p w:rsidR="00FC442D" w:rsidRPr="00B97AFC" w:rsidRDefault="00FC442D" w:rsidP="00FC442D">
            <w:pPr>
              <w:jc w:val="center"/>
              <w:rPr>
                <w:rFonts w:cs="Arial"/>
                <w:color w:val="000000"/>
                <w:lang w:eastAsia="en-GB"/>
              </w:rPr>
            </w:pPr>
            <w:r w:rsidRPr="00B97AFC">
              <w:rPr>
                <w:rFonts w:cs="Arial"/>
                <w:b/>
                <w:bCs/>
                <w:color w:val="000000"/>
                <w:lang w:eastAsia="en-GB"/>
              </w:rPr>
              <w:t>Sulfamidas</w:t>
            </w:r>
          </w:p>
        </w:tc>
        <w:tc>
          <w:tcPr>
            <w:tcW w:w="776" w:type="pct"/>
            <w:shd w:val="clear" w:color="auto" w:fill="E1E1E1"/>
            <w:vAlign w:val="center"/>
          </w:tcPr>
          <w:p w:rsidR="00FC442D" w:rsidRPr="00B97AFC" w:rsidRDefault="00FC442D" w:rsidP="00FC442D">
            <w:pPr>
              <w:jc w:val="center"/>
              <w:rPr>
                <w:rFonts w:cs="Arial"/>
                <w:color w:val="000000"/>
                <w:lang w:val="pt-PT" w:eastAsia="en-GB"/>
              </w:rPr>
            </w:pPr>
            <w:r w:rsidRPr="00181BC2">
              <w:rPr>
                <w:rFonts w:cs="Arial"/>
                <w:b/>
                <w:i/>
                <w:iCs/>
                <w:color w:val="000000"/>
                <w:lang w:val="pt-PT" w:eastAsia="en-GB"/>
              </w:rPr>
              <w:t>sulfametoxazol</w:t>
            </w:r>
            <w:r w:rsidRPr="00181BC2">
              <w:rPr>
                <w:rFonts w:cs="Arial"/>
                <w:b/>
                <w:color w:val="000000"/>
                <w:lang w:val="pt-PT" w:eastAsia="en-GB"/>
              </w:rPr>
              <w:t xml:space="preserve"> e </w:t>
            </w:r>
            <w:r w:rsidRPr="00181BC2">
              <w:rPr>
                <w:rFonts w:cs="Arial"/>
                <w:b/>
                <w:i/>
                <w:iCs/>
                <w:color w:val="000000"/>
                <w:lang w:val="pt-PT" w:eastAsia="en-GB"/>
              </w:rPr>
              <w:t>trimetoprim</w:t>
            </w:r>
            <w:r w:rsidRPr="00B97AFC">
              <w:rPr>
                <w:rFonts w:cs="Arial"/>
                <w:i/>
                <w:iCs/>
                <w:color w:val="000000"/>
                <w:lang w:val="pt-PT" w:eastAsia="en-GB"/>
              </w:rPr>
              <w:t xml:space="preserve"> = co-trimoxazol</w:t>
            </w:r>
            <w:r w:rsidRPr="00B97AFC">
              <w:rPr>
                <w:rFonts w:cs="Arial"/>
                <w:color w:val="000000"/>
                <w:lang w:val="pt-PT" w:eastAsia="en-GB"/>
              </w:rPr>
              <w:t xml:space="preserve"> </w:t>
            </w:r>
            <w:r w:rsidRPr="00B97AFC">
              <w:rPr>
                <w:rFonts w:cs="Arial"/>
                <w:color w:val="000000"/>
                <w:lang w:val="pt-PT" w:eastAsia="en-GB"/>
              </w:rPr>
              <w:br/>
            </w:r>
          </w:p>
        </w:tc>
        <w:tc>
          <w:tcPr>
            <w:tcW w:w="806" w:type="pct"/>
            <w:shd w:val="clear" w:color="auto" w:fill="E1E1E1"/>
            <w:vAlign w:val="center"/>
          </w:tcPr>
          <w:p w:rsidR="00FC442D" w:rsidRPr="00B97AFC" w:rsidRDefault="00FC442D" w:rsidP="00FC442D">
            <w:pPr>
              <w:jc w:val="center"/>
              <w:rPr>
                <w:rFonts w:cs="Arial"/>
                <w:color w:val="000000"/>
                <w:lang w:val="pt-PT" w:eastAsia="en-GB"/>
              </w:rPr>
            </w:pPr>
            <w:r w:rsidRPr="00B97AFC">
              <w:rPr>
                <w:rFonts w:cs="Arial"/>
                <w:color w:val="000000"/>
                <w:lang w:val="pt-PT" w:eastAsia="en-GB"/>
              </w:rPr>
              <w:t>Várias</w:t>
            </w:r>
          </w:p>
          <w:p w:rsidR="00FC442D" w:rsidRPr="00B97AFC" w:rsidRDefault="00FC442D" w:rsidP="00FC442D">
            <w:pPr>
              <w:jc w:val="center"/>
              <w:rPr>
                <w:rFonts w:cs="Arial"/>
                <w:color w:val="000000"/>
                <w:lang w:val="pt-PT" w:eastAsia="en-GB"/>
              </w:rPr>
            </w:pPr>
            <w:r w:rsidRPr="00B97AFC">
              <w:rPr>
                <w:rFonts w:cs="Arial"/>
                <w:color w:val="000000"/>
                <w:lang w:val="pt-PT" w:eastAsia="en-GB"/>
              </w:rPr>
              <w:t>Bronquites, pneumonias, infe</w:t>
            </w:r>
            <w:r>
              <w:rPr>
                <w:rFonts w:cs="Arial"/>
                <w:color w:val="000000"/>
                <w:lang w:val="pt-PT" w:eastAsia="en-GB"/>
              </w:rPr>
              <w:t xml:space="preserve">cções urinárias, pneumonia por </w:t>
            </w:r>
            <w:r w:rsidRPr="002472A1">
              <w:rPr>
                <w:rFonts w:cs="Arial"/>
                <w:i/>
                <w:color w:val="000000"/>
                <w:lang w:val="pt-PT" w:eastAsia="en-GB"/>
              </w:rPr>
              <w:t>Pneumocistis jirovecci</w:t>
            </w:r>
            <w:r w:rsidRPr="00B97AFC">
              <w:rPr>
                <w:rFonts w:cs="Arial"/>
                <w:color w:val="000000"/>
                <w:lang w:val="pt-PT" w:eastAsia="en-GB"/>
              </w:rPr>
              <w:t xml:space="preserve">, toxoplasmose, </w:t>
            </w:r>
          </w:p>
          <w:p w:rsidR="00FC442D" w:rsidRPr="00B97AFC" w:rsidRDefault="00FC442D" w:rsidP="00FC442D">
            <w:pPr>
              <w:jc w:val="center"/>
              <w:rPr>
                <w:rFonts w:cs="Arial"/>
                <w:color w:val="000000"/>
                <w:lang w:val="pt-PT" w:eastAsia="en-GB"/>
              </w:rPr>
            </w:pPr>
            <w:r w:rsidRPr="00B97AFC">
              <w:rPr>
                <w:rFonts w:cs="Arial"/>
                <w:color w:val="000000"/>
                <w:lang w:val="pt-PT" w:eastAsia="en-GB"/>
              </w:rPr>
              <w:t>Profilaxia de infecções oportunistas em HIV positivos</w:t>
            </w:r>
          </w:p>
          <w:p w:rsidR="00FC442D" w:rsidRPr="00B97AFC" w:rsidRDefault="00FC442D" w:rsidP="00FC442D">
            <w:pPr>
              <w:jc w:val="center"/>
              <w:rPr>
                <w:rFonts w:cs="Arial"/>
                <w:color w:val="000000"/>
                <w:lang w:val="pt-PT" w:eastAsia="en-GB"/>
              </w:rPr>
            </w:pPr>
            <w:r w:rsidRPr="00B97AFC">
              <w:rPr>
                <w:rFonts w:cs="Arial"/>
                <w:color w:val="000000"/>
                <w:lang w:val="pt-PT" w:eastAsia="en-GB"/>
              </w:rPr>
              <w:t>Alternativa ao cloranfenicol na febre tifóide</w:t>
            </w:r>
          </w:p>
        </w:tc>
        <w:tc>
          <w:tcPr>
            <w:tcW w:w="806" w:type="pct"/>
            <w:shd w:val="clear" w:color="auto" w:fill="E1E1E1"/>
            <w:vAlign w:val="center"/>
          </w:tcPr>
          <w:p w:rsidR="00FC442D" w:rsidRPr="00B97AFC" w:rsidRDefault="00FC442D" w:rsidP="00FC442D">
            <w:pPr>
              <w:jc w:val="center"/>
              <w:rPr>
                <w:rFonts w:cs="Arial"/>
                <w:color w:val="000000"/>
                <w:lang w:val="pt-PT" w:eastAsia="en-GB"/>
              </w:rPr>
            </w:pPr>
            <w:r w:rsidRPr="00B97AFC">
              <w:rPr>
                <w:rFonts w:cs="Arial"/>
                <w:color w:val="000000"/>
                <w:lang w:val="pt-PT" w:eastAsia="en-GB"/>
              </w:rPr>
              <w:t>Reacções alérgicas (steven jonhson)</w:t>
            </w:r>
          </w:p>
          <w:p w:rsidR="00FC442D" w:rsidRPr="00B97AFC" w:rsidRDefault="00FC442D" w:rsidP="00FC442D">
            <w:pPr>
              <w:jc w:val="center"/>
              <w:rPr>
                <w:rFonts w:cs="Arial"/>
                <w:color w:val="000000"/>
                <w:lang w:val="pt-PT" w:eastAsia="en-GB"/>
              </w:rPr>
            </w:pPr>
            <w:r w:rsidRPr="00B97AFC">
              <w:rPr>
                <w:rFonts w:cs="Arial"/>
                <w:color w:val="000000"/>
                <w:lang w:val="pt-PT" w:eastAsia="en-GB"/>
              </w:rPr>
              <w:t xml:space="preserve">toxicidade sanguínea (anemia hemolítica, anemia aplástica), toxicidade renal </w:t>
            </w:r>
          </w:p>
        </w:tc>
        <w:tc>
          <w:tcPr>
            <w:tcW w:w="929" w:type="pct"/>
            <w:shd w:val="clear" w:color="auto" w:fill="E1E1E1"/>
            <w:vAlign w:val="center"/>
          </w:tcPr>
          <w:p w:rsidR="00FC442D" w:rsidRPr="00B97AFC" w:rsidRDefault="00FC442D" w:rsidP="00FC442D">
            <w:pPr>
              <w:jc w:val="center"/>
              <w:rPr>
                <w:rFonts w:cs="Arial"/>
                <w:color w:val="000000"/>
                <w:lang w:val="pt-PT" w:eastAsia="en-GB"/>
              </w:rPr>
            </w:pPr>
            <w:r w:rsidRPr="00B97AFC">
              <w:rPr>
                <w:rFonts w:cs="Arial"/>
                <w:color w:val="000000"/>
                <w:lang w:val="pt-PT" w:eastAsia="en-GB"/>
              </w:rPr>
              <w:t>Inibidores da síntese do ácido nucléico através da inibição da síntese do ácido tetrahidrofólico</w:t>
            </w:r>
          </w:p>
          <w:p w:rsidR="00FC442D" w:rsidRPr="00B97AFC" w:rsidRDefault="00FC442D" w:rsidP="00FC442D">
            <w:pPr>
              <w:jc w:val="center"/>
              <w:rPr>
                <w:rFonts w:cs="Arial"/>
                <w:color w:val="000000"/>
                <w:lang w:val="pt-PT" w:eastAsia="en-GB"/>
              </w:rPr>
            </w:pPr>
            <w:r w:rsidRPr="00B97AFC">
              <w:rPr>
                <w:rFonts w:cs="Arial"/>
                <w:color w:val="000000"/>
                <w:lang w:val="pt-PT" w:eastAsia="en-GB"/>
              </w:rPr>
              <w:t>(bacteriostático)</w:t>
            </w:r>
          </w:p>
        </w:tc>
        <w:tc>
          <w:tcPr>
            <w:tcW w:w="656" w:type="pct"/>
            <w:shd w:val="clear" w:color="auto" w:fill="E1E1E1"/>
            <w:vAlign w:val="center"/>
          </w:tcPr>
          <w:p w:rsidR="00FC442D" w:rsidRPr="00B97AFC" w:rsidRDefault="00FC442D" w:rsidP="00FC442D">
            <w:pPr>
              <w:jc w:val="center"/>
              <w:rPr>
                <w:rFonts w:cs="Arial"/>
                <w:color w:val="000000"/>
                <w:lang w:eastAsia="en-GB"/>
              </w:rPr>
            </w:pPr>
            <w:r w:rsidRPr="00B97AFC">
              <w:rPr>
                <w:rFonts w:cs="Arial"/>
                <w:color w:val="000000"/>
                <w:lang w:eastAsia="en-GB"/>
              </w:rPr>
              <w:t>- Via Oral, inje</w:t>
            </w:r>
            <w:r>
              <w:rPr>
                <w:rFonts w:cs="Arial"/>
                <w:color w:val="000000"/>
                <w:lang w:eastAsia="en-GB"/>
              </w:rPr>
              <w:t>c</w:t>
            </w:r>
            <w:r w:rsidRPr="00B97AFC">
              <w:rPr>
                <w:rFonts w:cs="Arial"/>
                <w:color w:val="000000"/>
                <w:lang w:eastAsia="en-GB"/>
              </w:rPr>
              <w:t>tável, local</w:t>
            </w:r>
          </w:p>
        </w:tc>
      </w:tr>
      <w:tr w:rsidR="00FC442D" w:rsidRPr="00B97AFC" w:rsidTr="00AD66DD">
        <w:trPr>
          <w:trHeight w:val="4905"/>
          <w:tblCellSpacing w:w="15" w:type="dxa"/>
        </w:trPr>
        <w:tc>
          <w:tcPr>
            <w:tcW w:w="925" w:type="pct"/>
            <w:shd w:val="clear" w:color="auto" w:fill="E1E1E1"/>
            <w:vAlign w:val="center"/>
          </w:tcPr>
          <w:p w:rsidR="00FC442D" w:rsidRPr="00B97AFC" w:rsidRDefault="00FC442D" w:rsidP="00FC442D">
            <w:pPr>
              <w:jc w:val="center"/>
              <w:rPr>
                <w:rFonts w:cs="Arial"/>
                <w:b/>
                <w:bCs/>
                <w:color w:val="000000"/>
                <w:lang w:eastAsia="en-GB"/>
              </w:rPr>
            </w:pPr>
            <w:r w:rsidRPr="00B97AFC">
              <w:rPr>
                <w:rFonts w:cs="Arial"/>
                <w:b/>
                <w:bCs/>
                <w:color w:val="000000"/>
                <w:lang w:eastAsia="en-GB"/>
              </w:rPr>
              <w:t>Anfenicóis</w:t>
            </w:r>
          </w:p>
        </w:tc>
        <w:tc>
          <w:tcPr>
            <w:tcW w:w="776" w:type="pct"/>
            <w:shd w:val="clear" w:color="auto" w:fill="E1E1E1"/>
            <w:vAlign w:val="center"/>
          </w:tcPr>
          <w:p w:rsidR="00FC442D" w:rsidRPr="00181BC2" w:rsidRDefault="00FC442D" w:rsidP="00FC442D">
            <w:pPr>
              <w:jc w:val="center"/>
              <w:rPr>
                <w:rFonts w:cs="Arial"/>
                <w:b/>
                <w:i/>
                <w:iCs/>
                <w:color w:val="000000"/>
                <w:lang w:val="pt-PT" w:eastAsia="en-GB"/>
              </w:rPr>
            </w:pPr>
            <w:r w:rsidRPr="00181BC2">
              <w:rPr>
                <w:rFonts w:cs="Arial"/>
                <w:b/>
                <w:i/>
                <w:iCs/>
                <w:color w:val="000000"/>
                <w:lang w:val="pt-PT" w:eastAsia="en-GB"/>
              </w:rPr>
              <w:t>Cloranfenicol</w:t>
            </w:r>
          </w:p>
          <w:p w:rsidR="00FC442D" w:rsidRPr="00B97AFC" w:rsidRDefault="00FC442D" w:rsidP="00FC442D">
            <w:pPr>
              <w:jc w:val="center"/>
              <w:rPr>
                <w:rFonts w:cs="Arial"/>
                <w:i/>
                <w:iCs/>
                <w:color w:val="000000"/>
                <w:lang w:val="pt-PT" w:eastAsia="en-GB"/>
              </w:rPr>
            </w:pPr>
          </w:p>
        </w:tc>
        <w:tc>
          <w:tcPr>
            <w:tcW w:w="806" w:type="pct"/>
            <w:shd w:val="clear" w:color="auto" w:fill="E1E1E1"/>
            <w:vAlign w:val="center"/>
          </w:tcPr>
          <w:p w:rsidR="00FC442D" w:rsidRPr="00B97AFC" w:rsidRDefault="00FC442D" w:rsidP="00FC442D">
            <w:pPr>
              <w:jc w:val="center"/>
              <w:rPr>
                <w:rFonts w:cs="Arial"/>
                <w:color w:val="000000"/>
                <w:lang w:val="pt-PT" w:eastAsia="en-GB"/>
              </w:rPr>
            </w:pPr>
            <w:r w:rsidRPr="00B97AFC">
              <w:rPr>
                <w:rFonts w:cs="Arial"/>
                <w:color w:val="000000"/>
                <w:lang w:val="pt-PT" w:eastAsia="en-GB"/>
              </w:rPr>
              <w:t xml:space="preserve">Febre tifóide, meningite meningocóccica,  infecções graves por </w:t>
            </w:r>
            <w:r w:rsidRPr="002472A1">
              <w:rPr>
                <w:rFonts w:cs="Arial"/>
                <w:i/>
                <w:color w:val="000000"/>
                <w:lang w:val="pt-PT" w:eastAsia="en-GB"/>
              </w:rPr>
              <w:t>H</w:t>
            </w:r>
            <w:r w:rsidRPr="00B97AFC">
              <w:rPr>
                <w:rFonts w:cs="Arial"/>
                <w:i/>
                <w:color w:val="000000"/>
                <w:lang w:val="pt-PT" w:eastAsia="en-GB"/>
              </w:rPr>
              <w:t>aemophilus influenzae</w:t>
            </w:r>
            <w:r w:rsidRPr="00B97AFC">
              <w:rPr>
                <w:rFonts w:cs="Arial"/>
                <w:color w:val="000000"/>
                <w:lang w:val="pt-PT" w:eastAsia="en-GB"/>
              </w:rPr>
              <w:t xml:space="preserve"> (pneumonia, artrite, osteomielite)</w:t>
            </w:r>
          </w:p>
        </w:tc>
        <w:tc>
          <w:tcPr>
            <w:tcW w:w="806" w:type="pct"/>
            <w:shd w:val="clear" w:color="auto" w:fill="E1E1E1"/>
            <w:vAlign w:val="center"/>
          </w:tcPr>
          <w:p w:rsidR="00FC442D" w:rsidRPr="00B97AFC" w:rsidRDefault="00FC442D" w:rsidP="00FC442D">
            <w:pPr>
              <w:jc w:val="center"/>
              <w:rPr>
                <w:rFonts w:cs="Arial"/>
                <w:color w:val="000000"/>
                <w:lang w:val="pt-PT" w:eastAsia="en-GB"/>
              </w:rPr>
            </w:pPr>
            <w:r w:rsidRPr="00B97AFC">
              <w:rPr>
                <w:rFonts w:cs="Arial"/>
                <w:color w:val="000000"/>
                <w:lang w:val="pt-PT" w:eastAsia="en-GB"/>
              </w:rPr>
              <w:t xml:space="preserve">Discrasias sanguíneas (dose-dependente ou dose-independente) com </w:t>
            </w:r>
            <w:r w:rsidRPr="00B97AFC">
              <w:rPr>
                <w:rFonts w:cs="Arial"/>
                <w:b/>
                <w:color w:val="000000"/>
                <w:lang w:val="pt-PT" w:eastAsia="en-GB"/>
              </w:rPr>
              <w:t>pancitopénia</w:t>
            </w:r>
          </w:p>
          <w:p w:rsidR="00FC442D" w:rsidRPr="00B97AFC" w:rsidRDefault="00FC442D" w:rsidP="00FC442D">
            <w:pPr>
              <w:jc w:val="center"/>
              <w:rPr>
                <w:rFonts w:cs="Arial"/>
                <w:color w:val="000000"/>
                <w:lang w:val="pt-PT" w:eastAsia="en-GB"/>
              </w:rPr>
            </w:pPr>
            <w:r w:rsidRPr="00B97AFC">
              <w:rPr>
                <w:rFonts w:cs="Arial"/>
                <w:color w:val="000000"/>
                <w:lang w:val="pt-PT" w:eastAsia="en-GB"/>
              </w:rPr>
              <w:t>Síndrome do bebé cinzento quando é administrado o cloranfenicol a prematuros ou nas 1as duas semanas de vida</w:t>
            </w:r>
          </w:p>
        </w:tc>
        <w:tc>
          <w:tcPr>
            <w:tcW w:w="929" w:type="pct"/>
            <w:shd w:val="clear" w:color="auto" w:fill="E1E1E1"/>
            <w:vAlign w:val="center"/>
          </w:tcPr>
          <w:p w:rsidR="00FC442D" w:rsidRPr="00B97AFC" w:rsidRDefault="00FC442D" w:rsidP="00FC442D">
            <w:pPr>
              <w:jc w:val="center"/>
              <w:rPr>
                <w:rFonts w:cs="Arial"/>
                <w:color w:val="000000"/>
                <w:lang w:val="pt-PT" w:eastAsia="en-GB"/>
              </w:rPr>
            </w:pPr>
            <w:r>
              <w:rPr>
                <w:rFonts w:cs="Arial"/>
                <w:color w:val="000000"/>
                <w:lang w:val="pt-PT" w:eastAsia="en-GB"/>
              </w:rPr>
              <w:t>Inibição da síntese proteí</w:t>
            </w:r>
            <w:r w:rsidRPr="00B97AFC">
              <w:rPr>
                <w:rFonts w:cs="Arial"/>
                <w:color w:val="000000"/>
                <w:lang w:val="pt-PT" w:eastAsia="en-GB"/>
              </w:rPr>
              <w:t xml:space="preserve">ca </w:t>
            </w:r>
          </w:p>
          <w:p w:rsidR="00FC442D" w:rsidRPr="00B97AFC" w:rsidRDefault="00FC442D" w:rsidP="00FC442D">
            <w:pPr>
              <w:jc w:val="center"/>
              <w:rPr>
                <w:rFonts w:cs="Arial"/>
                <w:color w:val="000000"/>
                <w:lang w:val="pt-PT" w:eastAsia="en-GB"/>
              </w:rPr>
            </w:pPr>
            <w:r w:rsidRPr="00B97AFC">
              <w:rPr>
                <w:rFonts w:cs="Arial"/>
                <w:color w:val="000000"/>
                <w:lang w:val="pt-PT" w:eastAsia="en-GB"/>
              </w:rPr>
              <w:t>(Principalmente bacteriostático)</w:t>
            </w:r>
          </w:p>
        </w:tc>
        <w:tc>
          <w:tcPr>
            <w:tcW w:w="656" w:type="pct"/>
            <w:shd w:val="clear" w:color="auto" w:fill="E1E1E1"/>
            <w:vAlign w:val="center"/>
          </w:tcPr>
          <w:p w:rsidR="00FC442D" w:rsidRPr="00B97AFC" w:rsidRDefault="00FC442D" w:rsidP="00FC442D">
            <w:pPr>
              <w:jc w:val="center"/>
              <w:rPr>
                <w:rFonts w:cs="Arial"/>
                <w:color w:val="000000"/>
                <w:lang w:val="pt-PT" w:eastAsia="en-GB"/>
              </w:rPr>
            </w:pPr>
            <w:r w:rsidRPr="00B97AFC">
              <w:rPr>
                <w:rFonts w:cs="Arial"/>
                <w:color w:val="000000"/>
                <w:lang w:val="pt-PT" w:eastAsia="en-GB"/>
              </w:rPr>
              <w:t>Via</w:t>
            </w:r>
            <w:r>
              <w:rPr>
                <w:rFonts w:cs="Arial"/>
                <w:color w:val="000000"/>
                <w:lang w:val="pt-PT" w:eastAsia="en-GB"/>
              </w:rPr>
              <w:t xml:space="preserve"> oral,</w:t>
            </w:r>
            <w:r w:rsidRPr="00B97AFC">
              <w:rPr>
                <w:rFonts w:cs="Arial"/>
                <w:color w:val="000000"/>
                <w:lang w:val="pt-PT" w:eastAsia="en-GB"/>
              </w:rPr>
              <w:t xml:space="preserve"> injetável</w:t>
            </w:r>
          </w:p>
        </w:tc>
      </w:tr>
      <w:tr w:rsidR="00FC442D" w:rsidRPr="00B97AFC" w:rsidTr="00AD66DD">
        <w:trPr>
          <w:tblCellSpacing w:w="15" w:type="dxa"/>
        </w:trPr>
        <w:tc>
          <w:tcPr>
            <w:tcW w:w="925" w:type="pct"/>
            <w:shd w:val="clear" w:color="auto" w:fill="E1E1E1"/>
            <w:vAlign w:val="center"/>
          </w:tcPr>
          <w:p w:rsidR="00FC442D" w:rsidRPr="00B97AFC" w:rsidRDefault="00FC442D" w:rsidP="00FC442D">
            <w:pPr>
              <w:jc w:val="center"/>
              <w:rPr>
                <w:rFonts w:cs="Arial"/>
                <w:b/>
                <w:bCs/>
                <w:color w:val="000000"/>
                <w:lang w:eastAsia="en-GB"/>
              </w:rPr>
            </w:pPr>
            <w:r w:rsidRPr="00B97AFC">
              <w:rPr>
                <w:rFonts w:cs="Arial"/>
                <w:b/>
                <w:bCs/>
                <w:color w:val="000000"/>
                <w:lang w:eastAsia="en-GB"/>
              </w:rPr>
              <w:t>Nitroimidazólicos</w:t>
            </w:r>
          </w:p>
        </w:tc>
        <w:tc>
          <w:tcPr>
            <w:tcW w:w="776" w:type="pct"/>
            <w:shd w:val="clear" w:color="auto" w:fill="E1E1E1"/>
            <w:vAlign w:val="center"/>
          </w:tcPr>
          <w:p w:rsidR="00FC442D" w:rsidRPr="00B97AFC" w:rsidRDefault="00FC442D" w:rsidP="00FC442D">
            <w:pPr>
              <w:jc w:val="center"/>
              <w:rPr>
                <w:rFonts w:cs="Arial"/>
                <w:i/>
                <w:iCs/>
                <w:color w:val="000000"/>
                <w:lang w:val="pt-PT" w:eastAsia="en-GB"/>
              </w:rPr>
            </w:pPr>
            <w:r w:rsidRPr="00181BC2">
              <w:rPr>
                <w:rFonts w:cs="Arial"/>
                <w:b/>
                <w:i/>
                <w:iCs/>
                <w:color w:val="000000"/>
                <w:lang w:val="pt-PT" w:eastAsia="en-GB"/>
              </w:rPr>
              <w:t>Metronidazol</w:t>
            </w:r>
            <w:r w:rsidRPr="00B97AFC">
              <w:rPr>
                <w:rFonts w:cs="Arial"/>
                <w:i/>
                <w:iCs/>
                <w:color w:val="000000"/>
                <w:lang w:val="pt-PT" w:eastAsia="en-GB"/>
              </w:rPr>
              <w:t xml:space="preserve"> </w:t>
            </w:r>
          </w:p>
          <w:p w:rsidR="00FC442D" w:rsidRPr="00B97AFC" w:rsidRDefault="00FC442D" w:rsidP="00FC442D">
            <w:pPr>
              <w:jc w:val="center"/>
              <w:rPr>
                <w:rFonts w:cs="Arial"/>
                <w:i/>
                <w:iCs/>
                <w:color w:val="000000"/>
                <w:lang w:val="pt-PT" w:eastAsia="en-GB"/>
              </w:rPr>
            </w:pPr>
            <w:r w:rsidRPr="00B97AFC">
              <w:rPr>
                <w:rFonts w:cs="Arial"/>
                <w:i/>
                <w:iCs/>
                <w:color w:val="000000"/>
                <w:lang w:val="pt-PT" w:eastAsia="en-GB"/>
              </w:rPr>
              <w:t xml:space="preserve"> </w:t>
            </w:r>
          </w:p>
        </w:tc>
        <w:tc>
          <w:tcPr>
            <w:tcW w:w="806" w:type="pct"/>
            <w:shd w:val="clear" w:color="auto" w:fill="E1E1E1"/>
            <w:vAlign w:val="center"/>
          </w:tcPr>
          <w:p w:rsidR="00FC442D" w:rsidRPr="00B97AFC" w:rsidRDefault="00FC442D" w:rsidP="00FC442D">
            <w:pPr>
              <w:jc w:val="center"/>
              <w:rPr>
                <w:rFonts w:cs="Arial"/>
                <w:color w:val="000000"/>
                <w:lang w:val="pt-PT" w:eastAsia="en-GB"/>
              </w:rPr>
            </w:pPr>
            <w:r w:rsidRPr="00B97AFC">
              <w:rPr>
                <w:rFonts w:cs="Arial"/>
                <w:color w:val="000000"/>
                <w:lang w:val="pt-PT" w:eastAsia="en-GB"/>
              </w:rPr>
              <w:t xml:space="preserve">Amebíase intestinal e extra-intestinal, giardíase, tricomoníase, infecções por </w:t>
            </w:r>
            <w:r w:rsidRPr="00B97AFC">
              <w:rPr>
                <w:rFonts w:cs="Arial"/>
                <w:color w:val="000000"/>
                <w:lang w:val="pt-PT" w:eastAsia="en-GB"/>
              </w:rPr>
              <w:lastRenderedPageBreak/>
              <w:t xml:space="preserve">anaeróbicos, vaginite bacteriana por </w:t>
            </w:r>
            <w:r w:rsidRPr="00B97AFC">
              <w:rPr>
                <w:rFonts w:cs="Arial"/>
                <w:i/>
                <w:color w:val="000000"/>
                <w:lang w:val="pt-PT" w:eastAsia="en-GB"/>
              </w:rPr>
              <w:t>G. vaginalis</w:t>
            </w:r>
          </w:p>
        </w:tc>
        <w:tc>
          <w:tcPr>
            <w:tcW w:w="806" w:type="pct"/>
            <w:shd w:val="clear" w:color="auto" w:fill="E1E1E1"/>
            <w:vAlign w:val="center"/>
          </w:tcPr>
          <w:p w:rsidR="00FC442D" w:rsidRPr="00B97AFC" w:rsidRDefault="00FC442D" w:rsidP="00FC442D">
            <w:pPr>
              <w:jc w:val="center"/>
              <w:rPr>
                <w:rFonts w:cs="Arial"/>
                <w:color w:val="000000"/>
                <w:lang w:val="pt-PT" w:eastAsia="en-GB"/>
              </w:rPr>
            </w:pPr>
            <w:r w:rsidRPr="00B97AFC">
              <w:rPr>
                <w:rFonts w:cs="Arial"/>
                <w:color w:val="000000"/>
                <w:lang w:val="pt-PT" w:eastAsia="en-GB"/>
              </w:rPr>
              <w:lastRenderedPageBreak/>
              <w:t>Cefaleia, vertigens, náusea, vómitos, neur</w:t>
            </w:r>
            <w:r>
              <w:rPr>
                <w:rFonts w:cs="Arial"/>
                <w:color w:val="000000"/>
                <w:lang w:val="pt-PT" w:eastAsia="en-GB"/>
              </w:rPr>
              <w:t>o</w:t>
            </w:r>
            <w:r w:rsidRPr="00B97AFC">
              <w:rPr>
                <w:rFonts w:cs="Arial"/>
                <w:color w:val="000000"/>
                <w:lang w:val="pt-PT" w:eastAsia="en-GB"/>
              </w:rPr>
              <w:t xml:space="preserve">patia, sabor metálico. </w:t>
            </w:r>
            <w:r w:rsidRPr="00B97AFC">
              <w:rPr>
                <w:rFonts w:cs="Arial"/>
                <w:color w:val="000000"/>
                <w:lang w:val="pt-PT" w:eastAsia="en-GB"/>
              </w:rPr>
              <w:lastRenderedPageBreak/>
              <w:t xml:space="preserve">Informar ao paciente que </w:t>
            </w:r>
            <w:r w:rsidRPr="00B97AFC">
              <w:rPr>
                <w:rFonts w:cs="Arial"/>
                <w:b/>
                <w:color w:val="000000"/>
                <w:lang w:val="pt-PT" w:eastAsia="en-GB"/>
              </w:rPr>
              <w:t>NUNCA</w:t>
            </w:r>
            <w:r w:rsidRPr="00B97AFC">
              <w:rPr>
                <w:rFonts w:cs="Arial"/>
                <w:color w:val="000000"/>
                <w:lang w:val="pt-PT" w:eastAsia="en-GB"/>
              </w:rPr>
              <w:t xml:space="preserve"> deve consumir álcool durante o tratamento</w:t>
            </w:r>
            <w:r>
              <w:rPr>
                <w:rFonts w:cs="Arial"/>
                <w:color w:val="000000"/>
                <w:lang w:val="pt-PT" w:eastAsia="en-GB"/>
              </w:rPr>
              <w:t xml:space="preserve"> ( reacção de tipo “antabus”)</w:t>
            </w:r>
          </w:p>
        </w:tc>
        <w:tc>
          <w:tcPr>
            <w:tcW w:w="929" w:type="pct"/>
            <w:shd w:val="clear" w:color="auto" w:fill="E1E1E1"/>
            <w:vAlign w:val="center"/>
          </w:tcPr>
          <w:p w:rsidR="00FC442D" w:rsidRPr="00B97AFC" w:rsidRDefault="00FC442D" w:rsidP="00FC442D">
            <w:pPr>
              <w:jc w:val="center"/>
              <w:rPr>
                <w:rFonts w:cs="Arial"/>
                <w:color w:val="000000"/>
                <w:lang w:val="pt-PT" w:eastAsia="en-GB"/>
              </w:rPr>
            </w:pPr>
            <w:r w:rsidRPr="00B97AFC">
              <w:rPr>
                <w:rFonts w:cs="Arial"/>
                <w:color w:val="000000"/>
                <w:lang w:val="pt-PT" w:eastAsia="en-GB"/>
              </w:rPr>
              <w:lastRenderedPageBreak/>
              <w:t>Inibição da síntese d</w:t>
            </w:r>
            <w:r>
              <w:rPr>
                <w:rFonts w:cs="Arial"/>
                <w:color w:val="000000"/>
                <w:lang w:val="pt-PT" w:eastAsia="en-GB"/>
              </w:rPr>
              <w:t>e ácidos nucleí</w:t>
            </w:r>
            <w:r w:rsidRPr="00B97AFC">
              <w:rPr>
                <w:rFonts w:cs="Arial"/>
                <w:color w:val="000000"/>
                <w:lang w:val="pt-PT" w:eastAsia="en-GB"/>
              </w:rPr>
              <w:t xml:space="preserve">cos </w:t>
            </w:r>
          </w:p>
          <w:p w:rsidR="00FC442D" w:rsidRPr="00B97AFC" w:rsidRDefault="00FC442D" w:rsidP="00FC442D">
            <w:pPr>
              <w:jc w:val="center"/>
              <w:rPr>
                <w:rFonts w:cs="Arial"/>
                <w:color w:val="000000"/>
                <w:lang w:val="pt-PT" w:eastAsia="en-GB"/>
              </w:rPr>
            </w:pPr>
            <w:r w:rsidRPr="00B97AFC">
              <w:rPr>
                <w:rFonts w:cs="Arial"/>
                <w:color w:val="000000"/>
                <w:lang w:val="pt-PT" w:eastAsia="en-GB"/>
              </w:rPr>
              <w:t>(bactericida)</w:t>
            </w:r>
          </w:p>
        </w:tc>
        <w:tc>
          <w:tcPr>
            <w:tcW w:w="656" w:type="pct"/>
            <w:shd w:val="clear" w:color="auto" w:fill="E1E1E1"/>
            <w:vAlign w:val="center"/>
          </w:tcPr>
          <w:p w:rsidR="00FC442D" w:rsidRPr="00B97AFC" w:rsidRDefault="00FC442D" w:rsidP="00FC442D">
            <w:pPr>
              <w:jc w:val="center"/>
              <w:rPr>
                <w:rFonts w:cs="Arial"/>
                <w:color w:val="000000"/>
                <w:lang w:val="pt-PT" w:eastAsia="en-GB"/>
              </w:rPr>
            </w:pPr>
            <w:r>
              <w:rPr>
                <w:rFonts w:cs="Arial"/>
                <w:color w:val="000000"/>
                <w:lang w:val="pt-PT" w:eastAsia="en-GB"/>
              </w:rPr>
              <w:t>Via oral, injectável</w:t>
            </w:r>
          </w:p>
        </w:tc>
      </w:tr>
    </w:tbl>
    <w:p w:rsidR="00951225" w:rsidRDefault="00FC442D" w:rsidP="00CA3ED0">
      <w:pPr>
        <w:pStyle w:val="TM-3n"/>
        <w:numPr>
          <w:ilvl w:val="0"/>
          <w:numId w:val="0"/>
        </w:numPr>
        <w:tabs>
          <w:tab w:val="clear" w:pos="1276"/>
        </w:tabs>
        <w:jc w:val="left"/>
        <w:rPr>
          <w:lang w:val="pt-BR"/>
        </w:rPr>
      </w:pPr>
      <w:r>
        <w:rPr>
          <w:lang w:val="pt-BR"/>
        </w:rPr>
        <w:lastRenderedPageBreak/>
        <w:t>Em negrito, estão os anti-bacterianos frequentemente disponíveis nas unidades sanitárias</w:t>
      </w:r>
    </w:p>
    <w:p w:rsidR="00AD66DD" w:rsidRDefault="00AD66DD" w:rsidP="00AD66DD">
      <w:pPr>
        <w:pStyle w:val="TM-3n"/>
        <w:numPr>
          <w:ilvl w:val="0"/>
          <w:numId w:val="0"/>
        </w:numPr>
        <w:tabs>
          <w:tab w:val="clear" w:pos="1276"/>
        </w:tabs>
        <w:jc w:val="left"/>
        <w:rPr>
          <w:lang w:val="pt-BR"/>
        </w:rPr>
      </w:pPr>
    </w:p>
    <w:p w:rsidR="00FC442D" w:rsidRDefault="00FC442D" w:rsidP="00FC442D">
      <w:pPr>
        <w:pStyle w:val="TM-1n"/>
        <w:numPr>
          <w:ilvl w:val="0"/>
          <w:numId w:val="0"/>
        </w:numPr>
        <w:shd w:val="clear" w:color="auto" w:fill="C6D9F1"/>
      </w:pPr>
      <w:r>
        <w:t xml:space="preserve">BLOCO 6: </w:t>
      </w:r>
      <w:r w:rsidRPr="000B25DB">
        <w:t>PONTOS</w:t>
      </w:r>
      <w:r>
        <w:t>-</w:t>
      </w:r>
      <w:r w:rsidRPr="000B25DB">
        <w:t>CHAVE</w:t>
      </w:r>
      <w:r>
        <w:tab/>
      </w:r>
    </w:p>
    <w:p w:rsidR="00FC442D" w:rsidRDefault="00FC442D" w:rsidP="00C52E09">
      <w:pPr>
        <w:pStyle w:val="TM-4n"/>
        <w:numPr>
          <w:ilvl w:val="0"/>
          <w:numId w:val="173"/>
        </w:numPr>
        <w:tabs>
          <w:tab w:val="clear" w:pos="720"/>
          <w:tab w:val="clear" w:pos="1134"/>
        </w:tabs>
        <w:spacing w:before="120" w:after="0" w:line="276" w:lineRule="auto"/>
        <w:ind w:left="446" w:hanging="446"/>
      </w:pPr>
      <w:r>
        <w:t xml:space="preserve">Os anti-microbianos são fármacos usados no tratamento de doenças infecciosas e provocam a morte ou inibição do crescimento dos microrganismos. </w:t>
      </w:r>
    </w:p>
    <w:p w:rsidR="00FC442D" w:rsidRDefault="00FC442D" w:rsidP="00C52E09">
      <w:pPr>
        <w:pStyle w:val="TM-4n"/>
        <w:numPr>
          <w:ilvl w:val="0"/>
          <w:numId w:val="173"/>
        </w:numPr>
        <w:tabs>
          <w:tab w:val="clear" w:pos="720"/>
          <w:tab w:val="clear" w:pos="1134"/>
        </w:tabs>
        <w:spacing w:before="120" w:after="0" w:line="276" w:lineRule="auto"/>
        <w:ind w:left="446" w:hanging="446"/>
      </w:pPr>
      <w:r>
        <w:t>Os anti-microbianos têm diversas formas de serem classificados, sendo esta classificação útil para a melhor compreensão das características dos fármacos.</w:t>
      </w:r>
    </w:p>
    <w:p w:rsidR="00FC442D" w:rsidRDefault="00FC442D" w:rsidP="00C52E09">
      <w:pPr>
        <w:pStyle w:val="TM-4n"/>
        <w:numPr>
          <w:ilvl w:val="0"/>
          <w:numId w:val="173"/>
        </w:numPr>
        <w:tabs>
          <w:tab w:val="clear" w:pos="720"/>
          <w:tab w:val="clear" w:pos="1134"/>
        </w:tabs>
        <w:spacing w:before="120" w:after="0" w:line="276" w:lineRule="auto"/>
        <w:ind w:left="446" w:hanging="446"/>
      </w:pPr>
      <w:r>
        <w:t>De acordo com os microrganismos susceptíveis os anti-microbianos podem ser: anti-bacterianos (bactérias), anti-parasitários (parasitas), anti-fúngicos (fungos), anti-virais (vírus).</w:t>
      </w:r>
    </w:p>
    <w:p w:rsidR="00FC442D" w:rsidRDefault="00FC442D" w:rsidP="00C52E09">
      <w:pPr>
        <w:pStyle w:val="TM-4n"/>
        <w:numPr>
          <w:ilvl w:val="0"/>
          <w:numId w:val="173"/>
        </w:numPr>
        <w:tabs>
          <w:tab w:val="clear" w:pos="720"/>
          <w:tab w:val="clear" w:pos="1134"/>
        </w:tabs>
        <w:spacing w:before="120" w:after="0" w:line="276" w:lineRule="auto"/>
        <w:ind w:left="446" w:hanging="446"/>
      </w:pPr>
      <w:r>
        <w:t>Bactericidas são anti-microbianos que destroem (matam) os microrganismos. Bacterostáticos são anti-microbianos que inibem o crescimento dos microrganismos</w:t>
      </w:r>
    </w:p>
    <w:p w:rsidR="00FC442D" w:rsidRDefault="00FC442D" w:rsidP="00C52E09">
      <w:pPr>
        <w:pStyle w:val="TM-4n"/>
        <w:numPr>
          <w:ilvl w:val="0"/>
          <w:numId w:val="173"/>
        </w:numPr>
        <w:tabs>
          <w:tab w:val="clear" w:pos="720"/>
          <w:tab w:val="clear" w:pos="1134"/>
        </w:tabs>
        <w:spacing w:before="120" w:after="0" w:line="276" w:lineRule="auto"/>
        <w:ind w:left="446" w:hanging="446"/>
      </w:pPr>
      <w:r>
        <w:t>Os anti-microbianos actuam por um ou mais dos seguintes mecanismos: inibição da síntese da parede celular, lesão da membrana celular, inibição da síntese proteica, inibição da síntese dos ácidos nucléicos e inibição da actividade enzimática</w:t>
      </w:r>
    </w:p>
    <w:p w:rsidR="00FC442D" w:rsidRDefault="00FC442D" w:rsidP="00C52E09">
      <w:pPr>
        <w:pStyle w:val="TM-4n"/>
        <w:numPr>
          <w:ilvl w:val="0"/>
          <w:numId w:val="173"/>
        </w:numPr>
        <w:tabs>
          <w:tab w:val="clear" w:pos="720"/>
          <w:tab w:val="clear" w:pos="1134"/>
        </w:tabs>
        <w:spacing w:before="120" w:after="0" w:line="276" w:lineRule="auto"/>
        <w:ind w:left="446" w:hanging="446"/>
      </w:pPr>
      <w:r>
        <w:t xml:space="preserve">Os anti-bacterianos podem ter espectro limitado ou amplo  </w:t>
      </w:r>
    </w:p>
    <w:p w:rsidR="00FC442D" w:rsidRDefault="00FC442D" w:rsidP="00C52E09">
      <w:pPr>
        <w:pStyle w:val="TM-4n"/>
        <w:numPr>
          <w:ilvl w:val="0"/>
          <w:numId w:val="173"/>
        </w:numPr>
        <w:tabs>
          <w:tab w:val="clear" w:pos="720"/>
          <w:tab w:val="clear" w:pos="1134"/>
        </w:tabs>
        <w:spacing w:before="120" w:after="0" w:line="276" w:lineRule="auto"/>
        <w:ind w:left="446" w:hanging="446"/>
      </w:pPr>
      <w:r>
        <w:t>As principais classes de anti-bacterianos são: penicilinas, cefalosporinas, aminoglicosídeos, macrólidos, tetraciclinas, quinolonas, sulfamidas, anfenicóis e nitroimidazólicos.</w:t>
      </w:r>
    </w:p>
    <w:p w:rsidR="00BE2C41" w:rsidRDefault="00BE2C41">
      <w:pPr>
        <w:rPr>
          <w:rFonts w:cs="Arial"/>
          <w:b/>
          <w:bCs/>
          <w:lang w:val="pt-PT"/>
        </w:rPr>
      </w:pPr>
      <w:r>
        <w:rPr>
          <w:rFonts w:cs="Arial"/>
          <w:b/>
          <w:bCs/>
          <w:lang w:val="pt-PT"/>
        </w:rPr>
        <w:br w:type="page"/>
      </w:r>
    </w:p>
    <w:tbl>
      <w:tblPr>
        <w:tblW w:w="10150" w:type="dxa"/>
        <w:tblLayout w:type="fixed"/>
        <w:tblCellMar>
          <w:left w:w="70" w:type="dxa"/>
          <w:right w:w="70" w:type="dxa"/>
        </w:tblCellMar>
        <w:tblLook w:val="0020" w:firstRow="1" w:lastRow="0" w:firstColumn="0" w:lastColumn="0" w:noHBand="0" w:noVBand="0"/>
      </w:tblPr>
      <w:tblGrid>
        <w:gridCol w:w="1418"/>
        <w:gridCol w:w="5492"/>
        <w:gridCol w:w="1710"/>
        <w:gridCol w:w="1530"/>
      </w:tblGrid>
      <w:tr w:rsidR="00FC442D" w:rsidRPr="004A2F01" w:rsidTr="00FC442D">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FC442D" w:rsidRPr="004A2F01" w:rsidRDefault="00FC442D" w:rsidP="00FC442D">
            <w:pPr>
              <w:spacing w:line="240" w:lineRule="auto"/>
              <w:jc w:val="both"/>
              <w:rPr>
                <w:rFonts w:eastAsia="Calibri" w:cs="Arial"/>
                <w:b/>
                <w:lang w:val="pt-PT"/>
              </w:rPr>
            </w:pPr>
            <w:r w:rsidRPr="004A2F01">
              <w:rPr>
                <w:rFonts w:eastAsia="Calibri" w:cs="Arial"/>
                <w:b/>
                <w:lang w:val="pt-PT"/>
              </w:rPr>
              <w:lastRenderedPageBreak/>
              <w:t>Disciplina</w:t>
            </w:r>
          </w:p>
        </w:tc>
        <w:tc>
          <w:tcPr>
            <w:tcW w:w="5492" w:type="dxa"/>
            <w:tcBorders>
              <w:top w:val="single" w:sz="6" w:space="0" w:color="000000"/>
              <w:left w:val="single" w:sz="6" w:space="0" w:color="000000"/>
              <w:bottom w:val="single" w:sz="6" w:space="0" w:color="000000"/>
              <w:right w:val="single" w:sz="6" w:space="0" w:color="000000"/>
            </w:tcBorders>
            <w:vAlign w:val="center"/>
          </w:tcPr>
          <w:p w:rsidR="00FC442D" w:rsidRPr="004A2F01" w:rsidRDefault="00FC442D" w:rsidP="00FC442D">
            <w:pPr>
              <w:spacing w:line="240" w:lineRule="auto"/>
              <w:jc w:val="both"/>
              <w:rPr>
                <w:rFonts w:eastAsia="Calibri" w:cs="Arial"/>
                <w:lang w:val="pt-PT"/>
              </w:rPr>
            </w:pPr>
            <w:r w:rsidRPr="004A2F01">
              <w:rPr>
                <w:rFonts w:eastAsia="Calibri" w:cs="Arial"/>
                <w:lang w:val="pt-PT"/>
              </w:rPr>
              <w:t>Introdução às Ciências Médicas</w:t>
            </w:r>
          </w:p>
        </w:tc>
        <w:tc>
          <w:tcPr>
            <w:tcW w:w="1710" w:type="dxa"/>
            <w:tcBorders>
              <w:top w:val="single" w:sz="6" w:space="0" w:color="000000"/>
              <w:left w:val="single" w:sz="6" w:space="0" w:color="000000"/>
              <w:bottom w:val="single" w:sz="6" w:space="0" w:color="000000"/>
              <w:right w:val="single" w:sz="6" w:space="0" w:color="000000"/>
            </w:tcBorders>
            <w:vAlign w:val="center"/>
          </w:tcPr>
          <w:p w:rsidR="00FC442D" w:rsidRPr="004A2F01" w:rsidRDefault="00FC442D" w:rsidP="00FC442D">
            <w:pPr>
              <w:spacing w:line="240" w:lineRule="auto"/>
              <w:jc w:val="both"/>
              <w:rPr>
                <w:rFonts w:eastAsia="Calibri" w:cs="Arial"/>
                <w:b/>
                <w:lang w:val="pt-PT"/>
              </w:rPr>
            </w:pPr>
            <w:r w:rsidRPr="004A2F01">
              <w:rPr>
                <w:rFonts w:eastAsia="Calibri" w:cs="Arial"/>
                <w:b/>
                <w:lang w:val="pt-PT"/>
              </w:rPr>
              <w:t xml:space="preserve">N° da Aula </w:t>
            </w:r>
          </w:p>
        </w:tc>
        <w:tc>
          <w:tcPr>
            <w:tcW w:w="1530" w:type="dxa"/>
            <w:tcBorders>
              <w:top w:val="single" w:sz="6" w:space="0" w:color="000000"/>
              <w:left w:val="single" w:sz="6" w:space="0" w:color="000000"/>
              <w:bottom w:val="single" w:sz="6" w:space="0" w:color="000000"/>
              <w:right w:val="single" w:sz="6" w:space="0" w:color="000000"/>
            </w:tcBorders>
            <w:vAlign w:val="center"/>
          </w:tcPr>
          <w:p w:rsidR="00FC442D" w:rsidRPr="004A2F01" w:rsidRDefault="00FC442D" w:rsidP="00FC442D">
            <w:pPr>
              <w:spacing w:line="240" w:lineRule="auto"/>
              <w:jc w:val="both"/>
              <w:rPr>
                <w:rFonts w:eastAsia="Calibri" w:cs="Arial"/>
                <w:lang w:val="pt-PT"/>
              </w:rPr>
            </w:pPr>
            <w:r w:rsidRPr="004A2F01">
              <w:rPr>
                <w:rFonts w:eastAsia="Calibri" w:cs="Arial"/>
                <w:lang w:val="pt-PT"/>
              </w:rPr>
              <w:t>19</w:t>
            </w:r>
          </w:p>
        </w:tc>
      </w:tr>
      <w:tr w:rsidR="00FC442D" w:rsidRPr="004A2F01" w:rsidTr="00FC442D">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FC442D" w:rsidRPr="004A2F01" w:rsidRDefault="00FC442D" w:rsidP="00FC442D">
            <w:pPr>
              <w:spacing w:line="240" w:lineRule="auto"/>
              <w:jc w:val="both"/>
              <w:rPr>
                <w:rFonts w:eastAsia="Calibri" w:cs="Arial"/>
                <w:b/>
                <w:lang w:val="pt-PT"/>
              </w:rPr>
            </w:pPr>
            <w:r w:rsidRPr="004A2F01">
              <w:rPr>
                <w:rFonts w:eastAsia="Calibri" w:cs="Arial"/>
                <w:b/>
                <w:lang w:val="pt-PT"/>
              </w:rPr>
              <w:t>Tópico</w:t>
            </w:r>
          </w:p>
        </w:tc>
        <w:tc>
          <w:tcPr>
            <w:tcW w:w="5492" w:type="dxa"/>
            <w:tcBorders>
              <w:top w:val="single" w:sz="6" w:space="0" w:color="000000"/>
              <w:left w:val="single" w:sz="6" w:space="0" w:color="000000"/>
              <w:bottom w:val="single" w:sz="6" w:space="0" w:color="000000"/>
              <w:right w:val="single" w:sz="6" w:space="0" w:color="000000"/>
            </w:tcBorders>
            <w:vAlign w:val="center"/>
          </w:tcPr>
          <w:p w:rsidR="00FC442D" w:rsidRPr="004A2F01" w:rsidRDefault="00FC442D" w:rsidP="00FC442D">
            <w:pPr>
              <w:spacing w:line="240" w:lineRule="auto"/>
              <w:jc w:val="both"/>
              <w:rPr>
                <w:rFonts w:eastAsia="Calibri" w:cs="Arial"/>
                <w:lang w:val="pt-PT"/>
              </w:rPr>
            </w:pPr>
            <w:r w:rsidRPr="004A2F01">
              <w:rPr>
                <w:rFonts w:eastAsia="Calibri" w:cs="Arial"/>
                <w:lang w:val="pt-PT"/>
              </w:rPr>
              <w:t>Farmacologia</w:t>
            </w:r>
          </w:p>
        </w:tc>
        <w:tc>
          <w:tcPr>
            <w:tcW w:w="1710" w:type="dxa"/>
            <w:tcBorders>
              <w:top w:val="single" w:sz="6" w:space="0" w:color="000000"/>
              <w:left w:val="single" w:sz="6" w:space="0" w:color="000000"/>
              <w:bottom w:val="single" w:sz="6" w:space="0" w:color="000000"/>
              <w:right w:val="single" w:sz="6" w:space="0" w:color="000000"/>
            </w:tcBorders>
            <w:vAlign w:val="center"/>
          </w:tcPr>
          <w:p w:rsidR="00FC442D" w:rsidRPr="004A2F01" w:rsidRDefault="00FC442D" w:rsidP="00FC442D">
            <w:pPr>
              <w:spacing w:line="240" w:lineRule="auto"/>
              <w:jc w:val="both"/>
              <w:rPr>
                <w:rFonts w:eastAsia="Calibri" w:cs="Arial"/>
                <w:b/>
                <w:lang w:val="pt-PT"/>
              </w:rPr>
            </w:pPr>
            <w:r w:rsidRPr="004A2F01">
              <w:rPr>
                <w:rFonts w:eastAsia="Calibri" w:cs="Arial"/>
                <w:b/>
                <w:lang w:val="pt-PT"/>
              </w:rPr>
              <w:t xml:space="preserve">Tipo </w:t>
            </w:r>
          </w:p>
        </w:tc>
        <w:tc>
          <w:tcPr>
            <w:tcW w:w="1530" w:type="dxa"/>
            <w:tcBorders>
              <w:top w:val="single" w:sz="6" w:space="0" w:color="000000"/>
              <w:left w:val="single" w:sz="6" w:space="0" w:color="000000"/>
              <w:bottom w:val="single" w:sz="6" w:space="0" w:color="000000"/>
              <w:right w:val="single" w:sz="6" w:space="0" w:color="000000"/>
            </w:tcBorders>
            <w:vAlign w:val="center"/>
          </w:tcPr>
          <w:p w:rsidR="00FC442D" w:rsidRPr="004A2F01" w:rsidRDefault="00FC442D" w:rsidP="00FC442D">
            <w:pPr>
              <w:spacing w:line="240" w:lineRule="auto"/>
              <w:jc w:val="both"/>
              <w:rPr>
                <w:rFonts w:eastAsia="Calibri" w:cs="Arial"/>
                <w:lang w:val="pt-PT"/>
              </w:rPr>
            </w:pPr>
            <w:r w:rsidRPr="004A2F01">
              <w:rPr>
                <w:rFonts w:eastAsia="Calibri" w:cs="Arial"/>
                <w:lang w:val="pt-PT"/>
              </w:rPr>
              <w:t>Teórica</w:t>
            </w:r>
          </w:p>
        </w:tc>
      </w:tr>
      <w:tr w:rsidR="00FC442D" w:rsidRPr="004A2F01" w:rsidTr="00FC442D">
        <w:trPr>
          <w:cantSplit/>
          <w:trHeight w:val="414"/>
        </w:trPr>
        <w:tc>
          <w:tcPr>
            <w:tcW w:w="1418" w:type="dxa"/>
            <w:tcBorders>
              <w:top w:val="single" w:sz="6" w:space="0" w:color="000000"/>
              <w:left w:val="single" w:sz="6" w:space="0" w:color="000000"/>
              <w:bottom w:val="single" w:sz="6" w:space="0" w:color="000000"/>
              <w:right w:val="single" w:sz="6" w:space="0" w:color="000000"/>
            </w:tcBorders>
            <w:vAlign w:val="center"/>
          </w:tcPr>
          <w:p w:rsidR="00FC442D" w:rsidRPr="004A2F01" w:rsidRDefault="00FC442D" w:rsidP="00FC442D">
            <w:pPr>
              <w:spacing w:line="240" w:lineRule="auto"/>
              <w:jc w:val="both"/>
              <w:rPr>
                <w:rFonts w:eastAsia="Calibri" w:cs="Arial"/>
                <w:b/>
                <w:lang w:val="pt-PT"/>
              </w:rPr>
            </w:pPr>
            <w:r w:rsidRPr="004A2F01">
              <w:rPr>
                <w:rFonts w:eastAsia="Calibri" w:cs="Arial"/>
                <w:b/>
                <w:lang w:val="pt-PT"/>
              </w:rPr>
              <w:t>Conteúdos</w:t>
            </w:r>
          </w:p>
        </w:tc>
        <w:tc>
          <w:tcPr>
            <w:tcW w:w="5492" w:type="dxa"/>
            <w:tcBorders>
              <w:top w:val="single" w:sz="6" w:space="0" w:color="000000"/>
              <w:left w:val="single" w:sz="6" w:space="0" w:color="000000"/>
              <w:bottom w:val="single" w:sz="6" w:space="0" w:color="000000"/>
              <w:right w:val="single" w:sz="6" w:space="0" w:color="000000"/>
            </w:tcBorders>
            <w:vAlign w:val="center"/>
          </w:tcPr>
          <w:p w:rsidR="00FC442D" w:rsidRPr="00BE2C41" w:rsidRDefault="00FC442D" w:rsidP="00BE2C41">
            <w:pPr>
              <w:spacing w:after="0" w:line="240" w:lineRule="auto"/>
              <w:jc w:val="both"/>
              <w:rPr>
                <w:rFonts w:eastAsia="Calibri" w:cs="Arial"/>
                <w:lang w:val="pt-PT"/>
              </w:rPr>
            </w:pPr>
            <w:bookmarkStart w:id="24" w:name="_Toc329099767"/>
            <w:r w:rsidRPr="00BE2C41">
              <w:rPr>
                <w:rStyle w:val="Heading1Char"/>
                <w:b w:val="0"/>
                <w:sz w:val="22"/>
                <w:szCs w:val="22"/>
                <w:lang w:val="pt-BR"/>
              </w:rPr>
              <w:t>Farmacologia Especial de Sistemas</w:t>
            </w:r>
            <w:bookmarkEnd w:id="24"/>
            <w:r w:rsidRPr="00BE2C41">
              <w:rPr>
                <w:rFonts w:eastAsia="Calibri" w:cs="Arial"/>
                <w:lang w:val="pt-PT"/>
              </w:rPr>
              <w:t xml:space="preserve"> 2:</w:t>
            </w:r>
          </w:p>
          <w:p w:rsidR="00FC442D" w:rsidRPr="004A2F01" w:rsidRDefault="00FC442D" w:rsidP="00BE2C41">
            <w:pPr>
              <w:spacing w:after="0" w:line="240" w:lineRule="auto"/>
              <w:jc w:val="both"/>
              <w:rPr>
                <w:rFonts w:eastAsia="Calibri" w:cs="Arial"/>
                <w:lang w:val="pt-PT"/>
              </w:rPr>
            </w:pPr>
            <w:r w:rsidRPr="00BE2C41">
              <w:rPr>
                <w:rFonts w:cs="Arial"/>
                <w:lang w:val="pt-BR"/>
              </w:rPr>
              <w:t>- Anti-Bacterianos</w:t>
            </w:r>
          </w:p>
        </w:tc>
        <w:tc>
          <w:tcPr>
            <w:tcW w:w="1710" w:type="dxa"/>
            <w:tcBorders>
              <w:top w:val="single" w:sz="6" w:space="0" w:color="000000"/>
              <w:left w:val="single" w:sz="6" w:space="0" w:color="000000"/>
              <w:bottom w:val="single" w:sz="6" w:space="0" w:color="000000"/>
              <w:right w:val="single" w:sz="6" w:space="0" w:color="000000"/>
            </w:tcBorders>
            <w:vAlign w:val="center"/>
          </w:tcPr>
          <w:p w:rsidR="00FC442D" w:rsidRPr="004A2F01" w:rsidRDefault="00FC442D" w:rsidP="00FC442D">
            <w:pPr>
              <w:spacing w:line="240" w:lineRule="auto"/>
              <w:jc w:val="both"/>
              <w:rPr>
                <w:rFonts w:eastAsia="Calibri" w:cs="Arial"/>
                <w:b/>
                <w:lang w:val="pt-PT"/>
              </w:rPr>
            </w:pPr>
            <w:r w:rsidRPr="004A2F01">
              <w:rPr>
                <w:rFonts w:eastAsia="Calibri" w:cs="Arial"/>
                <w:b/>
                <w:lang w:val="pt-PT"/>
              </w:rPr>
              <w:t>Duração</w:t>
            </w:r>
          </w:p>
        </w:tc>
        <w:tc>
          <w:tcPr>
            <w:tcW w:w="1530" w:type="dxa"/>
            <w:tcBorders>
              <w:top w:val="single" w:sz="6" w:space="0" w:color="000000"/>
              <w:left w:val="single" w:sz="6" w:space="0" w:color="000000"/>
              <w:bottom w:val="single" w:sz="6" w:space="0" w:color="000000"/>
              <w:right w:val="single" w:sz="6" w:space="0" w:color="000000"/>
            </w:tcBorders>
            <w:vAlign w:val="center"/>
          </w:tcPr>
          <w:p w:rsidR="00FC442D" w:rsidRPr="004A2F01" w:rsidRDefault="00FC442D" w:rsidP="00FC442D">
            <w:pPr>
              <w:spacing w:line="240" w:lineRule="auto"/>
              <w:jc w:val="both"/>
              <w:rPr>
                <w:rFonts w:eastAsia="Calibri" w:cs="Arial"/>
                <w:lang w:val="pt-PT"/>
              </w:rPr>
            </w:pPr>
            <w:r w:rsidRPr="004A2F01">
              <w:rPr>
                <w:rFonts w:eastAsia="Calibri" w:cs="Arial"/>
                <w:lang w:val="pt-PT"/>
              </w:rPr>
              <w:t>2 h</w:t>
            </w:r>
          </w:p>
        </w:tc>
      </w:tr>
    </w:tbl>
    <w:p w:rsidR="00FC442D" w:rsidRPr="004A2F01" w:rsidRDefault="00FC442D" w:rsidP="00AD66DD">
      <w:pPr>
        <w:spacing w:line="240" w:lineRule="auto"/>
        <w:jc w:val="both"/>
        <w:outlineLvl w:val="0"/>
        <w:rPr>
          <w:rFonts w:cs="Arial"/>
          <w:b/>
          <w:bCs/>
          <w:lang w:val="pt-PT"/>
        </w:rPr>
      </w:pPr>
    </w:p>
    <w:p w:rsidR="00FC442D" w:rsidRPr="0052785B" w:rsidRDefault="00FC442D" w:rsidP="0052785B">
      <w:pPr>
        <w:rPr>
          <w:b/>
          <w:lang w:val="pt-PT"/>
        </w:rPr>
      </w:pPr>
      <w:r w:rsidRPr="0052785B">
        <w:rPr>
          <w:b/>
          <w:lang w:val="pt-PT"/>
        </w:rPr>
        <w:t>Objectivos de Aprendizagem:</w:t>
      </w:r>
    </w:p>
    <w:p w:rsidR="00FC442D" w:rsidRPr="004A2F01" w:rsidRDefault="00FC442D" w:rsidP="00FC442D">
      <w:pPr>
        <w:jc w:val="both"/>
        <w:rPr>
          <w:rFonts w:cs="Arial"/>
          <w:lang w:val="pt-PT"/>
        </w:rPr>
      </w:pPr>
      <w:r w:rsidRPr="004A2F01">
        <w:rPr>
          <w:rFonts w:cs="Arial"/>
          <w:lang w:val="pt-PT"/>
        </w:rPr>
        <w:t>Até ao fim da aula os alunos devem ser capazes de:</w:t>
      </w:r>
    </w:p>
    <w:p w:rsidR="00FC442D" w:rsidRPr="004A2F01" w:rsidRDefault="00FC442D" w:rsidP="00C52E09">
      <w:pPr>
        <w:pStyle w:val="ListParagraph"/>
        <w:numPr>
          <w:ilvl w:val="0"/>
          <w:numId w:val="259"/>
        </w:numPr>
        <w:spacing w:after="0"/>
        <w:contextualSpacing w:val="0"/>
        <w:jc w:val="both"/>
        <w:rPr>
          <w:rFonts w:cs="Arial"/>
          <w:lang w:val="pt-PT"/>
        </w:rPr>
      </w:pPr>
      <w:r w:rsidRPr="004A2F01">
        <w:rPr>
          <w:rFonts w:cs="Arial"/>
          <w:lang w:val="pt-PT"/>
        </w:rPr>
        <w:t>Identificar e descrever os principais tipos de anti-bacterianos baseados nos seguintes itens: mecanismo de acção, forma farmacêutica, vias de administração, indicações, contra-indicações, precauções, efeitos secundários, interacções e dose e dosagem</w:t>
      </w:r>
    </w:p>
    <w:p w:rsidR="00FC442D" w:rsidRPr="004A2F01" w:rsidRDefault="00FC442D" w:rsidP="00C52E09">
      <w:pPr>
        <w:pStyle w:val="ListParagraph"/>
        <w:numPr>
          <w:ilvl w:val="0"/>
          <w:numId w:val="259"/>
        </w:numPr>
        <w:spacing w:after="0"/>
        <w:contextualSpacing w:val="0"/>
        <w:jc w:val="both"/>
        <w:rPr>
          <w:rFonts w:cs="Arial"/>
          <w:lang w:val="pt-PT"/>
        </w:rPr>
      </w:pPr>
      <w:r w:rsidRPr="004A2F01">
        <w:rPr>
          <w:rFonts w:cs="Arial"/>
          <w:lang w:val="pt-PT"/>
        </w:rPr>
        <w:t>Identificar e descrever os fármacos anti-TB e anti-Lepra baseados nos seguintes tens: mecanismo de acção, forma farmacêutica, vias de administração, indicações gerais e dose e dosagem</w:t>
      </w:r>
    </w:p>
    <w:p w:rsidR="00FC442D" w:rsidRPr="004A2F01" w:rsidRDefault="00FC442D" w:rsidP="00FC442D">
      <w:pPr>
        <w:tabs>
          <w:tab w:val="left" w:pos="244"/>
        </w:tabs>
        <w:jc w:val="both"/>
        <w:outlineLvl w:val="0"/>
        <w:rPr>
          <w:rFonts w:cs="Arial"/>
          <w:b/>
          <w:bCs/>
          <w:lang w:val="pt-PT"/>
        </w:rPr>
      </w:pPr>
    </w:p>
    <w:p w:rsidR="00FC442D" w:rsidRPr="0052785B" w:rsidRDefault="00FC442D" w:rsidP="0052785B">
      <w:pPr>
        <w:rPr>
          <w:b/>
          <w:lang w:val="pt-PT"/>
        </w:rPr>
      </w:pPr>
      <w:r w:rsidRPr="0052785B">
        <w:rPr>
          <w:b/>
          <w:lang w:val="pt-PT"/>
        </w:rPr>
        <w:t>Estrutura da Aula</w:t>
      </w:r>
    </w:p>
    <w:tbl>
      <w:tblPr>
        <w:tblW w:w="10188" w:type="dxa"/>
        <w:tblBorders>
          <w:top w:val="single" w:sz="18" w:space="0" w:color="auto"/>
          <w:bottom w:val="single" w:sz="18" w:space="0" w:color="auto"/>
        </w:tblBorders>
        <w:tblLayout w:type="fixed"/>
        <w:tblLook w:val="0400" w:firstRow="0" w:lastRow="0" w:firstColumn="0" w:lastColumn="0" w:noHBand="0" w:noVBand="1"/>
      </w:tblPr>
      <w:tblGrid>
        <w:gridCol w:w="738"/>
        <w:gridCol w:w="3690"/>
        <w:gridCol w:w="4230"/>
        <w:gridCol w:w="1530"/>
      </w:tblGrid>
      <w:tr w:rsidR="00FC442D" w:rsidRPr="004A2F01" w:rsidTr="00FC442D">
        <w:trPr>
          <w:trHeight w:val="432"/>
        </w:trPr>
        <w:tc>
          <w:tcPr>
            <w:tcW w:w="738" w:type="dxa"/>
            <w:tcBorders>
              <w:top w:val="single" w:sz="18" w:space="0" w:color="auto"/>
              <w:bottom w:val="single" w:sz="18" w:space="0" w:color="auto"/>
              <w:right w:val="single" w:sz="4" w:space="0" w:color="auto"/>
            </w:tcBorders>
            <w:shd w:val="clear" w:color="auto" w:fill="B8CCE4"/>
          </w:tcPr>
          <w:p w:rsidR="00FC442D" w:rsidRPr="004A2F01" w:rsidRDefault="00FC442D" w:rsidP="00FC442D">
            <w:pPr>
              <w:spacing w:before="60"/>
              <w:ind w:left="-110" w:right="-108"/>
              <w:jc w:val="both"/>
              <w:rPr>
                <w:rFonts w:cs="Arial"/>
                <w:b/>
                <w:lang w:val="pt-PT"/>
              </w:rPr>
            </w:pPr>
            <w:r w:rsidRPr="004A2F01">
              <w:rPr>
                <w:rFonts w:cs="Arial"/>
                <w:b/>
                <w:lang w:val="pt-PT"/>
              </w:rPr>
              <w:t>Bloco</w:t>
            </w:r>
          </w:p>
        </w:tc>
        <w:tc>
          <w:tcPr>
            <w:tcW w:w="3690" w:type="dxa"/>
            <w:tcBorders>
              <w:top w:val="single" w:sz="18" w:space="0" w:color="auto"/>
              <w:left w:val="single" w:sz="4" w:space="0" w:color="auto"/>
              <w:bottom w:val="single" w:sz="18" w:space="0" w:color="auto"/>
              <w:right w:val="single" w:sz="4" w:space="0" w:color="auto"/>
            </w:tcBorders>
            <w:shd w:val="clear" w:color="auto" w:fill="B8CCE4"/>
          </w:tcPr>
          <w:p w:rsidR="00FC442D" w:rsidRPr="004A2F01" w:rsidRDefault="00FC442D" w:rsidP="00FC442D">
            <w:pPr>
              <w:spacing w:before="60"/>
              <w:jc w:val="both"/>
              <w:rPr>
                <w:rFonts w:cs="Arial"/>
                <w:b/>
                <w:lang w:val="pt-PT"/>
              </w:rPr>
            </w:pPr>
            <w:r w:rsidRPr="004A2F01">
              <w:rPr>
                <w:rFonts w:cs="Arial"/>
                <w:b/>
                <w:lang w:val="pt-PT"/>
              </w:rPr>
              <w:t>Título do Bloco</w:t>
            </w:r>
          </w:p>
        </w:tc>
        <w:tc>
          <w:tcPr>
            <w:tcW w:w="4230" w:type="dxa"/>
            <w:tcBorders>
              <w:top w:val="single" w:sz="18" w:space="0" w:color="auto"/>
              <w:left w:val="single" w:sz="4" w:space="0" w:color="auto"/>
              <w:bottom w:val="single" w:sz="18" w:space="0" w:color="auto"/>
              <w:right w:val="single" w:sz="4" w:space="0" w:color="auto"/>
            </w:tcBorders>
            <w:shd w:val="clear" w:color="auto" w:fill="B8CCE4"/>
          </w:tcPr>
          <w:p w:rsidR="00FC442D" w:rsidRPr="004A2F01" w:rsidRDefault="00FC442D" w:rsidP="00FC442D">
            <w:pPr>
              <w:tabs>
                <w:tab w:val="left" w:pos="244"/>
              </w:tabs>
              <w:spacing w:before="60"/>
              <w:jc w:val="both"/>
              <w:rPr>
                <w:rFonts w:cs="Arial"/>
                <w:b/>
                <w:lang w:val="pt-PT"/>
              </w:rPr>
            </w:pPr>
            <w:r w:rsidRPr="004A2F01">
              <w:rPr>
                <w:rFonts w:cs="Arial"/>
                <w:b/>
                <w:lang w:val="pt-PT"/>
              </w:rPr>
              <w:t>Método de Ensino</w:t>
            </w:r>
          </w:p>
        </w:tc>
        <w:tc>
          <w:tcPr>
            <w:tcW w:w="1530" w:type="dxa"/>
            <w:tcBorders>
              <w:top w:val="single" w:sz="18" w:space="0" w:color="auto"/>
              <w:left w:val="single" w:sz="4" w:space="0" w:color="auto"/>
              <w:bottom w:val="single" w:sz="18" w:space="0" w:color="auto"/>
            </w:tcBorders>
            <w:shd w:val="clear" w:color="auto" w:fill="B8CCE4"/>
          </w:tcPr>
          <w:p w:rsidR="00FC442D" w:rsidRPr="004A2F01" w:rsidRDefault="00FC442D" w:rsidP="00FC442D">
            <w:pPr>
              <w:tabs>
                <w:tab w:val="left" w:pos="244"/>
              </w:tabs>
              <w:spacing w:before="60"/>
              <w:jc w:val="both"/>
              <w:rPr>
                <w:rFonts w:cs="Arial"/>
                <w:b/>
                <w:lang w:val="pt-PT"/>
              </w:rPr>
            </w:pPr>
            <w:r w:rsidRPr="004A2F01">
              <w:rPr>
                <w:rFonts w:cs="Arial"/>
                <w:b/>
                <w:lang w:val="pt-PT"/>
              </w:rPr>
              <w:t>Duração</w:t>
            </w:r>
          </w:p>
        </w:tc>
      </w:tr>
      <w:tr w:rsidR="00FC442D" w:rsidRPr="004A2F01" w:rsidTr="00FC442D">
        <w:tc>
          <w:tcPr>
            <w:tcW w:w="738" w:type="dxa"/>
            <w:tcBorders>
              <w:top w:val="single" w:sz="18" w:space="0" w:color="auto"/>
              <w:bottom w:val="single" w:sz="4" w:space="0" w:color="auto"/>
              <w:right w:val="single" w:sz="4" w:space="0" w:color="auto"/>
            </w:tcBorders>
          </w:tcPr>
          <w:p w:rsidR="00FC442D" w:rsidRPr="004A2F01" w:rsidRDefault="00FC442D" w:rsidP="00CA3ED0">
            <w:pPr>
              <w:spacing w:before="60" w:after="60"/>
              <w:ind w:left="-110" w:right="-108"/>
              <w:jc w:val="center"/>
              <w:rPr>
                <w:rFonts w:cs="Arial"/>
                <w:lang w:val="pt-PT"/>
              </w:rPr>
            </w:pPr>
            <w:r w:rsidRPr="004A2F01">
              <w:rPr>
                <w:rFonts w:cs="Arial"/>
                <w:lang w:val="pt-PT"/>
              </w:rPr>
              <w:t>1</w:t>
            </w:r>
          </w:p>
        </w:tc>
        <w:tc>
          <w:tcPr>
            <w:tcW w:w="3690" w:type="dxa"/>
            <w:tcBorders>
              <w:top w:val="single" w:sz="18" w:space="0" w:color="auto"/>
              <w:left w:val="single" w:sz="4" w:space="0" w:color="auto"/>
              <w:bottom w:val="single" w:sz="4" w:space="0" w:color="auto"/>
              <w:right w:val="single" w:sz="4" w:space="0" w:color="auto"/>
            </w:tcBorders>
          </w:tcPr>
          <w:p w:rsidR="00FC442D" w:rsidRPr="004A2F01" w:rsidRDefault="00FC442D" w:rsidP="00FC442D">
            <w:pPr>
              <w:tabs>
                <w:tab w:val="left" w:pos="244"/>
              </w:tabs>
              <w:spacing w:before="60" w:after="60"/>
              <w:jc w:val="both"/>
              <w:rPr>
                <w:rFonts w:cs="Arial"/>
                <w:lang w:val="pt-PT"/>
              </w:rPr>
            </w:pPr>
            <w:r w:rsidRPr="004A2F01">
              <w:rPr>
                <w:rFonts w:cs="Arial"/>
                <w:lang w:val="pt-PT"/>
              </w:rPr>
              <w:t>Introdução à Aula</w:t>
            </w:r>
          </w:p>
          <w:p w:rsidR="00FC442D" w:rsidRPr="004A2F01" w:rsidRDefault="00FC442D" w:rsidP="00FC442D">
            <w:pPr>
              <w:tabs>
                <w:tab w:val="left" w:pos="244"/>
              </w:tabs>
              <w:spacing w:before="60" w:after="60"/>
              <w:jc w:val="both"/>
              <w:rPr>
                <w:rFonts w:cs="Arial"/>
                <w:lang w:val="pt-PT"/>
              </w:rPr>
            </w:pPr>
          </w:p>
        </w:tc>
        <w:tc>
          <w:tcPr>
            <w:tcW w:w="4230" w:type="dxa"/>
            <w:tcBorders>
              <w:top w:val="single" w:sz="18" w:space="0" w:color="auto"/>
              <w:left w:val="single" w:sz="4" w:space="0" w:color="auto"/>
              <w:bottom w:val="single" w:sz="4" w:space="0" w:color="auto"/>
              <w:right w:val="single" w:sz="4" w:space="0" w:color="auto"/>
            </w:tcBorders>
          </w:tcPr>
          <w:p w:rsidR="00FC442D" w:rsidRPr="004A2F01" w:rsidRDefault="00FC442D" w:rsidP="00FC442D">
            <w:pPr>
              <w:tabs>
                <w:tab w:val="left" w:pos="244"/>
              </w:tabs>
              <w:spacing w:before="60" w:after="60"/>
              <w:jc w:val="both"/>
              <w:rPr>
                <w:rFonts w:cs="Arial"/>
                <w:lang w:val="pt-PT"/>
              </w:rPr>
            </w:pPr>
          </w:p>
        </w:tc>
        <w:tc>
          <w:tcPr>
            <w:tcW w:w="1530" w:type="dxa"/>
            <w:tcBorders>
              <w:top w:val="single" w:sz="18" w:space="0" w:color="auto"/>
              <w:left w:val="single" w:sz="4" w:space="0" w:color="auto"/>
              <w:bottom w:val="single" w:sz="4" w:space="0" w:color="auto"/>
            </w:tcBorders>
          </w:tcPr>
          <w:p w:rsidR="00FC442D" w:rsidRPr="004A2F01" w:rsidRDefault="00FC442D" w:rsidP="00FC442D">
            <w:pPr>
              <w:tabs>
                <w:tab w:val="left" w:pos="244"/>
              </w:tabs>
              <w:spacing w:before="60" w:after="60"/>
              <w:jc w:val="both"/>
              <w:rPr>
                <w:rFonts w:cs="Arial"/>
                <w:lang w:val="pt-PT"/>
              </w:rPr>
            </w:pPr>
          </w:p>
        </w:tc>
      </w:tr>
      <w:tr w:rsidR="00FC442D" w:rsidRPr="004A2F01" w:rsidTr="00FC442D">
        <w:tc>
          <w:tcPr>
            <w:tcW w:w="738" w:type="dxa"/>
            <w:tcBorders>
              <w:top w:val="single" w:sz="4" w:space="0" w:color="auto"/>
              <w:bottom w:val="single" w:sz="4" w:space="0" w:color="auto"/>
              <w:right w:val="single" w:sz="4" w:space="0" w:color="auto"/>
            </w:tcBorders>
            <w:shd w:val="clear" w:color="auto" w:fill="D9D9D9"/>
          </w:tcPr>
          <w:p w:rsidR="00FC442D" w:rsidRPr="004A2F01" w:rsidRDefault="00FC442D" w:rsidP="00CA3ED0">
            <w:pPr>
              <w:spacing w:before="60" w:after="60"/>
              <w:ind w:left="-110" w:right="-108"/>
              <w:jc w:val="center"/>
              <w:rPr>
                <w:rFonts w:cs="Arial"/>
                <w:lang w:val="pt-PT"/>
              </w:rPr>
            </w:pPr>
            <w:r w:rsidRPr="004A2F01">
              <w:rPr>
                <w:rFonts w:cs="Arial"/>
                <w:lang w:val="pt-PT"/>
              </w:rPr>
              <w:t>2</w:t>
            </w:r>
          </w:p>
        </w:tc>
        <w:tc>
          <w:tcPr>
            <w:tcW w:w="3690" w:type="dxa"/>
            <w:tcBorders>
              <w:top w:val="single" w:sz="4" w:space="0" w:color="auto"/>
              <w:left w:val="single" w:sz="4" w:space="0" w:color="auto"/>
              <w:bottom w:val="single" w:sz="4" w:space="0" w:color="auto"/>
              <w:right w:val="single" w:sz="4" w:space="0" w:color="auto"/>
            </w:tcBorders>
            <w:shd w:val="clear" w:color="auto" w:fill="D9D9D9"/>
          </w:tcPr>
          <w:p w:rsidR="00FC442D" w:rsidRPr="004A2F01" w:rsidRDefault="00FC442D" w:rsidP="00FC442D">
            <w:pPr>
              <w:tabs>
                <w:tab w:val="left" w:pos="244"/>
              </w:tabs>
              <w:spacing w:before="60" w:after="60"/>
              <w:jc w:val="both"/>
              <w:rPr>
                <w:rFonts w:cs="Arial"/>
                <w:lang w:val="pt-PT"/>
              </w:rPr>
            </w:pPr>
            <w:r w:rsidRPr="004A2F01">
              <w:rPr>
                <w:rFonts w:cs="Arial"/>
                <w:lang w:val="pt-PT"/>
              </w:rPr>
              <w:t>Anti-Bacterianos (II)</w:t>
            </w:r>
          </w:p>
        </w:tc>
        <w:tc>
          <w:tcPr>
            <w:tcW w:w="4230" w:type="dxa"/>
            <w:tcBorders>
              <w:top w:val="single" w:sz="4" w:space="0" w:color="auto"/>
              <w:left w:val="single" w:sz="4" w:space="0" w:color="auto"/>
              <w:bottom w:val="single" w:sz="4" w:space="0" w:color="auto"/>
              <w:right w:val="single" w:sz="4" w:space="0" w:color="auto"/>
            </w:tcBorders>
            <w:shd w:val="clear" w:color="auto" w:fill="D9D9D9"/>
          </w:tcPr>
          <w:p w:rsidR="00FC442D" w:rsidRPr="004A2F01" w:rsidRDefault="00FC442D" w:rsidP="00FC442D">
            <w:pPr>
              <w:tabs>
                <w:tab w:val="left" w:pos="244"/>
              </w:tabs>
              <w:spacing w:before="60" w:after="60"/>
              <w:jc w:val="both"/>
              <w:rPr>
                <w:rFonts w:cs="Arial"/>
                <w:lang w:val="pt-PT"/>
              </w:rPr>
            </w:pPr>
          </w:p>
          <w:p w:rsidR="00FC442D" w:rsidRPr="004A2F01" w:rsidRDefault="00FC442D" w:rsidP="00FC442D">
            <w:pPr>
              <w:tabs>
                <w:tab w:val="left" w:pos="244"/>
              </w:tabs>
              <w:spacing w:before="60" w:after="60"/>
              <w:jc w:val="both"/>
              <w:rPr>
                <w:rFonts w:cs="Arial"/>
                <w:lang w:val="pt-PT"/>
              </w:rPr>
            </w:pPr>
          </w:p>
        </w:tc>
        <w:tc>
          <w:tcPr>
            <w:tcW w:w="1530" w:type="dxa"/>
            <w:tcBorders>
              <w:top w:val="single" w:sz="4" w:space="0" w:color="auto"/>
              <w:left w:val="single" w:sz="4" w:space="0" w:color="auto"/>
              <w:bottom w:val="single" w:sz="4" w:space="0" w:color="auto"/>
            </w:tcBorders>
            <w:shd w:val="clear" w:color="auto" w:fill="D9D9D9"/>
          </w:tcPr>
          <w:p w:rsidR="00FC442D" w:rsidRPr="004A2F01" w:rsidRDefault="00FC442D" w:rsidP="00FC442D">
            <w:pPr>
              <w:tabs>
                <w:tab w:val="left" w:pos="244"/>
              </w:tabs>
              <w:spacing w:before="60" w:after="60"/>
              <w:jc w:val="both"/>
              <w:rPr>
                <w:rFonts w:cs="Arial"/>
                <w:lang w:val="pt-PT"/>
              </w:rPr>
            </w:pPr>
          </w:p>
        </w:tc>
      </w:tr>
      <w:tr w:rsidR="00FC442D" w:rsidRPr="00FC6E81" w:rsidTr="00FC442D">
        <w:tc>
          <w:tcPr>
            <w:tcW w:w="738" w:type="dxa"/>
            <w:tcBorders>
              <w:top w:val="single" w:sz="4" w:space="0" w:color="auto"/>
              <w:bottom w:val="single" w:sz="4" w:space="0" w:color="auto"/>
              <w:right w:val="single" w:sz="4" w:space="0" w:color="auto"/>
            </w:tcBorders>
          </w:tcPr>
          <w:p w:rsidR="00FC442D" w:rsidRPr="004A2F01" w:rsidRDefault="00FC442D" w:rsidP="00CA3ED0">
            <w:pPr>
              <w:spacing w:before="60" w:after="60"/>
              <w:ind w:left="-110" w:right="-108"/>
              <w:jc w:val="center"/>
              <w:rPr>
                <w:rFonts w:cs="Arial"/>
                <w:lang w:val="pt-PT"/>
              </w:rPr>
            </w:pPr>
            <w:r w:rsidRPr="004A2F01">
              <w:rPr>
                <w:rFonts w:cs="Arial"/>
                <w:lang w:val="pt-PT"/>
              </w:rPr>
              <w:t>3</w:t>
            </w:r>
          </w:p>
        </w:tc>
        <w:tc>
          <w:tcPr>
            <w:tcW w:w="3690" w:type="dxa"/>
            <w:tcBorders>
              <w:top w:val="single" w:sz="4" w:space="0" w:color="auto"/>
              <w:left w:val="single" w:sz="4" w:space="0" w:color="auto"/>
              <w:bottom w:val="single" w:sz="4" w:space="0" w:color="auto"/>
              <w:right w:val="single" w:sz="4" w:space="0" w:color="auto"/>
            </w:tcBorders>
          </w:tcPr>
          <w:p w:rsidR="00FC442D" w:rsidRPr="004A2F01" w:rsidRDefault="00FC442D" w:rsidP="00FC442D">
            <w:pPr>
              <w:tabs>
                <w:tab w:val="left" w:pos="244"/>
              </w:tabs>
              <w:spacing w:before="60" w:after="60"/>
              <w:jc w:val="both"/>
              <w:rPr>
                <w:rFonts w:cs="Arial"/>
                <w:iCs/>
                <w:lang w:val="pt-PT"/>
              </w:rPr>
            </w:pPr>
            <w:r w:rsidRPr="004A2F01">
              <w:rPr>
                <w:rFonts w:cs="Arial"/>
                <w:iCs/>
                <w:lang w:val="pt-PT"/>
              </w:rPr>
              <w:t xml:space="preserve">Anti-Bacterianos para Tuberculose e Lepra </w:t>
            </w:r>
          </w:p>
        </w:tc>
        <w:tc>
          <w:tcPr>
            <w:tcW w:w="4230" w:type="dxa"/>
            <w:tcBorders>
              <w:top w:val="single" w:sz="4" w:space="0" w:color="auto"/>
              <w:left w:val="single" w:sz="4" w:space="0" w:color="auto"/>
              <w:bottom w:val="single" w:sz="4" w:space="0" w:color="auto"/>
              <w:right w:val="single" w:sz="4" w:space="0" w:color="auto"/>
            </w:tcBorders>
          </w:tcPr>
          <w:p w:rsidR="00FC442D" w:rsidRPr="004A2F01" w:rsidRDefault="00FC442D" w:rsidP="00FC442D">
            <w:pPr>
              <w:spacing w:before="60" w:after="60"/>
              <w:ind w:left="-18" w:firstLine="18"/>
              <w:jc w:val="both"/>
              <w:rPr>
                <w:rFonts w:cs="Arial"/>
                <w:lang w:val="pt-PT"/>
              </w:rPr>
            </w:pPr>
          </w:p>
          <w:p w:rsidR="00FC442D" w:rsidRPr="004A2F01" w:rsidRDefault="00FC442D" w:rsidP="00FC442D">
            <w:pPr>
              <w:spacing w:before="60" w:after="60"/>
              <w:ind w:left="-18" w:firstLine="18"/>
              <w:jc w:val="both"/>
              <w:rPr>
                <w:rFonts w:cs="Arial"/>
                <w:lang w:val="pt-PT"/>
              </w:rPr>
            </w:pPr>
          </w:p>
        </w:tc>
        <w:tc>
          <w:tcPr>
            <w:tcW w:w="1530" w:type="dxa"/>
            <w:tcBorders>
              <w:top w:val="single" w:sz="4" w:space="0" w:color="auto"/>
              <w:left w:val="single" w:sz="4" w:space="0" w:color="auto"/>
              <w:bottom w:val="single" w:sz="4" w:space="0" w:color="auto"/>
            </w:tcBorders>
          </w:tcPr>
          <w:p w:rsidR="00FC442D" w:rsidRPr="004A2F01" w:rsidRDefault="00FC442D" w:rsidP="00FC442D">
            <w:pPr>
              <w:spacing w:before="60" w:after="60"/>
              <w:ind w:left="-18" w:firstLine="18"/>
              <w:jc w:val="both"/>
              <w:rPr>
                <w:rFonts w:cs="Arial"/>
                <w:lang w:val="pt-PT"/>
              </w:rPr>
            </w:pPr>
          </w:p>
        </w:tc>
      </w:tr>
      <w:tr w:rsidR="00FC442D" w:rsidRPr="004A2F01" w:rsidTr="00FC442D">
        <w:tc>
          <w:tcPr>
            <w:tcW w:w="738" w:type="dxa"/>
            <w:tcBorders>
              <w:top w:val="single" w:sz="4" w:space="0" w:color="auto"/>
              <w:bottom w:val="single" w:sz="18" w:space="0" w:color="auto"/>
              <w:right w:val="single" w:sz="4" w:space="0" w:color="auto"/>
            </w:tcBorders>
            <w:shd w:val="clear" w:color="auto" w:fill="D9D9D9"/>
          </w:tcPr>
          <w:p w:rsidR="00FC442D" w:rsidRPr="004A2F01" w:rsidRDefault="00FC442D" w:rsidP="00CA3ED0">
            <w:pPr>
              <w:spacing w:before="60" w:after="60"/>
              <w:ind w:left="-110" w:right="-108"/>
              <w:jc w:val="center"/>
              <w:rPr>
                <w:rFonts w:cs="Arial"/>
                <w:lang w:val="pt-PT"/>
              </w:rPr>
            </w:pPr>
            <w:r w:rsidRPr="004A2F01">
              <w:rPr>
                <w:rFonts w:cs="Arial"/>
                <w:lang w:val="pt-PT"/>
              </w:rPr>
              <w:t>4</w:t>
            </w:r>
          </w:p>
        </w:tc>
        <w:tc>
          <w:tcPr>
            <w:tcW w:w="3690" w:type="dxa"/>
            <w:tcBorders>
              <w:top w:val="single" w:sz="4" w:space="0" w:color="auto"/>
              <w:left w:val="single" w:sz="4" w:space="0" w:color="auto"/>
              <w:bottom w:val="single" w:sz="18" w:space="0" w:color="auto"/>
              <w:right w:val="single" w:sz="4" w:space="0" w:color="auto"/>
            </w:tcBorders>
            <w:shd w:val="clear" w:color="auto" w:fill="D9D9D9"/>
          </w:tcPr>
          <w:p w:rsidR="00FC442D" w:rsidRPr="004A2F01" w:rsidDel="00CF43BB" w:rsidRDefault="00FC442D" w:rsidP="00FC442D">
            <w:pPr>
              <w:tabs>
                <w:tab w:val="left" w:pos="244"/>
              </w:tabs>
              <w:spacing w:before="60" w:after="60"/>
              <w:jc w:val="both"/>
              <w:rPr>
                <w:rFonts w:cs="Arial"/>
                <w:iCs/>
                <w:lang w:val="pt-PT"/>
              </w:rPr>
            </w:pPr>
            <w:r w:rsidRPr="004A2F01">
              <w:rPr>
                <w:rFonts w:cs="Arial"/>
                <w:iCs/>
                <w:lang w:val="pt-PT"/>
              </w:rPr>
              <w:t>Pontos-Chave</w:t>
            </w:r>
          </w:p>
        </w:tc>
        <w:tc>
          <w:tcPr>
            <w:tcW w:w="4230" w:type="dxa"/>
            <w:tcBorders>
              <w:top w:val="single" w:sz="4" w:space="0" w:color="auto"/>
              <w:left w:val="single" w:sz="4" w:space="0" w:color="auto"/>
              <w:bottom w:val="single" w:sz="18" w:space="0" w:color="auto"/>
              <w:right w:val="single" w:sz="4" w:space="0" w:color="auto"/>
            </w:tcBorders>
            <w:shd w:val="clear" w:color="auto" w:fill="D9D9D9"/>
          </w:tcPr>
          <w:p w:rsidR="00FC442D" w:rsidRPr="004A2F01" w:rsidRDefault="00FC442D" w:rsidP="00FC442D">
            <w:pPr>
              <w:spacing w:before="60" w:after="60"/>
              <w:ind w:left="-18" w:firstLine="18"/>
              <w:jc w:val="both"/>
              <w:rPr>
                <w:rFonts w:cs="Arial"/>
                <w:lang w:val="pt-PT"/>
              </w:rPr>
            </w:pPr>
          </w:p>
        </w:tc>
        <w:tc>
          <w:tcPr>
            <w:tcW w:w="1530" w:type="dxa"/>
            <w:tcBorders>
              <w:top w:val="single" w:sz="4" w:space="0" w:color="auto"/>
              <w:left w:val="single" w:sz="4" w:space="0" w:color="auto"/>
              <w:bottom w:val="single" w:sz="18" w:space="0" w:color="auto"/>
            </w:tcBorders>
            <w:shd w:val="clear" w:color="auto" w:fill="D9D9D9"/>
          </w:tcPr>
          <w:p w:rsidR="00FC442D" w:rsidRPr="004A2F01" w:rsidRDefault="00FC442D" w:rsidP="00FC442D">
            <w:pPr>
              <w:spacing w:before="60" w:after="60"/>
              <w:ind w:left="-18" w:firstLine="18"/>
              <w:jc w:val="both"/>
              <w:rPr>
                <w:rFonts w:cs="Arial"/>
                <w:lang w:val="pt-PT"/>
              </w:rPr>
            </w:pPr>
          </w:p>
        </w:tc>
      </w:tr>
    </w:tbl>
    <w:p w:rsidR="00FC442D" w:rsidRPr="004A2F01" w:rsidRDefault="00FC442D" w:rsidP="00FC442D">
      <w:pPr>
        <w:tabs>
          <w:tab w:val="left" w:pos="244"/>
        </w:tabs>
        <w:spacing w:line="240" w:lineRule="auto"/>
        <w:jc w:val="both"/>
        <w:rPr>
          <w:rFonts w:cs="Arial"/>
          <w:lang w:val="pt-PT"/>
        </w:rPr>
      </w:pPr>
    </w:p>
    <w:p w:rsidR="00FC442D" w:rsidRPr="004A2F01" w:rsidRDefault="00FC442D" w:rsidP="00FC442D">
      <w:pPr>
        <w:tabs>
          <w:tab w:val="left" w:pos="424"/>
        </w:tabs>
        <w:spacing w:before="60"/>
        <w:jc w:val="both"/>
        <w:rPr>
          <w:rFonts w:cs="Arial"/>
          <w:b/>
          <w:lang w:val="pt-PT"/>
        </w:rPr>
      </w:pPr>
      <w:r w:rsidRPr="004A2F01">
        <w:rPr>
          <w:rFonts w:cs="Arial"/>
          <w:b/>
          <w:lang w:val="pt-PT"/>
        </w:rPr>
        <w:t>Equipamentos e meios audiovisuais necessários:</w:t>
      </w:r>
    </w:p>
    <w:p w:rsidR="00FC442D" w:rsidRDefault="00FC442D" w:rsidP="00FC442D">
      <w:pPr>
        <w:tabs>
          <w:tab w:val="left" w:pos="424"/>
        </w:tabs>
        <w:jc w:val="both"/>
        <w:rPr>
          <w:rFonts w:cs="Arial"/>
          <w:lang w:val="pt-PT"/>
        </w:rPr>
      </w:pPr>
    </w:p>
    <w:p w:rsidR="00FC442D" w:rsidRPr="004A2F01" w:rsidRDefault="00FC442D" w:rsidP="00FC442D">
      <w:pPr>
        <w:tabs>
          <w:tab w:val="left" w:pos="424"/>
        </w:tabs>
        <w:jc w:val="both"/>
        <w:rPr>
          <w:rFonts w:cs="Arial"/>
          <w:lang w:val="pt-PT"/>
        </w:rPr>
      </w:pPr>
      <w:r w:rsidRPr="004A2F01">
        <w:rPr>
          <w:rFonts w:cs="Arial"/>
          <w:b/>
          <w:lang w:val="pt-PT"/>
        </w:rPr>
        <w:t>Trabalhos para casa (TPC), exercícios e textos para leitura – incluir data a ser entregue:</w:t>
      </w:r>
      <w:r w:rsidRPr="004A2F01">
        <w:rPr>
          <w:rFonts w:cs="Arial"/>
          <w:lang w:val="pt-PT"/>
        </w:rPr>
        <w:t xml:space="preserve"> </w:t>
      </w:r>
    </w:p>
    <w:p w:rsidR="00FC442D" w:rsidRPr="004A2F01" w:rsidRDefault="00FC442D" w:rsidP="00FC442D">
      <w:pPr>
        <w:tabs>
          <w:tab w:val="left" w:pos="424"/>
        </w:tabs>
        <w:jc w:val="both"/>
        <w:rPr>
          <w:rFonts w:cs="Arial"/>
          <w:lang w:val="pt-PT"/>
        </w:rPr>
      </w:pPr>
    </w:p>
    <w:p w:rsidR="00FC442D" w:rsidRPr="004A2F01" w:rsidRDefault="00FC442D" w:rsidP="00FC442D">
      <w:pPr>
        <w:tabs>
          <w:tab w:val="left" w:pos="424"/>
        </w:tabs>
        <w:jc w:val="both"/>
        <w:rPr>
          <w:rFonts w:cs="Arial"/>
          <w:lang w:val="pt-PT"/>
        </w:rPr>
      </w:pPr>
    </w:p>
    <w:p w:rsidR="00FC442D" w:rsidRPr="00927EAF" w:rsidRDefault="00FC442D" w:rsidP="00927EAF">
      <w:pPr>
        <w:rPr>
          <w:b/>
          <w:lang w:val="pt-PT"/>
        </w:rPr>
      </w:pPr>
      <w:r w:rsidRPr="00927EAF">
        <w:rPr>
          <w:b/>
          <w:lang w:val="pt-PT"/>
        </w:rPr>
        <w:t>Bibliografia (referências usadas para o desenvolvimento do conteúdo):</w:t>
      </w:r>
    </w:p>
    <w:p w:rsidR="00FC442D" w:rsidRPr="004A2F01" w:rsidRDefault="00FC442D" w:rsidP="00FC442D">
      <w:pPr>
        <w:rPr>
          <w:lang w:val="pt-PT"/>
        </w:rPr>
      </w:pPr>
      <w:r w:rsidRPr="004A2F01">
        <w:rPr>
          <w:lang w:val="en-GB"/>
        </w:rPr>
        <w:t xml:space="preserve">Brunton LL, Lazo JS, Parker KL. </w:t>
      </w:r>
      <w:r w:rsidRPr="004A2F01">
        <w:rPr>
          <w:lang w:val="pt-PT"/>
        </w:rPr>
        <w:t>Goodman e Gilman - As bases farmacológicas da terapêutica. 11 Edição. Brasil: Mcgraw-Hill; 2006.</w:t>
      </w:r>
    </w:p>
    <w:p w:rsidR="00FC442D" w:rsidRPr="004A2F01" w:rsidRDefault="00FC442D" w:rsidP="00FC442D">
      <w:pPr>
        <w:rPr>
          <w:lang w:val="pt-PT"/>
        </w:rPr>
      </w:pPr>
      <w:r w:rsidRPr="004A2F01">
        <w:rPr>
          <w:lang w:val="pt-PT"/>
        </w:rPr>
        <w:t>Katzung B. Farmacologia básica e clínica. 9 Edição. Brasil: Guanabara Koogan; 2006.</w:t>
      </w:r>
    </w:p>
    <w:p w:rsidR="00FC442D" w:rsidRPr="004A2F01" w:rsidRDefault="00FC442D" w:rsidP="00FC442D">
      <w:pPr>
        <w:rPr>
          <w:lang w:val="pt-PT"/>
        </w:rPr>
      </w:pPr>
      <w:r w:rsidRPr="004A2F01">
        <w:rPr>
          <w:lang w:val="pt-PT"/>
        </w:rPr>
        <w:t>MISAU. Formulário Nacional de Medicamentos. 5ª edição. Maputo. +</w:t>
      </w:r>
    </w:p>
    <w:p w:rsidR="00FC442D" w:rsidRPr="004A2F01" w:rsidRDefault="00FC442D" w:rsidP="00FC442D">
      <w:pPr>
        <w:rPr>
          <w:lang w:val="pt-PT"/>
        </w:rPr>
      </w:pPr>
      <w:r w:rsidRPr="004A2F01">
        <w:rPr>
          <w:lang w:val="pt-PT"/>
        </w:rPr>
        <w:t xml:space="preserve">Nelson DL, Cox MM. Princípios de bioquímica do Lehninger. 4 edição. W.H. Freeman; 2004. </w:t>
      </w:r>
    </w:p>
    <w:p w:rsidR="00FC442D" w:rsidRPr="004A2F01" w:rsidRDefault="00BE2C41" w:rsidP="00BE2C41">
      <w:pPr>
        <w:pStyle w:val="TM-1n"/>
        <w:numPr>
          <w:ilvl w:val="0"/>
          <w:numId w:val="0"/>
        </w:numPr>
        <w:shd w:val="clear" w:color="auto" w:fill="C6D9F1" w:themeFill="text2" w:themeFillTint="33"/>
        <w:tabs>
          <w:tab w:val="clear" w:pos="9072"/>
        </w:tabs>
      </w:pPr>
      <w:r>
        <w:lastRenderedPageBreak/>
        <w:t xml:space="preserve">BLOCO 1: </w:t>
      </w:r>
      <w:r w:rsidR="00FC442D" w:rsidRPr="004A2F01">
        <w:t>INTRODUÇÃO A AULA</w:t>
      </w:r>
    </w:p>
    <w:p w:rsidR="00FC442D" w:rsidRPr="004A2F01" w:rsidRDefault="00FC442D" w:rsidP="00C52E09">
      <w:pPr>
        <w:pStyle w:val="TM-2n"/>
        <w:numPr>
          <w:ilvl w:val="1"/>
          <w:numId w:val="202"/>
        </w:numPr>
        <w:spacing w:before="120" w:after="0" w:line="276" w:lineRule="auto"/>
      </w:pPr>
      <w:r w:rsidRPr="004A2F01">
        <w:t>Apresentação do tópico, conteúdos e objectivos de aprendizagem.</w:t>
      </w:r>
    </w:p>
    <w:p w:rsidR="00FC442D" w:rsidRPr="004A2F01" w:rsidRDefault="00FC442D" w:rsidP="00FC442D">
      <w:pPr>
        <w:pStyle w:val="TM-2n"/>
        <w:tabs>
          <w:tab w:val="clear" w:pos="567"/>
        </w:tabs>
        <w:spacing w:before="120" w:after="0" w:line="276" w:lineRule="auto"/>
        <w:ind w:left="446" w:hanging="446"/>
      </w:pPr>
      <w:r w:rsidRPr="004A2F01">
        <w:t>Apresentação da estrutura da aula.</w:t>
      </w:r>
    </w:p>
    <w:p w:rsidR="00FC442D" w:rsidRPr="004A2F01" w:rsidRDefault="00FC442D" w:rsidP="00FC442D">
      <w:pPr>
        <w:pStyle w:val="TM-2n"/>
        <w:tabs>
          <w:tab w:val="clear" w:pos="567"/>
        </w:tabs>
        <w:spacing w:before="120" w:after="0" w:line="276" w:lineRule="auto"/>
        <w:ind w:left="446" w:hanging="446"/>
      </w:pPr>
      <w:r w:rsidRPr="004A2F01">
        <w:t>Apresentação da bibliografia que o aluno deverá consultar para ampliar os conhecimentos.</w:t>
      </w:r>
    </w:p>
    <w:p w:rsidR="00FC442D" w:rsidRPr="004A2F01" w:rsidRDefault="00FC442D" w:rsidP="007701A8">
      <w:pPr>
        <w:spacing w:line="240" w:lineRule="auto"/>
        <w:ind w:left="446" w:hanging="446"/>
        <w:jc w:val="both"/>
        <w:rPr>
          <w:rFonts w:cs="Arial"/>
          <w:lang w:val="pt-PT" w:eastAsia="es-ES"/>
        </w:rPr>
      </w:pPr>
    </w:p>
    <w:p w:rsidR="00FC442D" w:rsidRPr="00FC442D" w:rsidRDefault="00BE2C41" w:rsidP="00BE2C41">
      <w:pPr>
        <w:pStyle w:val="TM-1n"/>
        <w:numPr>
          <w:ilvl w:val="0"/>
          <w:numId w:val="0"/>
        </w:numPr>
        <w:shd w:val="clear" w:color="auto" w:fill="C6D9F1" w:themeFill="text2" w:themeFillTint="33"/>
      </w:pPr>
      <w:r>
        <w:rPr>
          <w:shd w:val="clear" w:color="auto" w:fill="C6D9F1" w:themeFill="text2" w:themeFillTint="33"/>
        </w:rPr>
        <w:t xml:space="preserve">BLOCO 2: </w:t>
      </w:r>
      <w:r w:rsidR="00FC442D" w:rsidRPr="006E6CB9">
        <w:rPr>
          <w:shd w:val="clear" w:color="auto" w:fill="C6D9F1" w:themeFill="text2" w:themeFillTint="33"/>
        </w:rPr>
        <w:t>ANTI-BACTERIANOS (ii)</w:t>
      </w:r>
      <w:r w:rsidR="00FC442D" w:rsidRPr="00FC442D">
        <w:tab/>
      </w:r>
    </w:p>
    <w:p w:rsidR="00FC442D" w:rsidRPr="004A2F01" w:rsidRDefault="00FC442D" w:rsidP="00FC442D">
      <w:pPr>
        <w:pStyle w:val="TM-2n"/>
        <w:numPr>
          <w:ilvl w:val="0"/>
          <w:numId w:val="0"/>
        </w:numPr>
        <w:tabs>
          <w:tab w:val="left" w:pos="720"/>
        </w:tabs>
        <w:spacing w:before="120" w:after="0" w:line="276" w:lineRule="auto"/>
      </w:pPr>
      <w:r w:rsidRPr="004A2F01">
        <w:t xml:space="preserve">Como foi abordado na aula anterior, os anti-bacterianos possuem diferentes classes. Neste bloco vai-se descrever para cada classe, o mecanismo de acção, forma farmacêutica, vias de administração, indicações, contra-indicações, precauções,  efeitos secundários, interacções e dose e dosagem. </w:t>
      </w:r>
    </w:p>
    <w:p w:rsidR="00FC442D" w:rsidRPr="004A2F01" w:rsidRDefault="00FC442D" w:rsidP="00FC442D">
      <w:pPr>
        <w:pStyle w:val="TM-2n"/>
        <w:numPr>
          <w:ilvl w:val="0"/>
          <w:numId w:val="0"/>
        </w:numPr>
        <w:spacing w:before="120" w:after="0" w:line="276" w:lineRule="auto"/>
        <w:ind w:left="284" w:hanging="284"/>
      </w:pPr>
      <w:r w:rsidRPr="00AD66DD">
        <w:rPr>
          <w:b/>
        </w:rPr>
        <w:t>2.1</w:t>
      </w:r>
      <w:r w:rsidRPr="004A2F01">
        <w:t xml:space="preserve"> </w:t>
      </w:r>
      <w:r w:rsidRPr="004A2F01">
        <w:rPr>
          <w:b/>
          <w:i/>
          <w:lang w:val="pt-BR"/>
        </w:rPr>
        <w:t>Penicilinas</w:t>
      </w:r>
      <w:r w:rsidRPr="004A2F01">
        <w:rPr>
          <w:lang w:val="pt-BR"/>
        </w:rPr>
        <w:t xml:space="preserve"> </w:t>
      </w:r>
    </w:p>
    <w:p w:rsidR="00FC442D" w:rsidRPr="004A2F01" w:rsidRDefault="00FC442D" w:rsidP="00AD66DD">
      <w:pPr>
        <w:pStyle w:val="TM-3n"/>
        <w:numPr>
          <w:ilvl w:val="0"/>
          <w:numId w:val="0"/>
        </w:numPr>
        <w:spacing w:before="120" w:after="0" w:line="276" w:lineRule="auto"/>
      </w:pPr>
      <w:r w:rsidRPr="004A2F01">
        <w:t>As penicilinas têm actividade sobre muitas bactérias, tanto gram-positivas como gram-negativas. Porém, cada vez mais encontram-se bactérias que desenvolvem resistência as penicilinas.</w:t>
      </w:r>
    </w:p>
    <w:p w:rsidR="00FC442D" w:rsidRPr="004A2F01" w:rsidRDefault="00FC442D" w:rsidP="00AD66DD">
      <w:pPr>
        <w:pStyle w:val="TM-3n"/>
        <w:numPr>
          <w:ilvl w:val="0"/>
          <w:numId w:val="0"/>
        </w:numPr>
        <w:spacing w:before="120" w:after="0" w:line="276" w:lineRule="auto"/>
      </w:pPr>
      <w:r w:rsidRPr="004A2F01">
        <w:t xml:space="preserve">Efeitos secundários: podem desencadear reacções de hipersensibilidade que podem ir desde erupções cutâneas, prurido, febre. Raramente ocorrem náuseas, vómitos, diarreia, epigastralgia (dor no abdómen superior).. A administração de penicilina a uma pessoa alérgica pode produzir um choque anafiláctico (reacção alérgica grave). Portanto, é necessário perguntar sempre ao paciente por possíveis alergias antes de administrar a penicilina. Pode produzir uma reacção chamada de </w:t>
      </w:r>
      <w:r w:rsidRPr="004A2F01">
        <w:rPr>
          <w:b/>
          <w:i/>
        </w:rPr>
        <w:t>reacção de Jarish-Herxheimer</w:t>
      </w:r>
      <w:r w:rsidRPr="004A2F01">
        <w:t xml:space="preserve"> (febre, mal-estar, anemia, dores articulares e musculares, queda da tensão arterial) principalmente quando usada no tratamento da sífilis.</w:t>
      </w:r>
    </w:p>
    <w:p w:rsidR="00FC442D" w:rsidRPr="004A2F01" w:rsidRDefault="00FC442D" w:rsidP="00AD66DD">
      <w:pPr>
        <w:pStyle w:val="TM-3n"/>
        <w:numPr>
          <w:ilvl w:val="0"/>
          <w:numId w:val="0"/>
        </w:numPr>
        <w:spacing w:before="120" w:after="0" w:line="276" w:lineRule="auto"/>
        <w:ind w:left="450" w:hanging="450"/>
      </w:pPr>
      <w:r w:rsidRPr="004A2F01">
        <w:t>A principal contra-indicação das penicilinas no geral são as hipersensibilidades à penicilina</w:t>
      </w:r>
    </w:p>
    <w:p w:rsidR="00FC442D" w:rsidRPr="004A2F01" w:rsidRDefault="00FC442D" w:rsidP="00AD66DD">
      <w:pPr>
        <w:pStyle w:val="TM-3n"/>
        <w:numPr>
          <w:ilvl w:val="0"/>
          <w:numId w:val="0"/>
        </w:numPr>
        <w:spacing w:before="120" w:after="0" w:line="276" w:lineRule="auto"/>
        <w:ind w:left="450" w:hanging="450"/>
      </w:pPr>
      <w:r w:rsidRPr="004A2F01">
        <w:t>As penicilinas mais utilizadas pelo Sistema Nacional de Saúde em Moçambique são as seguintes:</w:t>
      </w:r>
    </w:p>
    <w:p w:rsidR="00FC442D" w:rsidRPr="004A2F01" w:rsidRDefault="00FC442D" w:rsidP="00FC442D">
      <w:pPr>
        <w:spacing w:before="120"/>
        <w:ind w:left="450"/>
        <w:jc w:val="both"/>
        <w:rPr>
          <w:rFonts w:cs="Arial"/>
          <w:lang w:val="pt-BR"/>
        </w:rPr>
      </w:pPr>
      <w:r w:rsidRPr="00AD66DD">
        <w:rPr>
          <w:rFonts w:cs="Arial"/>
          <w:b/>
          <w:lang w:val="pt-BR"/>
        </w:rPr>
        <w:t>2.1.1</w:t>
      </w:r>
      <w:r w:rsidRPr="004A2F01">
        <w:rPr>
          <w:rFonts w:cs="Arial"/>
          <w:lang w:val="pt-BR"/>
        </w:rPr>
        <w:t xml:space="preserve"> </w:t>
      </w:r>
      <w:r w:rsidRPr="004A2F01">
        <w:rPr>
          <w:rFonts w:cs="Arial"/>
          <w:b/>
          <w:lang w:val="pt-BR"/>
        </w:rPr>
        <w:t>Fenoximetilpenicilina (Penicilina V)</w:t>
      </w:r>
    </w:p>
    <w:p w:rsidR="00FC442D" w:rsidRPr="004A2F01" w:rsidRDefault="00FC442D" w:rsidP="00C52E09">
      <w:pPr>
        <w:numPr>
          <w:ilvl w:val="0"/>
          <w:numId w:val="178"/>
        </w:numPr>
        <w:spacing w:before="120" w:after="0"/>
        <w:jc w:val="both"/>
        <w:rPr>
          <w:rFonts w:cs="Arial"/>
          <w:lang w:val="pt-BR"/>
        </w:rPr>
      </w:pPr>
      <w:r w:rsidRPr="004A2F01">
        <w:rPr>
          <w:rFonts w:cs="Arial"/>
          <w:lang w:val="pt-BR"/>
        </w:rPr>
        <w:t>Forma farmacêutica e via de administração: comprimidos e suspensão oral, por via oral</w:t>
      </w:r>
    </w:p>
    <w:p w:rsidR="00FC442D" w:rsidRPr="004A2F01" w:rsidRDefault="00FC442D" w:rsidP="00C52E09">
      <w:pPr>
        <w:numPr>
          <w:ilvl w:val="0"/>
          <w:numId w:val="178"/>
        </w:numPr>
        <w:spacing w:before="120" w:after="0"/>
        <w:jc w:val="both"/>
        <w:rPr>
          <w:rFonts w:cs="Arial"/>
          <w:lang w:val="pt-BR"/>
        </w:rPr>
      </w:pPr>
      <w:r w:rsidRPr="004A2F01">
        <w:rPr>
          <w:rFonts w:cs="Arial"/>
          <w:lang w:val="pt-BR"/>
        </w:rPr>
        <w:t>Indicações: indicada para tratar infecções leves por bactérias sensíveis (faringites, amigdalites, sinusites, otite média).</w:t>
      </w:r>
    </w:p>
    <w:p w:rsidR="00FC442D" w:rsidRPr="004A2F01" w:rsidRDefault="00FC442D" w:rsidP="00C52E09">
      <w:pPr>
        <w:pStyle w:val="TM-4n"/>
        <w:numPr>
          <w:ilvl w:val="0"/>
          <w:numId w:val="177"/>
        </w:numPr>
        <w:tabs>
          <w:tab w:val="clear" w:pos="720"/>
          <w:tab w:val="clear" w:pos="1134"/>
        </w:tabs>
        <w:spacing w:before="120" w:after="0" w:line="276" w:lineRule="auto"/>
        <w:ind w:left="1440"/>
      </w:pPr>
      <w:r w:rsidRPr="004A2F01">
        <w:t xml:space="preserve">Doses e dosagem: Adultos: 500mg de 6 em 6 horas </w:t>
      </w:r>
    </w:p>
    <w:p w:rsidR="00FC442D" w:rsidRPr="004A2F01" w:rsidRDefault="00FC442D" w:rsidP="00C52E09">
      <w:pPr>
        <w:pStyle w:val="TM-4n"/>
        <w:numPr>
          <w:ilvl w:val="0"/>
          <w:numId w:val="177"/>
        </w:numPr>
        <w:tabs>
          <w:tab w:val="clear" w:pos="720"/>
          <w:tab w:val="clear" w:pos="1134"/>
        </w:tabs>
        <w:spacing w:before="120" w:after="0" w:line="276" w:lineRule="auto"/>
        <w:ind w:left="1440"/>
      </w:pPr>
      <w:r w:rsidRPr="004A2F01">
        <w:t>Notas e precauções: absorção intestinal irregular, não sendo prudente usar em infecções graves (infecções meningocócicas ou gonocócicas).</w:t>
      </w:r>
    </w:p>
    <w:p w:rsidR="00FC442D" w:rsidRPr="004A2F01" w:rsidRDefault="00FC442D" w:rsidP="00FC442D">
      <w:pPr>
        <w:tabs>
          <w:tab w:val="left" w:pos="360"/>
          <w:tab w:val="left" w:pos="450"/>
        </w:tabs>
        <w:spacing w:before="120"/>
        <w:ind w:left="450"/>
        <w:jc w:val="both"/>
        <w:rPr>
          <w:rFonts w:cs="Arial"/>
          <w:lang w:val="pt-BR"/>
        </w:rPr>
      </w:pPr>
      <w:r w:rsidRPr="00AD66DD">
        <w:rPr>
          <w:rFonts w:cs="Arial"/>
          <w:b/>
          <w:lang w:val="pt-BR"/>
        </w:rPr>
        <w:t>2.1.2</w:t>
      </w:r>
      <w:r w:rsidRPr="004A2F01">
        <w:rPr>
          <w:rFonts w:cs="Arial"/>
          <w:lang w:val="pt-BR"/>
        </w:rPr>
        <w:t xml:space="preserve"> </w:t>
      </w:r>
      <w:r w:rsidRPr="004A2F01">
        <w:rPr>
          <w:rFonts w:cs="Arial"/>
          <w:b/>
          <w:lang w:val="pt-BR"/>
        </w:rPr>
        <w:t>Penicilina benzatínica</w:t>
      </w:r>
    </w:p>
    <w:p w:rsidR="00FC442D" w:rsidRPr="004A2F01" w:rsidRDefault="00FC442D" w:rsidP="00C52E09">
      <w:pPr>
        <w:pStyle w:val="TM-4n"/>
        <w:numPr>
          <w:ilvl w:val="0"/>
          <w:numId w:val="177"/>
        </w:numPr>
        <w:tabs>
          <w:tab w:val="clear" w:pos="720"/>
          <w:tab w:val="clear" w:pos="1134"/>
        </w:tabs>
        <w:spacing w:before="120" w:after="0" w:line="276" w:lineRule="auto"/>
        <w:ind w:left="1440"/>
      </w:pPr>
      <w:r w:rsidRPr="004A2F01">
        <w:rPr>
          <w:lang w:val="pt-BR"/>
        </w:rPr>
        <w:t>Forma farmacêtica e via de administração: formulação injectável, ampolas com 1.200.000 ou 2.400.000 UI (Unidades Internacionais), por via IM profunda</w:t>
      </w:r>
    </w:p>
    <w:p w:rsidR="00FC442D" w:rsidRPr="004A2F01" w:rsidRDefault="00FC442D" w:rsidP="00C52E09">
      <w:pPr>
        <w:pStyle w:val="TM-4n"/>
        <w:numPr>
          <w:ilvl w:val="0"/>
          <w:numId w:val="177"/>
        </w:numPr>
        <w:tabs>
          <w:tab w:val="clear" w:pos="720"/>
          <w:tab w:val="clear" w:pos="1134"/>
        </w:tabs>
        <w:spacing w:before="120" w:after="0" w:line="276" w:lineRule="auto"/>
        <w:ind w:left="1440"/>
      </w:pPr>
      <w:r w:rsidRPr="004A2F01">
        <w:rPr>
          <w:lang w:val="pt-BR"/>
        </w:rPr>
        <w:t xml:space="preserve">Indicações: </w:t>
      </w:r>
      <w:r w:rsidRPr="004A2F01">
        <w:rPr>
          <w:b/>
          <w:lang w:val="pt-BR"/>
        </w:rPr>
        <w:t>fármaco de 1ª linha no tratamento da sífilis</w:t>
      </w:r>
      <w:r w:rsidRPr="004A2F01">
        <w:rPr>
          <w:lang w:val="pt-BR"/>
        </w:rPr>
        <w:t>; profilaxia de infecções estreptocócicas, principalmente febre reumática e infecções pós-cirúrgicas em doentes com doenças das válvulas do coração</w:t>
      </w:r>
    </w:p>
    <w:p w:rsidR="00FC442D" w:rsidRPr="004A2F01" w:rsidRDefault="00FC442D" w:rsidP="00C52E09">
      <w:pPr>
        <w:pStyle w:val="TM-4n"/>
        <w:numPr>
          <w:ilvl w:val="0"/>
          <w:numId w:val="177"/>
        </w:numPr>
        <w:tabs>
          <w:tab w:val="clear" w:pos="720"/>
          <w:tab w:val="clear" w:pos="1134"/>
        </w:tabs>
        <w:spacing w:before="120" w:after="0" w:line="276" w:lineRule="auto"/>
        <w:ind w:left="1440"/>
      </w:pPr>
      <w:r w:rsidRPr="004A2F01">
        <w:t xml:space="preserve">Doses e dosagem: </w:t>
      </w:r>
    </w:p>
    <w:p w:rsidR="00FC442D" w:rsidRPr="004A2F01" w:rsidRDefault="00FC442D" w:rsidP="00C52E09">
      <w:pPr>
        <w:pStyle w:val="TM-4n"/>
        <w:numPr>
          <w:ilvl w:val="2"/>
          <w:numId w:val="177"/>
        </w:numPr>
        <w:tabs>
          <w:tab w:val="clear" w:pos="1134"/>
        </w:tabs>
        <w:spacing w:before="120" w:after="0" w:line="276" w:lineRule="auto"/>
      </w:pPr>
      <w:r w:rsidRPr="004A2F01">
        <w:t>Na sífilis, a dose é de 2.400.000 Unidades Internacionais (UI) por semana, de 1 a 3 semanas</w:t>
      </w:r>
    </w:p>
    <w:p w:rsidR="00FC442D" w:rsidRPr="004A2F01" w:rsidRDefault="00FC442D" w:rsidP="00C52E09">
      <w:pPr>
        <w:pStyle w:val="TM-4n"/>
        <w:numPr>
          <w:ilvl w:val="2"/>
          <w:numId w:val="177"/>
        </w:numPr>
        <w:tabs>
          <w:tab w:val="clear" w:pos="1134"/>
        </w:tabs>
        <w:spacing w:before="120" w:after="0" w:line="276" w:lineRule="auto"/>
      </w:pPr>
      <w:r w:rsidRPr="004A2F01">
        <w:t>Na profilaxia das infecções estreptocócicas: mais de 30 Kg – 1.200.000 UI; menos de 30 kg – 600.000 UI; Precauções: de preferência a dose total deve ser dividida para administração IM na região glútea esquerda e direita</w:t>
      </w:r>
    </w:p>
    <w:p w:rsidR="00FC442D" w:rsidRPr="004A2F01" w:rsidRDefault="00FC442D" w:rsidP="00CA3ED0">
      <w:pPr>
        <w:spacing w:before="120"/>
        <w:ind w:left="450"/>
        <w:jc w:val="both"/>
        <w:rPr>
          <w:rFonts w:cs="Arial"/>
          <w:lang w:val="pt-BR"/>
        </w:rPr>
      </w:pPr>
      <w:r w:rsidRPr="00AD66DD">
        <w:rPr>
          <w:rFonts w:cs="Arial"/>
          <w:b/>
          <w:lang w:val="pt-BR"/>
        </w:rPr>
        <w:lastRenderedPageBreak/>
        <w:t>2.1.3</w:t>
      </w:r>
      <w:r w:rsidRPr="004A2F01">
        <w:rPr>
          <w:rFonts w:cs="Arial"/>
          <w:lang w:val="pt-BR"/>
        </w:rPr>
        <w:t xml:space="preserve"> </w:t>
      </w:r>
      <w:r w:rsidRPr="004A2F01">
        <w:rPr>
          <w:rFonts w:cs="Arial"/>
          <w:b/>
          <w:lang w:val="pt-BR"/>
        </w:rPr>
        <w:t>Penicilina G, sódica (Penicilina cristalizada)</w:t>
      </w:r>
    </w:p>
    <w:p w:rsidR="00FC442D" w:rsidRPr="004A2F01" w:rsidRDefault="00FC442D" w:rsidP="00C52E09">
      <w:pPr>
        <w:numPr>
          <w:ilvl w:val="0"/>
          <w:numId w:val="179"/>
        </w:numPr>
        <w:spacing w:before="120" w:after="0"/>
        <w:jc w:val="both"/>
        <w:rPr>
          <w:rFonts w:cs="Arial"/>
          <w:lang w:val="pt-BR"/>
        </w:rPr>
      </w:pPr>
      <w:r w:rsidRPr="004A2F01">
        <w:rPr>
          <w:rFonts w:cs="Arial"/>
          <w:lang w:val="pt-BR"/>
        </w:rPr>
        <w:t>Forma farmacêutica e via de administração: formulação injectável, frasco com 10.000.000 UI, por via EV</w:t>
      </w:r>
    </w:p>
    <w:p w:rsidR="00FC442D" w:rsidRPr="004A2F01" w:rsidRDefault="00FC442D" w:rsidP="00C52E09">
      <w:pPr>
        <w:numPr>
          <w:ilvl w:val="0"/>
          <w:numId w:val="179"/>
        </w:numPr>
        <w:spacing w:before="120" w:after="0"/>
        <w:jc w:val="both"/>
        <w:rPr>
          <w:rFonts w:cs="Arial"/>
          <w:lang w:val="pt-BR"/>
        </w:rPr>
      </w:pPr>
      <w:r w:rsidRPr="004A2F01">
        <w:rPr>
          <w:rFonts w:cs="Arial"/>
          <w:lang w:val="pt-BR"/>
        </w:rPr>
        <w:t>Indicações: indicada para o tratamento de infecções graves por cocos gram positivos e gram negativos e bacilos gram positivos sensíveis (</w:t>
      </w:r>
      <w:r w:rsidRPr="004A2F01">
        <w:rPr>
          <w:rFonts w:cs="Arial"/>
          <w:b/>
          <w:lang w:val="pt-BR"/>
        </w:rPr>
        <w:t>meningites, pneumonias</w:t>
      </w:r>
      <w:r w:rsidRPr="004A2F01">
        <w:rPr>
          <w:rFonts w:cs="Arial"/>
          <w:lang w:val="pt-BR"/>
        </w:rPr>
        <w:t xml:space="preserve">); bactérias anaeróbicas como </w:t>
      </w:r>
      <w:r w:rsidRPr="004A2F01">
        <w:rPr>
          <w:rFonts w:cs="Arial"/>
          <w:i/>
          <w:lang w:val="pt-BR"/>
        </w:rPr>
        <w:t>clostridium</w:t>
      </w:r>
      <w:r w:rsidRPr="004A2F01">
        <w:rPr>
          <w:rFonts w:cs="Arial"/>
          <w:lang w:val="pt-BR"/>
        </w:rPr>
        <w:t>, espiroquetas (</w:t>
      </w:r>
      <w:r w:rsidRPr="004A2F01">
        <w:rPr>
          <w:rFonts w:cs="Arial"/>
          <w:i/>
          <w:lang w:val="pt-BR"/>
        </w:rPr>
        <w:t>treponema pallidum</w:t>
      </w:r>
      <w:r w:rsidRPr="004A2F01">
        <w:rPr>
          <w:rFonts w:cs="Arial"/>
          <w:lang w:val="pt-BR"/>
        </w:rPr>
        <w:t>).</w:t>
      </w:r>
    </w:p>
    <w:p w:rsidR="00FC442D" w:rsidRPr="004A2F01" w:rsidRDefault="00FC442D" w:rsidP="00C52E09">
      <w:pPr>
        <w:pStyle w:val="TM-4n"/>
        <w:numPr>
          <w:ilvl w:val="0"/>
          <w:numId w:val="177"/>
        </w:numPr>
        <w:tabs>
          <w:tab w:val="clear" w:pos="720"/>
          <w:tab w:val="clear" w:pos="1134"/>
        </w:tabs>
        <w:spacing w:before="120" w:after="0" w:line="276" w:lineRule="auto"/>
        <w:ind w:left="1440"/>
      </w:pPr>
      <w:r w:rsidRPr="004A2F01">
        <w:t>Doses e dosagem:</w:t>
      </w:r>
    </w:p>
    <w:p w:rsidR="00FC442D" w:rsidRPr="004A2F01" w:rsidRDefault="00FC442D" w:rsidP="00C52E09">
      <w:pPr>
        <w:pStyle w:val="TM-4n"/>
        <w:numPr>
          <w:ilvl w:val="2"/>
          <w:numId w:val="177"/>
        </w:numPr>
        <w:tabs>
          <w:tab w:val="clear" w:pos="1134"/>
        </w:tabs>
        <w:spacing w:before="120" w:after="0" w:line="276" w:lineRule="auto"/>
      </w:pPr>
      <w:r w:rsidRPr="004A2F01">
        <w:t>Adultos: 500.000-1.000.000 UI de 6 em  6 horas (4 tomas diárias) podendo aumentar até um máximo de 24 milhões de UI por dia (dose de meningite)</w:t>
      </w:r>
    </w:p>
    <w:p w:rsidR="00FC442D" w:rsidRPr="004A2F01" w:rsidRDefault="00FC442D" w:rsidP="00C52E09">
      <w:pPr>
        <w:numPr>
          <w:ilvl w:val="0"/>
          <w:numId w:val="195"/>
        </w:numPr>
        <w:spacing w:before="120" w:after="0"/>
        <w:jc w:val="both"/>
        <w:rPr>
          <w:rFonts w:cs="Arial"/>
          <w:lang w:val="pt-BR"/>
        </w:rPr>
      </w:pPr>
      <w:r w:rsidRPr="004A2F01">
        <w:rPr>
          <w:rFonts w:cs="Arial"/>
          <w:lang w:val="pt-BR"/>
        </w:rPr>
        <w:t>Notas e precauções: existe risco de hipersensibilidade cruzada com cefalosporinas. Devido ao teor de sódio da penicilina, controlar os electrólitos e função cardíaca, sobretudo em doentes com retenção hidrosalina.</w:t>
      </w:r>
    </w:p>
    <w:p w:rsidR="00FC442D" w:rsidRPr="004A2F01" w:rsidRDefault="00FC442D" w:rsidP="00CA3ED0">
      <w:pPr>
        <w:spacing w:before="120"/>
        <w:ind w:left="450"/>
        <w:jc w:val="both"/>
        <w:rPr>
          <w:rFonts w:cs="Arial"/>
          <w:b/>
          <w:lang w:val="pt-BR"/>
        </w:rPr>
      </w:pPr>
      <w:r w:rsidRPr="00AD66DD">
        <w:rPr>
          <w:rFonts w:cs="Arial"/>
          <w:b/>
          <w:lang w:val="pt-BR"/>
        </w:rPr>
        <w:t>2.1.4</w:t>
      </w:r>
      <w:r w:rsidRPr="004A2F01">
        <w:rPr>
          <w:rFonts w:cs="Arial"/>
          <w:lang w:val="pt-BR"/>
        </w:rPr>
        <w:t xml:space="preserve"> </w:t>
      </w:r>
      <w:r w:rsidRPr="004A2F01">
        <w:rPr>
          <w:rFonts w:cs="Arial"/>
          <w:b/>
          <w:lang w:val="pt-BR"/>
        </w:rPr>
        <w:t>Penicilina procaina</w:t>
      </w:r>
    </w:p>
    <w:p w:rsidR="00FC442D" w:rsidRPr="004A2F01" w:rsidRDefault="00FC442D" w:rsidP="00C52E09">
      <w:pPr>
        <w:numPr>
          <w:ilvl w:val="0"/>
          <w:numId w:val="195"/>
        </w:numPr>
        <w:spacing w:before="120" w:after="0"/>
        <w:jc w:val="both"/>
        <w:rPr>
          <w:rFonts w:cs="Arial"/>
          <w:lang w:val="pt-BR"/>
        </w:rPr>
      </w:pPr>
      <w:r w:rsidRPr="004A2F01">
        <w:rPr>
          <w:rFonts w:cs="Arial"/>
          <w:lang w:val="pt-BR"/>
        </w:rPr>
        <w:t>Forma farmacêutica e via de administração: formulação injectável, ampolas de 3.000.000 UI, por via IM profunda</w:t>
      </w:r>
    </w:p>
    <w:p w:rsidR="00FC442D" w:rsidRPr="004A2F01" w:rsidRDefault="00FC442D" w:rsidP="00C52E09">
      <w:pPr>
        <w:numPr>
          <w:ilvl w:val="0"/>
          <w:numId w:val="195"/>
        </w:numPr>
        <w:spacing w:before="120" w:after="0"/>
        <w:jc w:val="both"/>
        <w:rPr>
          <w:rFonts w:cs="Arial"/>
          <w:lang w:val="pt-BR"/>
        </w:rPr>
      </w:pPr>
      <w:r w:rsidRPr="004A2F01">
        <w:rPr>
          <w:rFonts w:cs="Arial"/>
          <w:lang w:val="pt-BR"/>
        </w:rPr>
        <w:t>Indicações: no geral as mesmas que a penicilina G mas em situações menos graves e que não requeiram tratamento muito agressivo. Útil, também na pneumonia pneumocócica e infecções do ouvido, faringe.</w:t>
      </w:r>
    </w:p>
    <w:p w:rsidR="00FC442D" w:rsidRPr="004A2F01" w:rsidRDefault="00FC442D" w:rsidP="00C52E09">
      <w:pPr>
        <w:numPr>
          <w:ilvl w:val="0"/>
          <w:numId w:val="195"/>
        </w:numPr>
        <w:spacing w:before="120" w:after="0"/>
        <w:jc w:val="both"/>
        <w:rPr>
          <w:rFonts w:cs="Arial"/>
          <w:lang w:val="pt-BR"/>
        </w:rPr>
      </w:pPr>
      <w:r w:rsidRPr="004A2F01">
        <w:rPr>
          <w:rFonts w:cs="Arial"/>
          <w:lang w:val="pt-BR"/>
        </w:rPr>
        <w:t>Doses e dosagem: maiores de 12 anos – 600.000 a 1.200.000 UI/dia ou de 12 em 12 horas</w:t>
      </w:r>
    </w:p>
    <w:p w:rsidR="00FC442D" w:rsidRPr="004A2F01" w:rsidRDefault="00FC442D" w:rsidP="00C52E09">
      <w:pPr>
        <w:numPr>
          <w:ilvl w:val="0"/>
          <w:numId w:val="195"/>
        </w:numPr>
        <w:spacing w:before="120" w:after="0"/>
        <w:jc w:val="both"/>
        <w:rPr>
          <w:rFonts w:cs="Arial"/>
          <w:lang w:val="pt-BR"/>
        </w:rPr>
      </w:pPr>
      <w:r w:rsidRPr="004A2F01">
        <w:rPr>
          <w:rFonts w:cs="Arial"/>
          <w:lang w:val="pt-BR"/>
        </w:rPr>
        <w:t>Efeitos secundários: no geral, são as mesmas que das penicilinas, mas particularmente devido a sua via de administração pode ocorrer dor, irritação e abcesso estéril no local da injecção IM</w:t>
      </w:r>
    </w:p>
    <w:p w:rsidR="00FC442D" w:rsidRPr="004A2F01" w:rsidRDefault="00FC442D" w:rsidP="00C52E09">
      <w:pPr>
        <w:numPr>
          <w:ilvl w:val="0"/>
          <w:numId w:val="195"/>
        </w:numPr>
        <w:spacing w:before="120" w:after="0"/>
        <w:jc w:val="both"/>
        <w:rPr>
          <w:rFonts w:cs="Arial"/>
          <w:lang w:val="pt-BR"/>
        </w:rPr>
      </w:pPr>
      <w:r w:rsidRPr="004A2F01">
        <w:rPr>
          <w:rFonts w:cs="Arial"/>
          <w:lang w:val="pt-BR"/>
        </w:rPr>
        <w:t xml:space="preserve">Notas e precauções: </w:t>
      </w:r>
      <w:r w:rsidRPr="004A2F01">
        <w:rPr>
          <w:rFonts w:cs="Arial"/>
          <w:b/>
          <w:lang w:val="pt-BR"/>
        </w:rPr>
        <w:t>NUNCA INJECTAR POR VIA EV OU SC</w:t>
      </w:r>
      <w:r w:rsidRPr="004A2F01">
        <w:rPr>
          <w:rFonts w:cs="Arial"/>
          <w:lang w:val="pt-BR"/>
        </w:rPr>
        <w:t xml:space="preserve"> </w:t>
      </w:r>
    </w:p>
    <w:p w:rsidR="00FC442D" w:rsidRPr="004A2F01" w:rsidRDefault="00FC442D" w:rsidP="00CA3ED0">
      <w:pPr>
        <w:tabs>
          <w:tab w:val="left" w:pos="540"/>
          <w:tab w:val="left" w:pos="810"/>
        </w:tabs>
        <w:spacing w:before="120"/>
        <w:ind w:left="450"/>
        <w:jc w:val="both"/>
        <w:rPr>
          <w:rFonts w:cs="Arial"/>
          <w:lang w:val="pt-BR"/>
        </w:rPr>
      </w:pPr>
      <w:r w:rsidRPr="00AD66DD">
        <w:rPr>
          <w:rFonts w:cs="Arial"/>
          <w:b/>
          <w:lang w:val="pt-BR"/>
        </w:rPr>
        <w:t>2.1.5</w:t>
      </w:r>
      <w:r w:rsidRPr="004A2F01">
        <w:rPr>
          <w:rFonts w:cs="Arial"/>
          <w:lang w:val="pt-BR"/>
        </w:rPr>
        <w:t xml:space="preserve"> </w:t>
      </w:r>
      <w:r w:rsidRPr="004A2F01">
        <w:rPr>
          <w:rFonts w:cs="Arial"/>
          <w:b/>
          <w:lang w:val="pt-BR"/>
        </w:rPr>
        <w:t>Amoxicilina</w:t>
      </w:r>
    </w:p>
    <w:p w:rsidR="00FC442D" w:rsidRPr="004A2F01" w:rsidRDefault="00FC442D" w:rsidP="00C52E09">
      <w:pPr>
        <w:pStyle w:val="TM-4n"/>
        <w:numPr>
          <w:ilvl w:val="0"/>
          <w:numId w:val="177"/>
        </w:numPr>
        <w:tabs>
          <w:tab w:val="clear" w:pos="720"/>
          <w:tab w:val="clear" w:pos="1134"/>
        </w:tabs>
        <w:spacing w:before="120" w:after="0" w:line="276" w:lineRule="auto"/>
        <w:ind w:left="1440"/>
      </w:pPr>
      <w:r w:rsidRPr="004A2F01">
        <w:t>Forma farmacêutica e via de adminsitração: cápsulas e suspensão oral, por via oral</w:t>
      </w:r>
    </w:p>
    <w:p w:rsidR="00FC442D" w:rsidRPr="004A2F01" w:rsidRDefault="00FC442D" w:rsidP="00C52E09">
      <w:pPr>
        <w:pStyle w:val="TM-4n"/>
        <w:numPr>
          <w:ilvl w:val="0"/>
          <w:numId w:val="177"/>
        </w:numPr>
        <w:tabs>
          <w:tab w:val="clear" w:pos="720"/>
          <w:tab w:val="clear" w:pos="1134"/>
        </w:tabs>
        <w:spacing w:before="120" w:after="0" w:line="276" w:lineRule="auto"/>
        <w:ind w:left="1440"/>
      </w:pPr>
      <w:r w:rsidRPr="004A2F01">
        <w:t xml:space="preserve">Indicações: semelhante à penicilina G e usada se o paciente não estiver grave </w:t>
      </w:r>
    </w:p>
    <w:p w:rsidR="00FC442D" w:rsidRPr="004A2F01" w:rsidRDefault="00FC442D" w:rsidP="00C52E09">
      <w:pPr>
        <w:pStyle w:val="TM-4n"/>
        <w:numPr>
          <w:ilvl w:val="0"/>
          <w:numId w:val="177"/>
        </w:numPr>
        <w:tabs>
          <w:tab w:val="clear" w:pos="720"/>
          <w:tab w:val="clear" w:pos="1134"/>
        </w:tabs>
        <w:spacing w:before="120" w:after="0" w:line="276" w:lineRule="auto"/>
        <w:ind w:left="1440"/>
      </w:pPr>
      <w:r w:rsidRPr="004A2F01">
        <w:t>Doses e dosagem:</w:t>
      </w:r>
    </w:p>
    <w:p w:rsidR="00FC442D" w:rsidRPr="004A2F01" w:rsidRDefault="00FC442D" w:rsidP="00C52E09">
      <w:pPr>
        <w:pStyle w:val="TM-4n"/>
        <w:numPr>
          <w:ilvl w:val="2"/>
          <w:numId w:val="177"/>
        </w:numPr>
        <w:tabs>
          <w:tab w:val="clear" w:pos="1134"/>
        </w:tabs>
        <w:spacing w:before="120" w:after="0" w:line="276" w:lineRule="auto"/>
      </w:pPr>
      <w:r w:rsidRPr="004A2F01">
        <w:t>Adultos e crianças com mais de 20 kg: 250-500 mg de 8 em  8 horas ( máximo 3 g/dia).</w:t>
      </w:r>
    </w:p>
    <w:p w:rsidR="00FC442D" w:rsidRPr="004A2F01" w:rsidRDefault="00FC442D" w:rsidP="00C52E09">
      <w:pPr>
        <w:pStyle w:val="TM-4n"/>
        <w:numPr>
          <w:ilvl w:val="0"/>
          <w:numId w:val="177"/>
        </w:numPr>
        <w:tabs>
          <w:tab w:val="clear" w:pos="720"/>
          <w:tab w:val="clear" w:pos="1134"/>
        </w:tabs>
        <w:spacing w:before="120" w:after="0" w:line="276" w:lineRule="auto"/>
        <w:ind w:left="1440"/>
      </w:pPr>
      <w:r w:rsidRPr="004A2F01">
        <w:t xml:space="preserve"> Efeitos secundários: os mesmos que das penicilinas no geral, mas com maior incidência de efeitos gastrointestinais sobretudo diarreia.</w:t>
      </w:r>
    </w:p>
    <w:p w:rsidR="00FC442D" w:rsidRDefault="00FC442D" w:rsidP="00C52E09">
      <w:pPr>
        <w:pStyle w:val="TM-4n"/>
        <w:numPr>
          <w:ilvl w:val="0"/>
          <w:numId w:val="177"/>
        </w:numPr>
        <w:tabs>
          <w:tab w:val="clear" w:pos="720"/>
          <w:tab w:val="clear" w:pos="1134"/>
        </w:tabs>
        <w:spacing w:before="120" w:after="0" w:line="276" w:lineRule="auto"/>
        <w:ind w:left="1440"/>
      </w:pPr>
      <w:r w:rsidRPr="004A2F01">
        <w:t>Pode-se associar com ácido clavulânico (na forma de clavulanato de potássio) para o tratamento de infecções por bactérias resistentes a penicilina (a associação tem nível de prescrição 3). Nesta associação (amoxicilina e ácido clavulânico) as doses usuais são 250 mg de amoxicilina e 125 mg de clavulanato de potássio, de 8 em 8 horas.</w:t>
      </w:r>
    </w:p>
    <w:p w:rsidR="00FC442D" w:rsidRPr="004A2F01" w:rsidRDefault="00FC442D" w:rsidP="00CA3ED0">
      <w:pPr>
        <w:spacing w:before="120"/>
        <w:ind w:left="450"/>
        <w:jc w:val="both"/>
        <w:rPr>
          <w:rFonts w:cs="Arial"/>
          <w:lang w:val="pt-BR"/>
        </w:rPr>
      </w:pPr>
      <w:r w:rsidRPr="004A2F01">
        <w:rPr>
          <w:rFonts w:cs="Arial"/>
          <w:lang w:val="pt-BR"/>
        </w:rPr>
        <w:t xml:space="preserve"> </w:t>
      </w:r>
      <w:r w:rsidRPr="00AD66DD">
        <w:rPr>
          <w:rFonts w:cs="Arial"/>
          <w:b/>
          <w:lang w:val="pt-BR"/>
        </w:rPr>
        <w:t>2.1.6</w:t>
      </w:r>
      <w:r w:rsidRPr="004A2F01">
        <w:rPr>
          <w:rFonts w:cs="Arial"/>
          <w:lang w:val="pt-BR"/>
        </w:rPr>
        <w:t xml:space="preserve"> </w:t>
      </w:r>
      <w:r w:rsidRPr="004A2F01">
        <w:rPr>
          <w:rFonts w:cs="Arial"/>
          <w:b/>
          <w:lang w:val="pt-BR"/>
        </w:rPr>
        <w:t>Ampicilina, sódica</w:t>
      </w:r>
    </w:p>
    <w:p w:rsidR="00FC442D" w:rsidRPr="004A2F01" w:rsidRDefault="00FC442D" w:rsidP="00C52E09">
      <w:pPr>
        <w:numPr>
          <w:ilvl w:val="0"/>
          <w:numId w:val="180"/>
        </w:numPr>
        <w:spacing w:before="120" w:after="0"/>
        <w:jc w:val="both"/>
        <w:rPr>
          <w:rFonts w:cs="Arial"/>
          <w:lang w:val="pt-BR"/>
        </w:rPr>
      </w:pPr>
      <w:r w:rsidRPr="004A2F01">
        <w:rPr>
          <w:rFonts w:cs="Arial"/>
          <w:lang w:val="pt-BR"/>
        </w:rPr>
        <w:t>Forma farmacêutica e via de administração: forma injectável com 500 mg por ampola, por via EV</w:t>
      </w:r>
    </w:p>
    <w:p w:rsidR="00FC442D" w:rsidRPr="004A2F01" w:rsidRDefault="00FC442D" w:rsidP="00C52E09">
      <w:pPr>
        <w:numPr>
          <w:ilvl w:val="0"/>
          <w:numId w:val="180"/>
        </w:numPr>
        <w:spacing w:before="120" w:after="0"/>
        <w:jc w:val="both"/>
        <w:rPr>
          <w:rFonts w:cs="Arial"/>
          <w:lang w:val="pt-BR"/>
        </w:rPr>
      </w:pPr>
      <w:r w:rsidRPr="004A2F01">
        <w:rPr>
          <w:rFonts w:cs="Arial"/>
          <w:lang w:val="pt-BR"/>
        </w:rPr>
        <w:lastRenderedPageBreak/>
        <w:t xml:space="preserve">Indicações: são as mesmas que para penicilina G, mas ampliado para bactérias gram negativas aeróbicas. </w:t>
      </w:r>
    </w:p>
    <w:p w:rsidR="00FC442D" w:rsidRPr="004A2F01" w:rsidRDefault="00FC442D" w:rsidP="00C52E09">
      <w:pPr>
        <w:pStyle w:val="TM-4n"/>
        <w:numPr>
          <w:ilvl w:val="0"/>
          <w:numId w:val="177"/>
        </w:numPr>
        <w:tabs>
          <w:tab w:val="clear" w:pos="720"/>
          <w:tab w:val="clear" w:pos="1134"/>
        </w:tabs>
        <w:spacing w:before="120" w:after="0" w:line="276" w:lineRule="auto"/>
        <w:ind w:left="1440"/>
      </w:pPr>
      <w:r w:rsidRPr="004A2F01">
        <w:t>Doses e dosagem: 2 e 12 gramas por dia, divididos em 4 tomas (geralmente 1 grama de 6 em 6 horas). Nas infecções graves pode-se administrar 3 gramas de 6 em 6 horas)</w:t>
      </w:r>
    </w:p>
    <w:p w:rsidR="00FC442D" w:rsidRPr="004A2F01" w:rsidRDefault="00FC442D" w:rsidP="00FC442D">
      <w:pPr>
        <w:tabs>
          <w:tab w:val="left" w:pos="360"/>
        </w:tabs>
        <w:spacing w:before="120"/>
        <w:jc w:val="both"/>
        <w:rPr>
          <w:rFonts w:cs="Arial"/>
          <w:b/>
          <w:lang w:val="pt-BR"/>
        </w:rPr>
      </w:pPr>
      <w:r w:rsidRPr="00AD66DD">
        <w:rPr>
          <w:rFonts w:cs="Arial"/>
          <w:b/>
          <w:lang w:val="pt-BR"/>
        </w:rPr>
        <w:t>2.2</w:t>
      </w:r>
      <w:r w:rsidRPr="004A2F01">
        <w:rPr>
          <w:rFonts w:cs="Arial"/>
          <w:lang w:val="pt-BR"/>
        </w:rPr>
        <w:t xml:space="preserve"> </w:t>
      </w:r>
      <w:r w:rsidRPr="004A2F01">
        <w:rPr>
          <w:rFonts w:cs="Arial"/>
          <w:b/>
          <w:lang w:val="pt-BR"/>
        </w:rPr>
        <w:t>Cefalosporinas</w:t>
      </w:r>
    </w:p>
    <w:p w:rsidR="00FC442D" w:rsidRPr="004A2F01" w:rsidRDefault="00FC442D" w:rsidP="00AD66DD">
      <w:pPr>
        <w:spacing w:before="120"/>
        <w:jc w:val="both"/>
        <w:rPr>
          <w:rFonts w:cs="Arial"/>
          <w:lang w:val="pt-BR"/>
        </w:rPr>
      </w:pPr>
      <w:r w:rsidRPr="004A2F01">
        <w:rPr>
          <w:rFonts w:cs="Arial"/>
          <w:lang w:val="pt-BR"/>
        </w:rPr>
        <w:t>As cefalosporinas têm actividade sobre muitas bactérias, tanto gram positivas como gram negativas, e esta actividade varia de geração em geração das cefalosporinas. A geração mais frequentemente disponível em Moçambique são as cefalosporinas de 3ª geração, sendo a ceftriaxona o fármaco mais disponível (</w:t>
      </w:r>
      <w:r w:rsidRPr="004A2F01">
        <w:rPr>
          <w:rFonts w:cs="Arial"/>
          <w:b/>
          <w:lang w:val="pt-BR"/>
        </w:rPr>
        <w:t>nivel 3 de prescrição</w:t>
      </w:r>
      <w:r w:rsidRPr="004A2F01">
        <w:rPr>
          <w:rFonts w:cs="Arial"/>
          <w:lang w:val="pt-BR"/>
        </w:rPr>
        <w:t>).</w:t>
      </w:r>
    </w:p>
    <w:p w:rsidR="00FC442D" w:rsidRPr="004A2F01" w:rsidRDefault="00FC442D" w:rsidP="00FC442D">
      <w:pPr>
        <w:spacing w:before="120"/>
        <w:ind w:left="450"/>
        <w:jc w:val="both"/>
        <w:rPr>
          <w:rFonts w:cs="Arial"/>
          <w:lang w:val="pt-BR"/>
        </w:rPr>
      </w:pPr>
      <w:r w:rsidRPr="00AD66DD">
        <w:rPr>
          <w:rFonts w:cs="Arial"/>
          <w:b/>
          <w:lang w:val="pt-BR"/>
        </w:rPr>
        <w:t>2.2.1</w:t>
      </w:r>
      <w:r w:rsidRPr="004A2F01">
        <w:rPr>
          <w:rFonts w:cs="Arial"/>
          <w:lang w:val="pt-BR"/>
        </w:rPr>
        <w:t xml:space="preserve"> Ceftriaxona</w:t>
      </w:r>
    </w:p>
    <w:p w:rsidR="00FC442D" w:rsidRPr="004A2F01" w:rsidRDefault="00FC442D" w:rsidP="00C52E09">
      <w:pPr>
        <w:numPr>
          <w:ilvl w:val="0"/>
          <w:numId w:val="181"/>
        </w:numPr>
        <w:spacing w:before="120" w:after="0"/>
        <w:jc w:val="both"/>
        <w:rPr>
          <w:rFonts w:cs="Arial"/>
          <w:lang w:val="pt-BR"/>
        </w:rPr>
      </w:pPr>
      <w:r w:rsidRPr="004A2F01">
        <w:rPr>
          <w:rFonts w:cs="Arial"/>
          <w:lang w:val="pt-BR"/>
        </w:rPr>
        <w:t xml:space="preserve">Forma farmacêutica e via de administração: forma injectável – ampolas de 1grama/4 ml, por via IM ou EV </w:t>
      </w:r>
    </w:p>
    <w:p w:rsidR="00FC442D" w:rsidRPr="004A2F01" w:rsidRDefault="00FC442D" w:rsidP="00C52E09">
      <w:pPr>
        <w:numPr>
          <w:ilvl w:val="0"/>
          <w:numId w:val="181"/>
        </w:numPr>
        <w:spacing w:before="120" w:after="0"/>
        <w:jc w:val="both"/>
        <w:rPr>
          <w:rFonts w:cs="Arial"/>
          <w:lang w:val="pt-BR"/>
        </w:rPr>
      </w:pPr>
      <w:r w:rsidRPr="004A2F01">
        <w:rPr>
          <w:rFonts w:cs="Arial"/>
          <w:lang w:val="pt-BR"/>
        </w:rPr>
        <w:t>Indicações: infecções graves por bactérias aeróbicas gram positivas e gram negativas; particularmente indicada no tratamento das  meningites, septicémias, gonorreia</w:t>
      </w:r>
    </w:p>
    <w:p w:rsidR="00FC442D" w:rsidRPr="004A2F01" w:rsidRDefault="00FC442D" w:rsidP="00C52E09">
      <w:pPr>
        <w:numPr>
          <w:ilvl w:val="0"/>
          <w:numId w:val="181"/>
        </w:numPr>
        <w:spacing w:before="120" w:after="0"/>
        <w:jc w:val="both"/>
        <w:rPr>
          <w:rFonts w:cs="Arial"/>
          <w:lang w:val="pt-BR"/>
        </w:rPr>
      </w:pPr>
      <w:r w:rsidRPr="004A2F01">
        <w:rPr>
          <w:rFonts w:cs="Arial"/>
          <w:lang w:val="pt-BR"/>
        </w:rPr>
        <w:t>Doses e dosagem:</w:t>
      </w:r>
    </w:p>
    <w:p w:rsidR="00FC442D" w:rsidRPr="004A2F01" w:rsidRDefault="00FC442D" w:rsidP="00C52E09">
      <w:pPr>
        <w:numPr>
          <w:ilvl w:val="1"/>
          <w:numId w:val="181"/>
        </w:numPr>
        <w:spacing w:before="120" w:after="0"/>
        <w:jc w:val="both"/>
        <w:rPr>
          <w:rFonts w:cs="Arial"/>
          <w:lang w:val="pt-BR"/>
        </w:rPr>
      </w:pPr>
      <w:r w:rsidRPr="004A2F01">
        <w:rPr>
          <w:rFonts w:cs="Arial"/>
          <w:lang w:val="pt-BR"/>
        </w:rPr>
        <w:t>Adultos: 1-2 g de 24 em 24 horas (1 vez por dia)</w:t>
      </w:r>
    </w:p>
    <w:p w:rsidR="00FC442D" w:rsidRPr="004A2F01" w:rsidRDefault="00FC442D" w:rsidP="00C52E09">
      <w:pPr>
        <w:numPr>
          <w:ilvl w:val="1"/>
          <w:numId w:val="181"/>
        </w:numPr>
        <w:spacing w:before="120" w:after="0"/>
        <w:jc w:val="both"/>
        <w:rPr>
          <w:rFonts w:cs="Arial"/>
          <w:lang w:val="pt-BR"/>
        </w:rPr>
      </w:pPr>
      <w:r w:rsidRPr="004A2F01">
        <w:rPr>
          <w:rFonts w:cs="Arial"/>
          <w:lang w:val="pt-BR"/>
        </w:rPr>
        <w:t>Na gonorreia: 250 mg dose única por via IM</w:t>
      </w:r>
    </w:p>
    <w:p w:rsidR="00FC442D" w:rsidRPr="004A2F01" w:rsidRDefault="00FC442D" w:rsidP="00C52E09">
      <w:pPr>
        <w:numPr>
          <w:ilvl w:val="0"/>
          <w:numId w:val="182"/>
        </w:numPr>
        <w:spacing w:before="120" w:after="0"/>
        <w:jc w:val="both"/>
        <w:rPr>
          <w:rFonts w:cs="Arial"/>
          <w:lang w:val="pt-BR"/>
        </w:rPr>
      </w:pPr>
      <w:r w:rsidRPr="004A2F01">
        <w:rPr>
          <w:rFonts w:cs="Arial"/>
          <w:lang w:val="pt-BR"/>
        </w:rPr>
        <w:t>Efeitos secundários: geralmente bem tolerada. Ocasionalmente reacções alérgicas, dor no local da injecção, distúrbios gastrointestinais.</w:t>
      </w:r>
    </w:p>
    <w:p w:rsidR="00FC442D" w:rsidRPr="004A2F01" w:rsidRDefault="00FC442D" w:rsidP="00C52E09">
      <w:pPr>
        <w:numPr>
          <w:ilvl w:val="0"/>
          <w:numId w:val="182"/>
        </w:numPr>
        <w:spacing w:before="120" w:after="0"/>
        <w:jc w:val="both"/>
        <w:rPr>
          <w:rFonts w:cs="Arial"/>
          <w:lang w:val="pt-BR"/>
        </w:rPr>
      </w:pPr>
      <w:r w:rsidRPr="004A2F01">
        <w:rPr>
          <w:rFonts w:cs="Arial"/>
          <w:lang w:val="pt-BR"/>
        </w:rPr>
        <w:t>Contra-indicações: recém nascidos com icterícia, hipoalbuminémia, antecedentes de hipersensibilidade à cefalosporinas ou penicilina</w:t>
      </w:r>
    </w:p>
    <w:p w:rsidR="00FC442D" w:rsidRPr="004A2F01" w:rsidRDefault="00FC442D" w:rsidP="00C52E09">
      <w:pPr>
        <w:numPr>
          <w:ilvl w:val="0"/>
          <w:numId w:val="182"/>
        </w:numPr>
        <w:spacing w:before="120" w:after="0"/>
        <w:jc w:val="both"/>
        <w:rPr>
          <w:rFonts w:cs="Arial"/>
          <w:lang w:val="pt-BR"/>
        </w:rPr>
      </w:pPr>
      <w:r w:rsidRPr="004A2F01">
        <w:rPr>
          <w:rFonts w:cs="Arial"/>
          <w:lang w:val="pt-BR"/>
        </w:rPr>
        <w:t>Notas e precauções: uso reservado para situações graves em regime hospitalar, e quando não se disponha de alternativas com melhor relação custo/benefício; possibilidade, embora rara, de reacção de hipersensibilidade cruzada com as penicilinas.</w:t>
      </w:r>
    </w:p>
    <w:p w:rsidR="00FC442D" w:rsidRPr="004A2F01" w:rsidRDefault="00FC442D" w:rsidP="00FC442D">
      <w:pPr>
        <w:spacing w:before="120"/>
        <w:jc w:val="both"/>
        <w:rPr>
          <w:rFonts w:cs="Arial"/>
          <w:b/>
          <w:lang w:val="pt-BR"/>
        </w:rPr>
      </w:pPr>
      <w:r w:rsidRPr="00AD66DD">
        <w:rPr>
          <w:rFonts w:cs="Arial"/>
          <w:b/>
          <w:lang w:val="pt-BR"/>
        </w:rPr>
        <w:t>2.3</w:t>
      </w:r>
      <w:r w:rsidRPr="004A2F01">
        <w:rPr>
          <w:rFonts w:cs="Arial"/>
          <w:lang w:val="pt-BR"/>
        </w:rPr>
        <w:t xml:space="preserve"> </w:t>
      </w:r>
      <w:r w:rsidRPr="004A2F01">
        <w:rPr>
          <w:rFonts w:cs="Arial"/>
          <w:b/>
          <w:lang w:val="pt-BR"/>
        </w:rPr>
        <w:t>Aminoglicósidos</w:t>
      </w:r>
    </w:p>
    <w:p w:rsidR="00FC442D" w:rsidRPr="004A2F01" w:rsidRDefault="00FC442D" w:rsidP="00AD66DD">
      <w:pPr>
        <w:pStyle w:val="TM-3n"/>
        <w:numPr>
          <w:ilvl w:val="0"/>
          <w:numId w:val="0"/>
        </w:numPr>
        <w:tabs>
          <w:tab w:val="clear" w:pos="1276"/>
        </w:tabs>
        <w:spacing w:before="120" w:after="0" w:line="276" w:lineRule="auto"/>
      </w:pPr>
      <w:r w:rsidRPr="004A2F01">
        <w:rPr>
          <w:b/>
        </w:rPr>
        <w:t>Os aminoglicosídeos são uma classe de anti-bacterianos activa, principalmente contra bactérias gram negativas aeróbicas</w:t>
      </w:r>
      <w:r w:rsidRPr="004A2F01">
        <w:t xml:space="preserve">. Não </w:t>
      </w:r>
      <w:r w:rsidRPr="004A2F01">
        <w:rPr>
          <w:b/>
        </w:rPr>
        <w:t>tem actividade contra bactérias anaeróbicas</w:t>
      </w:r>
      <w:r w:rsidRPr="004A2F01">
        <w:t>. Não são absorvidos no intestino, portanto têm que ser administrados por via intramuscular ou endovenosa. Usam-se em combinacao com outros antibióticos.</w:t>
      </w:r>
    </w:p>
    <w:p w:rsidR="00FC442D" w:rsidRPr="004A2F01" w:rsidRDefault="00FC442D" w:rsidP="00AD66DD">
      <w:pPr>
        <w:pStyle w:val="TM-3n"/>
        <w:numPr>
          <w:ilvl w:val="0"/>
          <w:numId w:val="0"/>
        </w:numPr>
        <w:tabs>
          <w:tab w:val="clear" w:pos="1276"/>
        </w:tabs>
        <w:spacing w:before="120" w:after="0" w:line="276" w:lineRule="auto"/>
      </w:pPr>
      <w:r w:rsidRPr="004A2F01">
        <w:t>Os efeitos secundários principais são: sobre rins (</w:t>
      </w:r>
      <w:r w:rsidRPr="004A2F01">
        <w:rPr>
          <w:b/>
        </w:rPr>
        <w:t>nefrotoxicidade</w:t>
      </w:r>
      <w:r w:rsidRPr="004A2F01">
        <w:t xml:space="preserve"> – proteinúria, hematúria – insuficiência renal aguda com diurese conservada) e ouvidos (</w:t>
      </w:r>
      <w:r w:rsidRPr="004A2F01">
        <w:rPr>
          <w:b/>
        </w:rPr>
        <w:t>ototoxicidade</w:t>
      </w:r>
      <w:r w:rsidRPr="004A2F01">
        <w:t xml:space="preserve"> – vertigens, zumbidos, perda de audição, náuseas e vómitos), pelo que durante o seu uso, deve se ter sempre em mente estes efeitos secundários. A nefrotoxicidae e a otoxicidade são reversíveis com a suspensão atempada do antibiotico. Os aminoglicósidos mais utilizados em Moçambique são:</w:t>
      </w:r>
    </w:p>
    <w:p w:rsidR="00FC442D" w:rsidRPr="004A2F01" w:rsidRDefault="00FC442D" w:rsidP="00FC442D">
      <w:pPr>
        <w:spacing w:before="120"/>
        <w:ind w:left="450"/>
        <w:jc w:val="both"/>
        <w:rPr>
          <w:rFonts w:cs="Arial"/>
          <w:b/>
          <w:lang w:val="pt-BR"/>
        </w:rPr>
      </w:pPr>
      <w:r w:rsidRPr="007701A8">
        <w:rPr>
          <w:rFonts w:cs="Arial"/>
          <w:b/>
          <w:lang w:val="pt-BR"/>
        </w:rPr>
        <w:t>2.3.1</w:t>
      </w:r>
      <w:r w:rsidRPr="004A2F01">
        <w:rPr>
          <w:rFonts w:cs="Arial"/>
          <w:lang w:val="pt-BR"/>
        </w:rPr>
        <w:t xml:space="preserve"> </w:t>
      </w:r>
      <w:r w:rsidRPr="004A2F01">
        <w:rPr>
          <w:rFonts w:cs="Arial"/>
          <w:b/>
          <w:lang w:val="pt-BR"/>
        </w:rPr>
        <w:t>Gentamicina, sulfato</w:t>
      </w:r>
    </w:p>
    <w:p w:rsidR="00FC442D" w:rsidRPr="004A2F01" w:rsidRDefault="00FC442D" w:rsidP="00C52E09">
      <w:pPr>
        <w:numPr>
          <w:ilvl w:val="0"/>
          <w:numId w:val="183"/>
        </w:numPr>
        <w:spacing w:before="120" w:after="0"/>
        <w:jc w:val="both"/>
        <w:rPr>
          <w:rFonts w:cs="Arial"/>
          <w:lang w:val="pt-BR"/>
        </w:rPr>
      </w:pPr>
      <w:r w:rsidRPr="004A2F01">
        <w:rPr>
          <w:rFonts w:cs="Arial"/>
          <w:lang w:val="pt-BR"/>
        </w:rPr>
        <w:t>Forma farmacêutica e via de administração: formulação injectável, ampolas 80mg/2ml e 20mg/2ml , por via EV ou IM</w:t>
      </w:r>
    </w:p>
    <w:p w:rsidR="00FC442D" w:rsidRDefault="00FC442D" w:rsidP="00C52E09">
      <w:pPr>
        <w:numPr>
          <w:ilvl w:val="0"/>
          <w:numId w:val="183"/>
        </w:numPr>
        <w:spacing w:before="120" w:after="0"/>
        <w:jc w:val="both"/>
        <w:rPr>
          <w:rFonts w:cs="Arial"/>
          <w:lang w:val="pt-BR"/>
        </w:rPr>
      </w:pPr>
      <w:r w:rsidRPr="004A2F01">
        <w:rPr>
          <w:rFonts w:cs="Arial"/>
          <w:lang w:val="pt-BR"/>
        </w:rPr>
        <w:t>Indicações: fármaco de escolha nas infecções por bactérias gram negativas aeróbicas (</w:t>
      </w:r>
      <w:r w:rsidRPr="004A2F01">
        <w:rPr>
          <w:rFonts w:cs="Arial"/>
          <w:i/>
          <w:lang w:val="pt-BR"/>
        </w:rPr>
        <w:t xml:space="preserve">E. coli, klebsiella, proteus, enterobacter, salmonella, P. </w:t>
      </w:r>
      <w:r w:rsidRPr="004A2F01">
        <w:rPr>
          <w:rFonts w:cs="Arial"/>
          <w:lang w:val="pt-BR"/>
        </w:rPr>
        <w:t>aeroginosa); tratamento empírico de infecções graves, associada a penicilina G ou ampicilina e metronidazol.</w:t>
      </w:r>
    </w:p>
    <w:p w:rsidR="009B602C" w:rsidRPr="004A2F01" w:rsidRDefault="009B602C" w:rsidP="009B602C">
      <w:pPr>
        <w:spacing w:before="120" w:after="0"/>
        <w:ind w:left="1080"/>
        <w:jc w:val="both"/>
        <w:rPr>
          <w:rFonts w:cs="Arial"/>
          <w:lang w:val="pt-BR"/>
        </w:rPr>
      </w:pPr>
    </w:p>
    <w:p w:rsidR="00FC442D" w:rsidRPr="004A2F01" w:rsidRDefault="00FC442D" w:rsidP="00C52E09">
      <w:pPr>
        <w:pStyle w:val="TM-4n"/>
        <w:numPr>
          <w:ilvl w:val="0"/>
          <w:numId w:val="177"/>
        </w:numPr>
        <w:tabs>
          <w:tab w:val="clear" w:pos="720"/>
          <w:tab w:val="clear" w:pos="1134"/>
        </w:tabs>
        <w:spacing w:before="120" w:after="0" w:line="276" w:lineRule="auto"/>
        <w:ind w:left="1440"/>
      </w:pPr>
      <w:r w:rsidRPr="004A2F01">
        <w:lastRenderedPageBreak/>
        <w:t>Dose e dosagem:</w:t>
      </w:r>
    </w:p>
    <w:p w:rsidR="00FC442D" w:rsidRPr="004A2F01" w:rsidRDefault="00FC442D" w:rsidP="00C52E09">
      <w:pPr>
        <w:pStyle w:val="TM-4n"/>
        <w:numPr>
          <w:ilvl w:val="2"/>
          <w:numId w:val="177"/>
        </w:numPr>
        <w:tabs>
          <w:tab w:val="clear" w:pos="1134"/>
        </w:tabs>
        <w:spacing w:before="120" w:after="0" w:line="276" w:lineRule="auto"/>
      </w:pPr>
      <w:r w:rsidRPr="004A2F01">
        <w:t>Adultos: 80 mg de 8 em 8 horas ou de 12 em 12 horas; ou pode se usar a dose de 160 mg ou 240 mg por dia em dose única</w:t>
      </w:r>
    </w:p>
    <w:p w:rsidR="00FC442D" w:rsidRPr="004A2F01" w:rsidRDefault="00FC442D" w:rsidP="00C52E09">
      <w:pPr>
        <w:pStyle w:val="TM-4n"/>
        <w:numPr>
          <w:ilvl w:val="0"/>
          <w:numId w:val="196"/>
        </w:numPr>
        <w:tabs>
          <w:tab w:val="clear" w:pos="1134"/>
        </w:tabs>
        <w:spacing w:before="120" w:after="0" w:line="276" w:lineRule="auto"/>
      </w:pPr>
      <w:r w:rsidRPr="004A2F01">
        <w:t>Contra-indicações: Miastenia gravis (doença autoimune que afecta os músculos), gravidez (usar só em situações graves e quando não há alternativa terapêutica, pelo risco de ototoxicidade fetal)</w:t>
      </w:r>
    </w:p>
    <w:p w:rsidR="00FC442D" w:rsidRPr="004A2F01" w:rsidRDefault="00FC442D" w:rsidP="00C52E09">
      <w:pPr>
        <w:pStyle w:val="TM-4n"/>
        <w:numPr>
          <w:ilvl w:val="0"/>
          <w:numId w:val="196"/>
        </w:numPr>
        <w:tabs>
          <w:tab w:val="clear" w:pos="1134"/>
        </w:tabs>
        <w:spacing w:before="120" w:after="0" w:line="276" w:lineRule="auto"/>
      </w:pPr>
      <w:r w:rsidRPr="004A2F01">
        <w:t xml:space="preserve">Notas e precauções: fundamentalmente a </w:t>
      </w:r>
      <w:r w:rsidRPr="004A2F01">
        <w:rPr>
          <w:b/>
        </w:rPr>
        <w:t>toxicidade auditiva e renal</w:t>
      </w:r>
      <w:r w:rsidRPr="004A2F01">
        <w:t>. Controlar periodicamente a função renal e manifestações de ototoxicidade.</w:t>
      </w:r>
    </w:p>
    <w:p w:rsidR="00FC442D" w:rsidRPr="004A2F01" w:rsidRDefault="00FC442D" w:rsidP="00FC442D">
      <w:pPr>
        <w:spacing w:before="120"/>
        <w:ind w:left="450"/>
        <w:jc w:val="both"/>
        <w:rPr>
          <w:rFonts w:cs="Arial"/>
          <w:b/>
          <w:lang w:val="pt-BR"/>
        </w:rPr>
      </w:pPr>
      <w:r w:rsidRPr="007701A8">
        <w:rPr>
          <w:rFonts w:cs="Arial"/>
          <w:b/>
          <w:lang w:val="pt-BR"/>
        </w:rPr>
        <w:t>2.3.2</w:t>
      </w:r>
      <w:r w:rsidRPr="004A2F01">
        <w:rPr>
          <w:rFonts w:cs="Arial"/>
          <w:lang w:val="pt-BR"/>
        </w:rPr>
        <w:t xml:space="preserve"> </w:t>
      </w:r>
      <w:r w:rsidRPr="004A2F01">
        <w:rPr>
          <w:rFonts w:cs="Arial"/>
          <w:b/>
          <w:lang w:val="pt-BR"/>
        </w:rPr>
        <w:t>Kanamicina, sulfato</w:t>
      </w:r>
    </w:p>
    <w:p w:rsidR="00FC442D" w:rsidRPr="004A2F01" w:rsidRDefault="00FC442D" w:rsidP="00C52E09">
      <w:pPr>
        <w:numPr>
          <w:ilvl w:val="0"/>
          <w:numId w:val="184"/>
        </w:numPr>
        <w:spacing w:before="120" w:after="0"/>
        <w:jc w:val="both"/>
        <w:rPr>
          <w:rFonts w:cs="Arial"/>
          <w:lang w:val="pt-BR"/>
        </w:rPr>
      </w:pPr>
      <w:r w:rsidRPr="004A2F01">
        <w:rPr>
          <w:rFonts w:cs="Arial"/>
          <w:lang w:val="pt-BR"/>
        </w:rPr>
        <w:t>Forma farmacêutica e via de administração: formulação injectável ampolas de 1g/3ml, IM ou perfusão EV</w:t>
      </w:r>
    </w:p>
    <w:p w:rsidR="00FC442D" w:rsidRPr="004A2F01" w:rsidRDefault="00FC442D" w:rsidP="00C52E09">
      <w:pPr>
        <w:numPr>
          <w:ilvl w:val="0"/>
          <w:numId w:val="184"/>
        </w:numPr>
        <w:spacing w:before="120" w:after="0"/>
        <w:jc w:val="both"/>
        <w:rPr>
          <w:rFonts w:cs="Arial"/>
          <w:lang w:val="pt-BR"/>
        </w:rPr>
      </w:pPr>
      <w:r w:rsidRPr="004A2F01">
        <w:rPr>
          <w:rFonts w:cs="Arial"/>
          <w:lang w:val="pt-BR"/>
        </w:rPr>
        <w:t>Indicações: tratamento da infecção gonocócica (gonorreia). Também utilizada como medicamento de segunda linha para o tratamento de tuberculose multidroga resistente (será abordada na aula sobre tuberculose resistente na disciplina de doenças infecciosas).</w:t>
      </w:r>
    </w:p>
    <w:p w:rsidR="00FC442D" w:rsidRPr="004A2F01" w:rsidRDefault="00FC442D" w:rsidP="00C52E09">
      <w:pPr>
        <w:pStyle w:val="TM-4n"/>
        <w:numPr>
          <w:ilvl w:val="0"/>
          <w:numId w:val="177"/>
        </w:numPr>
        <w:tabs>
          <w:tab w:val="clear" w:pos="720"/>
          <w:tab w:val="clear" w:pos="1134"/>
        </w:tabs>
        <w:spacing w:before="120" w:after="0" w:line="276" w:lineRule="auto"/>
        <w:ind w:left="1440"/>
      </w:pPr>
      <w:r w:rsidRPr="004A2F01">
        <w:t xml:space="preserve">Doses e dosagem: </w:t>
      </w:r>
    </w:p>
    <w:p w:rsidR="00FC442D" w:rsidRPr="004A2F01" w:rsidRDefault="00FC442D" w:rsidP="00C52E09">
      <w:pPr>
        <w:pStyle w:val="TM-4n"/>
        <w:numPr>
          <w:ilvl w:val="2"/>
          <w:numId w:val="177"/>
        </w:numPr>
        <w:tabs>
          <w:tab w:val="clear" w:pos="1134"/>
        </w:tabs>
        <w:spacing w:before="120" w:after="0" w:line="276" w:lineRule="auto"/>
      </w:pPr>
      <w:r w:rsidRPr="004A2F01">
        <w:t>Adultos: 500mg de 12/12 horas</w:t>
      </w:r>
    </w:p>
    <w:p w:rsidR="00BE2C41" w:rsidRPr="004A2F01" w:rsidRDefault="00FC442D" w:rsidP="00C52E09">
      <w:pPr>
        <w:pStyle w:val="TM-4n"/>
        <w:numPr>
          <w:ilvl w:val="0"/>
          <w:numId w:val="290"/>
        </w:numPr>
        <w:tabs>
          <w:tab w:val="clear" w:pos="1134"/>
        </w:tabs>
        <w:spacing w:before="120" w:after="0" w:line="276" w:lineRule="auto"/>
        <w:ind w:firstLine="262"/>
      </w:pPr>
      <w:r w:rsidRPr="004A2F01">
        <w:t>Na gonorreia: 2 g IM dose única; Os efeitos secundários, contra-indicações são os mesmos que os da gentamicina.</w:t>
      </w:r>
    </w:p>
    <w:p w:rsidR="00FC442D" w:rsidRPr="004A2F01" w:rsidRDefault="00FC442D" w:rsidP="00C52E09">
      <w:pPr>
        <w:pStyle w:val="TM-4n"/>
        <w:numPr>
          <w:ilvl w:val="1"/>
          <w:numId w:val="201"/>
        </w:numPr>
        <w:tabs>
          <w:tab w:val="clear" w:pos="1134"/>
        </w:tabs>
        <w:spacing w:before="120" w:after="0" w:line="276" w:lineRule="auto"/>
        <w:ind w:left="450" w:hanging="450"/>
        <w:rPr>
          <w:b/>
          <w:lang w:val="pt-BR"/>
        </w:rPr>
      </w:pPr>
      <w:r w:rsidRPr="004A2F01">
        <w:rPr>
          <w:b/>
          <w:lang w:val="pt-BR"/>
        </w:rPr>
        <w:t>Macrólidos</w:t>
      </w:r>
    </w:p>
    <w:p w:rsidR="00FC442D" w:rsidRPr="004A2F01" w:rsidRDefault="00FC442D" w:rsidP="00AD66DD">
      <w:pPr>
        <w:pStyle w:val="TM-3n"/>
        <w:numPr>
          <w:ilvl w:val="0"/>
          <w:numId w:val="0"/>
        </w:numPr>
        <w:tabs>
          <w:tab w:val="clear" w:pos="1276"/>
        </w:tabs>
        <w:spacing w:before="120" w:after="0" w:line="276" w:lineRule="auto"/>
        <w:ind w:left="90"/>
      </w:pPr>
      <w:r w:rsidRPr="004A2F01">
        <w:t>Tem um espectro de acç</w:t>
      </w:r>
      <w:r w:rsidRPr="004A2F01">
        <w:rPr>
          <w:lang w:val="pt-BR"/>
        </w:rPr>
        <w:t>ão muito se</w:t>
      </w:r>
      <w:r w:rsidRPr="004A2F01">
        <w:t xml:space="preserve">melhante as penicilinas, e são uma boa alternativa em caso de pacientes alérgicos às penicilinas. </w:t>
      </w:r>
    </w:p>
    <w:p w:rsidR="00FC442D" w:rsidRPr="004A2F01" w:rsidRDefault="00FC442D" w:rsidP="00AD66DD">
      <w:pPr>
        <w:pStyle w:val="TM-3n"/>
        <w:numPr>
          <w:ilvl w:val="0"/>
          <w:numId w:val="0"/>
        </w:numPr>
        <w:tabs>
          <w:tab w:val="clear" w:pos="1276"/>
        </w:tabs>
        <w:spacing w:before="120" w:after="0" w:line="276" w:lineRule="auto"/>
        <w:ind w:left="90"/>
      </w:pPr>
      <w:r w:rsidRPr="004A2F01">
        <w:t>Os efeitos secundários costumam ser leves, e principalmente se limitam a náuseas e outras alterações gastrointestinais, tais como vómitos e diarreias. Os macrólidos mais utilizados em Moçambique são os seguintes:</w:t>
      </w:r>
    </w:p>
    <w:p w:rsidR="00FC442D" w:rsidRPr="004A2F01" w:rsidRDefault="00FC442D" w:rsidP="00FC442D">
      <w:pPr>
        <w:tabs>
          <w:tab w:val="left" w:pos="360"/>
        </w:tabs>
        <w:spacing w:before="120"/>
        <w:ind w:left="450"/>
        <w:jc w:val="both"/>
        <w:rPr>
          <w:rFonts w:cs="Arial"/>
          <w:b/>
          <w:lang w:val="pt-BR"/>
        </w:rPr>
      </w:pPr>
      <w:r w:rsidRPr="00AD66DD">
        <w:rPr>
          <w:rFonts w:cs="Arial"/>
          <w:b/>
          <w:lang w:val="pt-BR"/>
        </w:rPr>
        <w:t>2.4.1</w:t>
      </w:r>
      <w:r w:rsidRPr="004A2F01">
        <w:rPr>
          <w:rFonts w:cs="Arial"/>
          <w:lang w:val="pt-BR"/>
        </w:rPr>
        <w:t xml:space="preserve"> </w:t>
      </w:r>
      <w:r w:rsidRPr="004A2F01">
        <w:rPr>
          <w:rFonts w:cs="Arial"/>
          <w:b/>
          <w:lang w:val="pt-BR"/>
        </w:rPr>
        <w:t>Eritromicina</w:t>
      </w:r>
    </w:p>
    <w:p w:rsidR="00FC442D" w:rsidRPr="004A2F01" w:rsidRDefault="00FC442D" w:rsidP="00C52E09">
      <w:pPr>
        <w:numPr>
          <w:ilvl w:val="0"/>
          <w:numId w:val="186"/>
        </w:numPr>
        <w:spacing w:before="120" w:after="0"/>
        <w:jc w:val="both"/>
        <w:rPr>
          <w:rFonts w:cs="Arial"/>
          <w:lang w:val="pt-BR"/>
        </w:rPr>
      </w:pPr>
      <w:r w:rsidRPr="004A2F01">
        <w:rPr>
          <w:rFonts w:cs="Arial"/>
          <w:lang w:val="pt-BR"/>
        </w:rPr>
        <w:t>Forma farmacêutica e via de administração: comprimidos, suspensão oral e formulação injectável 50mg/ml, por via oral ou perfusão EV</w:t>
      </w:r>
    </w:p>
    <w:p w:rsidR="00FC442D" w:rsidRPr="004A2F01" w:rsidRDefault="00FC442D" w:rsidP="00C52E09">
      <w:pPr>
        <w:numPr>
          <w:ilvl w:val="0"/>
          <w:numId w:val="186"/>
        </w:numPr>
        <w:spacing w:before="120" w:after="0"/>
        <w:jc w:val="both"/>
        <w:rPr>
          <w:rFonts w:cs="Arial"/>
          <w:lang w:val="pt-BR"/>
        </w:rPr>
      </w:pPr>
      <w:r w:rsidRPr="004A2F01">
        <w:rPr>
          <w:rFonts w:cs="Arial"/>
          <w:lang w:val="pt-BR"/>
        </w:rPr>
        <w:t xml:space="preserve">Indicações: </w:t>
      </w:r>
      <w:r w:rsidRPr="004A2F01">
        <w:rPr>
          <w:rFonts w:cs="Arial"/>
          <w:b/>
          <w:lang w:val="pt-BR"/>
        </w:rPr>
        <w:t>Fármaco de escolha no tratamento de pneumonias extra-hospitalares (</w:t>
      </w:r>
      <w:r w:rsidRPr="004A2F01">
        <w:rPr>
          <w:rFonts w:cs="Arial"/>
          <w:b/>
          <w:i/>
          <w:lang w:val="pt-BR"/>
        </w:rPr>
        <w:t>Mycoplasma pneumoniae, Streptococcus pneumoniae)</w:t>
      </w:r>
      <w:r w:rsidRPr="004A2F01">
        <w:rPr>
          <w:rFonts w:cs="Arial"/>
          <w:lang w:val="pt-BR"/>
        </w:rPr>
        <w:t xml:space="preserve">. Alternativa as penicilinas e tetraciclinas quando o uso destas é contra-indicado. Alternativo a doxiciclina nas infecções por </w:t>
      </w:r>
      <w:r w:rsidRPr="004A2F01">
        <w:rPr>
          <w:rFonts w:cs="Arial"/>
          <w:i/>
          <w:lang w:val="pt-BR"/>
        </w:rPr>
        <w:t xml:space="preserve">Chlamidias, </w:t>
      </w:r>
      <w:r w:rsidRPr="004A2F01">
        <w:rPr>
          <w:rFonts w:cs="Arial"/>
          <w:lang w:val="pt-BR"/>
        </w:rPr>
        <w:t xml:space="preserve">principalmente na mulher grávida onde as tetraciclinas estão contra-indicadas. Outras bactérias sensíveis: </w:t>
      </w:r>
      <w:r w:rsidRPr="004A2F01">
        <w:rPr>
          <w:rFonts w:cs="Arial"/>
          <w:i/>
          <w:lang w:val="pt-BR"/>
        </w:rPr>
        <w:t>Haemophilus influenzae, treponemas, ricketsias.</w:t>
      </w:r>
    </w:p>
    <w:p w:rsidR="00FC442D" w:rsidRPr="004A2F01" w:rsidRDefault="00FC442D" w:rsidP="00C52E09">
      <w:pPr>
        <w:numPr>
          <w:ilvl w:val="0"/>
          <w:numId w:val="186"/>
        </w:numPr>
        <w:spacing w:before="120" w:after="0"/>
        <w:jc w:val="both"/>
        <w:rPr>
          <w:rFonts w:cs="Arial"/>
          <w:lang w:val="pt-BR"/>
        </w:rPr>
      </w:pPr>
      <w:r w:rsidRPr="004A2F01">
        <w:rPr>
          <w:rFonts w:cs="Arial"/>
          <w:lang w:val="pt-BR"/>
        </w:rPr>
        <w:t>Doses e dosagem: 250 a 500 mg de 6 em 6 horas (máximo de 4 gramas por dia)</w:t>
      </w:r>
    </w:p>
    <w:p w:rsidR="00FC442D" w:rsidRPr="004A2F01" w:rsidRDefault="00FC442D" w:rsidP="00C52E09">
      <w:pPr>
        <w:numPr>
          <w:ilvl w:val="0"/>
          <w:numId w:val="197"/>
        </w:numPr>
        <w:spacing w:before="120" w:after="0"/>
        <w:jc w:val="both"/>
        <w:rPr>
          <w:rFonts w:cs="Arial"/>
          <w:lang w:val="pt-BR"/>
        </w:rPr>
      </w:pPr>
      <w:r w:rsidRPr="004A2F01">
        <w:rPr>
          <w:rFonts w:cs="Arial"/>
          <w:lang w:val="pt-BR"/>
        </w:rPr>
        <w:t xml:space="preserve">Efeitos secundários: </w:t>
      </w:r>
      <w:r w:rsidRPr="004A2F01">
        <w:rPr>
          <w:rFonts w:cs="Arial"/>
          <w:b/>
          <w:lang w:val="pt-BR"/>
        </w:rPr>
        <w:t>dor abdominal</w:t>
      </w:r>
      <w:r w:rsidRPr="004A2F01">
        <w:rPr>
          <w:rFonts w:cs="Arial"/>
          <w:lang w:val="pt-BR"/>
        </w:rPr>
        <w:t>, anorexia, náuseas, vómitos, diarreia</w:t>
      </w:r>
    </w:p>
    <w:p w:rsidR="00FC442D" w:rsidRPr="004A2F01" w:rsidRDefault="00FC442D" w:rsidP="00C52E09">
      <w:pPr>
        <w:numPr>
          <w:ilvl w:val="0"/>
          <w:numId w:val="197"/>
        </w:numPr>
        <w:spacing w:before="120" w:after="0"/>
        <w:jc w:val="both"/>
        <w:rPr>
          <w:rFonts w:cs="Arial"/>
          <w:lang w:val="pt-BR"/>
        </w:rPr>
      </w:pPr>
      <w:r w:rsidRPr="004A2F01">
        <w:rPr>
          <w:rFonts w:cs="Arial"/>
          <w:lang w:val="pt-BR"/>
        </w:rPr>
        <w:t>Contra-indicações: disfunção hepática e renal graves, hipersensibilidade aos macrólidos</w:t>
      </w:r>
    </w:p>
    <w:p w:rsidR="00FC442D" w:rsidRDefault="00FC442D" w:rsidP="00C52E09">
      <w:pPr>
        <w:numPr>
          <w:ilvl w:val="0"/>
          <w:numId w:val="197"/>
        </w:numPr>
        <w:spacing w:before="120" w:after="0"/>
        <w:jc w:val="both"/>
        <w:rPr>
          <w:rFonts w:cs="Arial"/>
          <w:lang w:val="pt-BR"/>
        </w:rPr>
      </w:pPr>
      <w:r w:rsidRPr="004A2F01">
        <w:rPr>
          <w:rFonts w:cs="Arial"/>
          <w:lang w:val="pt-BR"/>
        </w:rPr>
        <w:t xml:space="preserve">Notas e precauções: </w:t>
      </w:r>
      <w:r w:rsidRPr="004A2F01">
        <w:rPr>
          <w:rFonts w:cs="Arial"/>
          <w:b/>
          <w:lang w:val="pt-BR"/>
        </w:rPr>
        <w:t>a formulação injectável é de nivel 3 de prescrição</w:t>
      </w:r>
      <w:r w:rsidRPr="004A2F01">
        <w:rPr>
          <w:rFonts w:cs="Arial"/>
          <w:lang w:val="pt-BR"/>
        </w:rPr>
        <w:t>. Usar com precaução nas disfunções hepáticas e renais ligeiras.</w:t>
      </w:r>
    </w:p>
    <w:p w:rsidR="007701A8" w:rsidRDefault="007701A8" w:rsidP="007701A8">
      <w:pPr>
        <w:spacing w:before="120" w:after="0"/>
        <w:jc w:val="both"/>
        <w:rPr>
          <w:rFonts w:cs="Arial"/>
          <w:lang w:val="pt-BR"/>
        </w:rPr>
      </w:pPr>
    </w:p>
    <w:p w:rsidR="00FC442D" w:rsidRPr="004A2F01" w:rsidRDefault="00FC442D" w:rsidP="00FC442D">
      <w:pPr>
        <w:spacing w:before="120"/>
        <w:ind w:left="360"/>
        <w:jc w:val="both"/>
        <w:rPr>
          <w:rFonts w:cs="Arial"/>
          <w:b/>
          <w:lang w:val="pt-BR"/>
        </w:rPr>
      </w:pPr>
      <w:r w:rsidRPr="00AD66DD">
        <w:rPr>
          <w:rFonts w:cs="Arial"/>
          <w:b/>
          <w:lang w:val="pt-BR"/>
        </w:rPr>
        <w:lastRenderedPageBreak/>
        <w:t>2.4.2</w:t>
      </w:r>
      <w:r w:rsidRPr="004A2F01">
        <w:rPr>
          <w:rFonts w:cs="Arial"/>
          <w:lang w:val="pt-BR"/>
        </w:rPr>
        <w:t xml:space="preserve"> </w:t>
      </w:r>
      <w:r w:rsidRPr="004A2F01">
        <w:rPr>
          <w:rFonts w:cs="Arial"/>
          <w:b/>
          <w:lang w:val="pt-BR"/>
        </w:rPr>
        <w:t>Azitromicina</w:t>
      </w:r>
    </w:p>
    <w:p w:rsidR="00FC442D" w:rsidRPr="004A2F01" w:rsidRDefault="00FC442D" w:rsidP="00C52E09">
      <w:pPr>
        <w:numPr>
          <w:ilvl w:val="0"/>
          <w:numId w:val="185"/>
        </w:numPr>
        <w:spacing w:before="120" w:after="0"/>
        <w:jc w:val="both"/>
        <w:rPr>
          <w:rFonts w:cs="Arial"/>
          <w:lang w:val="pt-BR"/>
        </w:rPr>
      </w:pPr>
      <w:r w:rsidRPr="004A2F01">
        <w:rPr>
          <w:rFonts w:cs="Arial"/>
          <w:lang w:val="pt-BR"/>
        </w:rPr>
        <w:t xml:space="preserve">Forma farmacêutica e via de administração: comprimidos e suspensão oral, por via oral. </w:t>
      </w:r>
      <w:r w:rsidRPr="004A2F01">
        <w:rPr>
          <w:rFonts w:cs="Arial"/>
          <w:b/>
          <w:lang w:val="pt-BR"/>
        </w:rPr>
        <w:t>Nivel 3 de prescrição</w:t>
      </w:r>
      <w:r w:rsidRPr="004A2F01">
        <w:rPr>
          <w:rFonts w:cs="Arial"/>
          <w:lang w:val="pt-BR"/>
        </w:rPr>
        <w:t>.</w:t>
      </w:r>
    </w:p>
    <w:p w:rsidR="00FC442D" w:rsidRPr="004A2F01" w:rsidRDefault="00FC442D" w:rsidP="00C52E09">
      <w:pPr>
        <w:numPr>
          <w:ilvl w:val="0"/>
          <w:numId w:val="185"/>
        </w:numPr>
        <w:spacing w:before="120" w:after="0"/>
        <w:jc w:val="both"/>
        <w:rPr>
          <w:rFonts w:cs="Arial"/>
          <w:lang w:val="pt-BR"/>
        </w:rPr>
      </w:pPr>
      <w:r w:rsidRPr="004A2F01">
        <w:rPr>
          <w:rFonts w:cs="Arial"/>
          <w:lang w:val="pt-BR"/>
        </w:rPr>
        <w:t>Indicações: tratamento das infecções por clamídia e gonococo, é um fármaco de primeira linha na abordagem sindrómica da úlcera genital.</w:t>
      </w:r>
    </w:p>
    <w:p w:rsidR="00FC442D" w:rsidRPr="004A2F01" w:rsidRDefault="00FC442D" w:rsidP="00C52E09">
      <w:pPr>
        <w:pStyle w:val="TM-4n"/>
        <w:numPr>
          <w:ilvl w:val="0"/>
          <w:numId w:val="177"/>
        </w:numPr>
        <w:tabs>
          <w:tab w:val="clear" w:pos="720"/>
          <w:tab w:val="clear" w:pos="1134"/>
        </w:tabs>
        <w:spacing w:before="120" w:after="0" w:line="276" w:lineRule="auto"/>
        <w:ind w:left="1440"/>
      </w:pPr>
      <w:r w:rsidRPr="004A2F01">
        <w:t xml:space="preserve">Doses e dosagem: </w:t>
      </w:r>
    </w:p>
    <w:p w:rsidR="00FC442D" w:rsidRPr="004A2F01" w:rsidRDefault="00FC442D" w:rsidP="00C52E09">
      <w:pPr>
        <w:pStyle w:val="TM-4n"/>
        <w:numPr>
          <w:ilvl w:val="2"/>
          <w:numId w:val="177"/>
        </w:numPr>
        <w:tabs>
          <w:tab w:val="clear" w:pos="1134"/>
        </w:tabs>
        <w:spacing w:before="120" w:after="0" w:line="276" w:lineRule="auto"/>
      </w:pPr>
      <w:r w:rsidRPr="004A2F01">
        <w:t>Adultos: 500mg por dia, em toma única durante 3 a 7 dias</w:t>
      </w:r>
    </w:p>
    <w:p w:rsidR="00FC442D" w:rsidRPr="004A2F01" w:rsidRDefault="00FC442D" w:rsidP="00C52E09">
      <w:pPr>
        <w:pStyle w:val="TM-4n"/>
        <w:numPr>
          <w:ilvl w:val="2"/>
          <w:numId w:val="177"/>
        </w:numPr>
        <w:tabs>
          <w:tab w:val="clear" w:pos="1134"/>
        </w:tabs>
        <w:spacing w:before="120" w:after="0" w:line="276" w:lineRule="auto"/>
      </w:pPr>
      <w:r w:rsidRPr="004A2F01">
        <w:t xml:space="preserve">Nas infecções genitais: 1 grama em dose única </w:t>
      </w:r>
    </w:p>
    <w:p w:rsidR="00FC442D" w:rsidRPr="004A2F01" w:rsidRDefault="00FC442D" w:rsidP="00C52E09">
      <w:pPr>
        <w:pStyle w:val="TM-4n"/>
        <w:numPr>
          <w:ilvl w:val="0"/>
          <w:numId w:val="198"/>
        </w:numPr>
        <w:tabs>
          <w:tab w:val="clear" w:pos="1134"/>
        </w:tabs>
        <w:spacing w:before="120" w:after="0" w:line="276" w:lineRule="auto"/>
      </w:pPr>
      <w:r w:rsidRPr="004A2F01">
        <w:t>Os efeitos secundários e contra-indicações são similares à da eritromicina, porém com menos efeitos gastrointestinais.</w:t>
      </w:r>
    </w:p>
    <w:p w:rsidR="00FC442D" w:rsidRPr="004A2F01" w:rsidRDefault="00FC442D" w:rsidP="00C52E09">
      <w:pPr>
        <w:pStyle w:val="TM-4n"/>
        <w:numPr>
          <w:ilvl w:val="0"/>
          <w:numId w:val="198"/>
        </w:numPr>
        <w:tabs>
          <w:tab w:val="clear" w:pos="1134"/>
        </w:tabs>
        <w:spacing w:before="120" w:after="0" w:line="276" w:lineRule="auto"/>
      </w:pPr>
      <w:r w:rsidRPr="004A2F01">
        <w:t>Notas e precauções: não tomar ao mesmo tempo com medicamentos que contenham alumínio ou magnésio (hidróxido de alumínio ou hidróxido de magnésio); a administração dos comprimidos deve ser 1 hora antes ou 2 horas depois da refeição.</w:t>
      </w:r>
    </w:p>
    <w:p w:rsidR="00FC442D" w:rsidRPr="004A2F01" w:rsidRDefault="00FC442D" w:rsidP="00FC442D">
      <w:pPr>
        <w:spacing w:before="120"/>
        <w:jc w:val="both"/>
        <w:rPr>
          <w:rFonts w:cs="Arial"/>
          <w:b/>
          <w:lang w:val="pt-BR"/>
        </w:rPr>
      </w:pPr>
      <w:r w:rsidRPr="00AD66DD">
        <w:rPr>
          <w:rFonts w:cs="Arial"/>
          <w:b/>
          <w:lang w:val="pt-BR"/>
        </w:rPr>
        <w:t>2.5</w:t>
      </w:r>
      <w:r w:rsidRPr="004A2F01">
        <w:rPr>
          <w:rFonts w:cs="Arial"/>
          <w:lang w:val="pt-BR"/>
        </w:rPr>
        <w:t xml:space="preserve"> </w:t>
      </w:r>
      <w:r w:rsidRPr="004A2F01">
        <w:rPr>
          <w:rFonts w:cs="Arial"/>
          <w:b/>
          <w:lang w:val="pt-BR"/>
        </w:rPr>
        <w:t>Tetraciclinas</w:t>
      </w:r>
    </w:p>
    <w:p w:rsidR="00FC442D" w:rsidRPr="004A2F01" w:rsidRDefault="00FC442D" w:rsidP="00AD66DD">
      <w:pPr>
        <w:spacing w:before="120"/>
        <w:jc w:val="both"/>
        <w:rPr>
          <w:rFonts w:cs="Arial"/>
          <w:lang w:val="pt-BR"/>
        </w:rPr>
      </w:pPr>
      <w:r w:rsidRPr="004A2F01">
        <w:rPr>
          <w:rFonts w:cs="Arial"/>
          <w:lang w:val="pt-BR"/>
        </w:rPr>
        <w:t xml:space="preserve">São anti-bacterianos usados no tratamento das infecções por clamídia, e também em infecções respiratórias e gastrointestinais, especialmente em caso de pacientes alérgicos a penicilinas e macrólidos. Podem-se utilizar associada a quinina no tratamento da malária. A sua eficácia tem diminuído notavelmente devido ao aparecimento de resistências. </w:t>
      </w:r>
    </w:p>
    <w:p w:rsidR="00FC442D" w:rsidRPr="004A2F01" w:rsidRDefault="00FC442D" w:rsidP="00AD66DD">
      <w:pPr>
        <w:spacing w:before="120"/>
        <w:jc w:val="both"/>
        <w:rPr>
          <w:rFonts w:cs="Arial"/>
          <w:lang w:val="pt-BR"/>
        </w:rPr>
      </w:pPr>
      <w:r w:rsidRPr="004A2F01">
        <w:rPr>
          <w:rFonts w:cs="Arial"/>
          <w:lang w:val="pt-BR"/>
        </w:rPr>
        <w:t xml:space="preserve">Os efeitos secundários desta classe são: frequentemente náuseas, vómitos e diarreia. Em crianças menores de 12 anos podem surgir pigmentação acastanhada dos dentes, lesões ósseas com atraso no desenvolvimento, hipoplasia (desenvolvimento deficiente) do esmalte, malformações fetais (grávidas) e por tanto </w:t>
      </w:r>
      <w:r w:rsidRPr="004A2F01">
        <w:rPr>
          <w:rFonts w:cs="Arial"/>
          <w:b/>
          <w:lang w:val="pt-BR"/>
        </w:rPr>
        <w:t>estão contra-indicadas na gravidez e lactação, e também em crianças menores de 12 anos</w:t>
      </w:r>
      <w:r w:rsidRPr="004A2F01">
        <w:rPr>
          <w:rFonts w:cs="Arial"/>
          <w:lang w:val="pt-BR"/>
        </w:rPr>
        <w:t>. As tetraciclinas mais utilizadas em Moçambique são as seguintes:</w:t>
      </w:r>
    </w:p>
    <w:p w:rsidR="00FC442D" w:rsidRPr="004A2F01" w:rsidRDefault="00FC442D" w:rsidP="00FC442D">
      <w:pPr>
        <w:spacing w:before="120"/>
        <w:ind w:left="450"/>
        <w:jc w:val="both"/>
        <w:rPr>
          <w:rFonts w:cs="Arial"/>
          <w:b/>
          <w:lang w:val="pt-BR"/>
        </w:rPr>
      </w:pPr>
      <w:r w:rsidRPr="00AD66DD">
        <w:rPr>
          <w:rFonts w:cs="Arial"/>
          <w:b/>
          <w:lang w:val="pt-BR"/>
        </w:rPr>
        <w:t>2.5.1</w:t>
      </w:r>
      <w:r w:rsidRPr="004A2F01">
        <w:rPr>
          <w:rFonts w:cs="Arial"/>
          <w:lang w:val="pt-BR"/>
        </w:rPr>
        <w:t xml:space="preserve"> </w:t>
      </w:r>
      <w:r w:rsidRPr="004A2F01">
        <w:rPr>
          <w:rFonts w:cs="Arial"/>
          <w:b/>
          <w:lang w:val="pt-BR"/>
        </w:rPr>
        <w:t>Tetraciclina</w:t>
      </w:r>
    </w:p>
    <w:p w:rsidR="00FC442D" w:rsidRPr="004A2F01" w:rsidRDefault="00FC442D" w:rsidP="00C52E09">
      <w:pPr>
        <w:numPr>
          <w:ilvl w:val="0"/>
          <w:numId w:val="187"/>
        </w:numPr>
        <w:spacing w:before="120" w:after="0"/>
        <w:jc w:val="both"/>
        <w:rPr>
          <w:rFonts w:cs="Arial"/>
          <w:lang w:val="pt-BR"/>
        </w:rPr>
      </w:pPr>
      <w:r w:rsidRPr="004A2F01">
        <w:rPr>
          <w:rFonts w:cs="Arial"/>
          <w:lang w:val="pt-BR"/>
        </w:rPr>
        <w:t>Forma farmacêutica e via de administração: cápsulas, pomada oftálmica, por via oral e tópica ocular</w:t>
      </w:r>
    </w:p>
    <w:p w:rsidR="00FC442D" w:rsidRPr="004A2F01" w:rsidRDefault="00FC442D" w:rsidP="00C52E09">
      <w:pPr>
        <w:numPr>
          <w:ilvl w:val="0"/>
          <w:numId w:val="187"/>
        </w:numPr>
        <w:spacing w:before="120" w:after="0"/>
        <w:jc w:val="both"/>
        <w:rPr>
          <w:rFonts w:cs="Arial"/>
          <w:lang w:val="pt-BR"/>
        </w:rPr>
      </w:pPr>
      <w:r w:rsidRPr="004A2F01">
        <w:rPr>
          <w:rFonts w:cs="Arial"/>
          <w:lang w:val="pt-BR"/>
        </w:rPr>
        <w:t>Indicações: Fármaco de primeira linha em infecções por rickettsias. Indicada também em infecções por clamídia. Associada com a quinina é útil no tratamento da malária resistente. A pomada oftálmica está indicada nas conjuntivites (inflamação da conjuntiva dos olhos) de origem bacteriana (incluindo a gonocócica), tracoma e queratites.</w:t>
      </w:r>
    </w:p>
    <w:p w:rsidR="00FC442D" w:rsidRPr="004A2F01" w:rsidRDefault="00FC442D" w:rsidP="00C52E09">
      <w:pPr>
        <w:numPr>
          <w:ilvl w:val="0"/>
          <w:numId w:val="187"/>
        </w:numPr>
        <w:spacing w:before="120" w:after="0"/>
        <w:jc w:val="both"/>
        <w:rPr>
          <w:rFonts w:cs="Arial"/>
          <w:lang w:val="pt-BR"/>
        </w:rPr>
      </w:pPr>
      <w:r w:rsidRPr="004A2F01">
        <w:rPr>
          <w:rFonts w:cs="Arial"/>
          <w:lang w:val="pt-BR"/>
        </w:rPr>
        <w:t>Doses e dosagem: A dose recomendada para adultos e crianças com mais de 12 anos é de 250-500mg  de 6 em 6 horas</w:t>
      </w:r>
    </w:p>
    <w:p w:rsidR="00FC442D" w:rsidRPr="004A2F01" w:rsidRDefault="00FC442D" w:rsidP="00C52E09">
      <w:pPr>
        <w:numPr>
          <w:ilvl w:val="0"/>
          <w:numId w:val="187"/>
        </w:numPr>
        <w:spacing w:before="120" w:after="0"/>
        <w:jc w:val="both"/>
        <w:rPr>
          <w:rFonts w:cs="Arial"/>
          <w:lang w:val="pt-BR"/>
        </w:rPr>
      </w:pPr>
      <w:r w:rsidRPr="004A2F01">
        <w:rPr>
          <w:rFonts w:cs="Arial"/>
          <w:lang w:val="pt-BR"/>
        </w:rPr>
        <w:t>Efeitos secundários: os mesmos descritos acima</w:t>
      </w:r>
    </w:p>
    <w:p w:rsidR="00FC442D" w:rsidRPr="004A2F01" w:rsidRDefault="00FC442D" w:rsidP="00C52E09">
      <w:pPr>
        <w:numPr>
          <w:ilvl w:val="0"/>
          <w:numId w:val="187"/>
        </w:numPr>
        <w:spacing w:before="120" w:after="0"/>
        <w:jc w:val="both"/>
        <w:rPr>
          <w:rFonts w:cs="Arial"/>
          <w:b/>
          <w:lang w:val="pt-BR"/>
        </w:rPr>
      </w:pPr>
      <w:r w:rsidRPr="004A2F01">
        <w:rPr>
          <w:rFonts w:cs="Arial"/>
          <w:b/>
          <w:lang w:val="pt-BR"/>
        </w:rPr>
        <w:t>Contra-indicações: menores de 12 anos, gravidez, lactação e insuficiência renal</w:t>
      </w:r>
    </w:p>
    <w:p w:rsidR="00FC442D" w:rsidRDefault="00FC442D" w:rsidP="00C52E09">
      <w:pPr>
        <w:numPr>
          <w:ilvl w:val="0"/>
          <w:numId w:val="187"/>
        </w:numPr>
        <w:spacing w:before="120" w:after="0"/>
        <w:jc w:val="both"/>
        <w:rPr>
          <w:rFonts w:cs="Arial"/>
          <w:b/>
          <w:lang w:val="pt-BR"/>
        </w:rPr>
      </w:pPr>
      <w:r w:rsidRPr="004A2F01">
        <w:rPr>
          <w:rFonts w:cs="Arial"/>
          <w:b/>
          <w:lang w:val="pt-BR"/>
        </w:rPr>
        <w:t xml:space="preserve">Notas e precauções: a presenção de alimentos (sobretudo leite e derivados) dificulta a absorção da tetraciclina, os anti-ácidos, sal ferroso e o cálcio também dificultam a absorção. </w:t>
      </w:r>
    </w:p>
    <w:p w:rsidR="00AD66DD" w:rsidRDefault="00AD66DD" w:rsidP="00AD66DD">
      <w:pPr>
        <w:spacing w:before="120" w:after="0"/>
        <w:ind w:left="1440"/>
        <w:jc w:val="both"/>
        <w:rPr>
          <w:rFonts w:cs="Arial"/>
          <w:b/>
          <w:lang w:val="pt-BR"/>
        </w:rPr>
      </w:pPr>
    </w:p>
    <w:p w:rsidR="007701A8" w:rsidRPr="004A2F01" w:rsidRDefault="007701A8" w:rsidP="00AD66DD">
      <w:pPr>
        <w:spacing w:before="120" w:after="0"/>
        <w:ind w:left="1440"/>
        <w:jc w:val="both"/>
        <w:rPr>
          <w:rFonts w:cs="Arial"/>
          <w:b/>
          <w:lang w:val="pt-BR"/>
        </w:rPr>
      </w:pPr>
    </w:p>
    <w:p w:rsidR="00FC442D" w:rsidRPr="004A2F01" w:rsidRDefault="00FC442D" w:rsidP="00FC442D">
      <w:pPr>
        <w:spacing w:before="120"/>
        <w:ind w:left="180" w:firstLine="180"/>
        <w:jc w:val="both"/>
        <w:rPr>
          <w:rFonts w:cs="Arial"/>
          <w:b/>
          <w:lang w:val="pt-BR"/>
        </w:rPr>
      </w:pPr>
      <w:r w:rsidRPr="00AD66DD">
        <w:rPr>
          <w:rFonts w:cs="Arial"/>
          <w:b/>
          <w:lang w:val="pt-BR"/>
        </w:rPr>
        <w:lastRenderedPageBreak/>
        <w:t>2.5.2</w:t>
      </w:r>
      <w:r w:rsidRPr="004A2F01">
        <w:rPr>
          <w:rFonts w:cs="Arial"/>
          <w:lang w:val="pt-BR"/>
        </w:rPr>
        <w:t xml:space="preserve"> </w:t>
      </w:r>
      <w:r w:rsidRPr="004A2F01">
        <w:rPr>
          <w:rFonts w:cs="Arial"/>
          <w:b/>
          <w:lang w:val="pt-BR"/>
        </w:rPr>
        <w:t>Doxiciclina</w:t>
      </w:r>
    </w:p>
    <w:p w:rsidR="00FC442D" w:rsidRPr="004A2F01" w:rsidRDefault="00FC442D" w:rsidP="00FC442D">
      <w:pPr>
        <w:spacing w:before="120"/>
        <w:ind w:left="450"/>
        <w:jc w:val="both"/>
        <w:rPr>
          <w:rFonts w:cs="Arial"/>
          <w:lang w:val="pt-BR"/>
        </w:rPr>
      </w:pPr>
      <w:r w:rsidRPr="004A2F01">
        <w:rPr>
          <w:rFonts w:cs="Arial"/>
          <w:lang w:val="pt-BR"/>
        </w:rPr>
        <w:t xml:space="preserve">Tem a mesma forma farmacêutica, via de administração e indicações que a tetraciclina, com maior facilidade de manejo. A dose recomendada para adultos e crianças com mais de 12 anos é de 100mg de 12 em 12 horas. </w:t>
      </w:r>
      <w:r w:rsidRPr="004A2F01">
        <w:rPr>
          <w:rFonts w:cs="Arial"/>
          <w:b/>
          <w:lang w:val="pt-BR"/>
        </w:rPr>
        <w:t>Não está contra-indicada na insuficiência renal</w:t>
      </w:r>
    </w:p>
    <w:p w:rsidR="00FC442D" w:rsidRPr="004A2F01" w:rsidRDefault="00FC442D" w:rsidP="00FC442D">
      <w:pPr>
        <w:spacing w:before="120"/>
        <w:jc w:val="both"/>
        <w:rPr>
          <w:rFonts w:cs="Arial"/>
          <w:b/>
          <w:lang w:val="pt-BR"/>
        </w:rPr>
      </w:pPr>
      <w:r w:rsidRPr="00AD66DD">
        <w:rPr>
          <w:rFonts w:cs="Arial"/>
          <w:b/>
          <w:lang w:val="pt-BR"/>
        </w:rPr>
        <w:t>2.6</w:t>
      </w:r>
      <w:r w:rsidRPr="004A2F01">
        <w:rPr>
          <w:rFonts w:cs="Arial"/>
          <w:lang w:val="pt-BR"/>
        </w:rPr>
        <w:t xml:space="preserve"> </w:t>
      </w:r>
      <w:r w:rsidRPr="004A2F01">
        <w:rPr>
          <w:rFonts w:cs="Arial"/>
          <w:b/>
          <w:lang w:val="pt-BR"/>
        </w:rPr>
        <w:t>Quinolonas</w:t>
      </w:r>
    </w:p>
    <w:p w:rsidR="00FC442D" w:rsidRPr="004A2F01" w:rsidRDefault="00FC442D" w:rsidP="00FC442D">
      <w:pPr>
        <w:pStyle w:val="TM-3n"/>
        <w:numPr>
          <w:ilvl w:val="0"/>
          <w:numId w:val="0"/>
        </w:numPr>
        <w:spacing w:before="120" w:after="0" w:line="276" w:lineRule="auto"/>
        <w:ind w:left="90"/>
      </w:pPr>
      <w:r w:rsidRPr="004A2F01">
        <w:t>São indicadas para infecções por gram negativos e gram positivos, especialmente em infecções do tracto génito-urinário. O aparecimento de resistências está a diminuir a sua eficácia. As quinolonas estão contra-indicadas em pessoas com epilepsia, e na gravidez. Também em crianças, uma vez que podem produzir alterações ósseas e musculares. As quinolonas mais utilizadas em Moçambique são as seguintes:</w:t>
      </w:r>
    </w:p>
    <w:p w:rsidR="00FC442D" w:rsidRPr="004A2F01" w:rsidRDefault="00FC442D" w:rsidP="00CA3ED0">
      <w:pPr>
        <w:spacing w:before="120"/>
        <w:ind w:left="360"/>
        <w:jc w:val="both"/>
        <w:rPr>
          <w:rFonts w:cs="Arial"/>
          <w:lang w:val="pt-BR"/>
        </w:rPr>
      </w:pPr>
      <w:r w:rsidRPr="007701A8">
        <w:rPr>
          <w:rFonts w:cs="Arial"/>
          <w:b/>
          <w:lang w:val="pt-BR"/>
        </w:rPr>
        <w:t>2.6.1</w:t>
      </w:r>
      <w:r w:rsidRPr="004A2F01">
        <w:rPr>
          <w:rFonts w:cs="Arial"/>
          <w:lang w:val="pt-BR"/>
        </w:rPr>
        <w:t xml:space="preserve"> </w:t>
      </w:r>
      <w:r w:rsidRPr="004A2F01">
        <w:rPr>
          <w:rFonts w:cs="Arial"/>
          <w:b/>
          <w:lang w:val="pt-BR"/>
        </w:rPr>
        <w:t>Ácido nalidíxico</w:t>
      </w:r>
    </w:p>
    <w:p w:rsidR="00FC442D" w:rsidRPr="004A2F01" w:rsidRDefault="00FC442D" w:rsidP="00C52E09">
      <w:pPr>
        <w:numPr>
          <w:ilvl w:val="1"/>
          <w:numId w:val="188"/>
        </w:numPr>
        <w:spacing w:before="120" w:after="0"/>
        <w:jc w:val="both"/>
        <w:rPr>
          <w:rFonts w:cs="Arial"/>
          <w:lang w:val="pt-BR"/>
        </w:rPr>
      </w:pPr>
      <w:r w:rsidRPr="004A2F01">
        <w:rPr>
          <w:rFonts w:cs="Arial"/>
          <w:lang w:val="pt-BR"/>
        </w:rPr>
        <w:t>Forma farmacêutica e via de administração: comprimidos e suspensão oral, por via oral</w:t>
      </w:r>
    </w:p>
    <w:p w:rsidR="00FC442D" w:rsidRPr="004A2F01" w:rsidRDefault="00FC442D" w:rsidP="00C52E09">
      <w:pPr>
        <w:numPr>
          <w:ilvl w:val="1"/>
          <w:numId w:val="188"/>
        </w:numPr>
        <w:spacing w:before="120" w:after="0"/>
        <w:jc w:val="both"/>
        <w:rPr>
          <w:rFonts w:cs="Arial"/>
          <w:lang w:val="pt-BR"/>
        </w:rPr>
      </w:pPr>
      <w:r w:rsidRPr="004A2F01">
        <w:rPr>
          <w:rFonts w:cs="Arial"/>
          <w:lang w:val="pt-BR"/>
        </w:rPr>
        <w:t xml:space="preserve">Indicações: Indicado no tratamento da </w:t>
      </w:r>
      <w:r w:rsidRPr="004A2F01">
        <w:rPr>
          <w:rFonts w:cs="Arial"/>
          <w:b/>
          <w:lang w:val="pt-BR"/>
        </w:rPr>
        <w:t xml:space="preserve">disenteria por </w:t>
      </w:r>
      <w:r w:rsidRPr="004A2F01">
        <w:rPr>
          <w:rFonts w:cs="Arial"/>
          <w:b/>
          <w:i/>
          <w:lang w:val="pt-BR"/>
        </w:rPr>
        <w:t xml:space="preserve">shigella disenteriae </w:t>
      </w:r>
      <w:r w:rsidRPr="004A2F01">
        <w:rPr>
          <w:rFonts w:cs="Arial"/>
          <w:b/>
          <w:lang w:val="pt-BR"/>
        </w:rPr>
        <w:t>e em infecções urinárias não complicadas (</w:t>
      </w:r>
      <w:r w:rsidRPr="004A2F01">
        <w:rPr>
          <w:rFonts w:cs="Arial"/>
          <w:b/>
          <w:i/>
          <w:lang w:val="pt-BR"/>
        </w:rPr>
        <w:t>E.coli, klebsiella, proteus</w:t>
      </w:r>
      <w:r w:rsidRPr="004A2F01">
        <w:rPr>
          <w:rFonts w:cs="Arial"/>
          <w:b/>
          <w:lang w:val="pt-BR"/>
        </w:rPr>
        <w:t>).</w:t>
      </w:r>
    </w:p>
    <w:p w:rsidR="00FC442D" w:rsidRPr="004A2F01" w:rsidRDefault="00FC442D" w:rsidP="00C52E09">
      <w:pPr>
        <w:pStyle w:val="TM-4n"/>
        <w:numPr>
          <w:ilvl w:val="0"/>
          <w:numId w:val="177"/>
        </w:numPr>
        <w:tabs>
          <w:tab w:val="clear" w:pos="720"/>
          <w:tab w:val="clear" w:pos="1134"/>
        </w:tabs>
        <w:spacing w:before="120" w:after="0" w:line="276" w:lineRule="auto"/>
        <w:ind w:left="1440"/>
      </w:pPr>
      <w:r w:rsidRPr="004A2F01">
        <w:t>Doses e dosagem:</w:t>
      </w:r>
    </w:p>
    <w:p w:rsidR="00FC442D" w:rsidRPr="004A2F01" w:rsidRDefault="00FC442D" w:rsidP="00C52E09">
      <w:pPr>
        <w:pStyle w:val="TM-4n"/>
        <w:numPr>
          <w:ilvl w:val="2"/>
          <w:numId w:val="177"/>
        </w:numPr>
        <w:tabs>
          <w:tab w:val="clear" w:pos="1134"/>
        </w:tabs>
        <w:spacing w:before="120" w:after="0" w:line="276" w:lineRule="auto"/>
      </w:pPr>
      <w:r w:rsidRPr="004A2F01">
        <w:t>Adultos: 1 grama de 6 em 6 horas (4 tomas diárias)</w:t>
      </w:r>
    </w:p>
    <w:p w:rsidR="00FC442D" w:rsidRPr="004A2F01" w:rsidRDefault="00FC442D" w:rsidP="00C52E09">
      <w:pPr>
        <w:pStyle w:val="TM-4n"/>
        <w:numPr>
          <w:ilvl w:val="0"/>
          <w:numId w:val="199"/>
        </w:numPr>
        <w:tabs>
          <w:tab w:val="clear" w:pos="1134"/>
        </w:tabs>
        <w:spacing w:before="120" w:after="0" w:line="276" w:lineRule="auto"/>
      </w:pPr>
      <w:r w:rsidRPr="004A2F01">
        <w:t>Efeitos secundários: frequentemente anorexia, náuseas, vómitos e dor abdominal</w:t>
      </w:r>
    </w:p>
    <w:p w:rsidR="00FC442D" w:rsidRPr="004A2F01" w:rsidRDefault="00FC442D" w:rsidP="00C52E09">
      <w:pPr>
        <w:pStyle w:val="TM-4n"/>
        <w:numPr>
          <w:ilvl w:val="0"/>
          <w:numId w:val="199"/>
        </w:numPr>
        <w:tabs>
          <w:tab w:val="clear" w:pos="1134"/>
        </w:tabs>
        <w:spacing w:before="120" w:after="0" w:line="276" w:lineRule="auto"/>
      </w:pPr>
      <w:r w:rsidRPr="004A2F01">
        <w:t>Contra-indicações: antecedentes de epilepsia ou convulsões (sobretudo em crianças)</w:t>
      </w:r>
    </w:p>
    <w:p w:rsidR="00FC442D" w:rsidRPr="004A2F01" w:rsidRDefault="00FC442D" w:rsidP="00C52E09">
      <w:pPr>
        <w:pStyle w:val="TM-4n"/>
        <w:numPr>
          <w:ilvl w:val="0"/>
          <w:numId w:val="199"/>
        </w:numPr>
        <w:tabs>
          <w:tab w:val="clear" w:pos="1134"/>
        </w:tabs>
        <w:spacing w:before="120" w:after="0" w:line="276" w:lineRule="auto"/>
      </w:pPr>
      <w:r w:rsidRPr="004A2F01">
        <w:t xml:space="preserve">Notas e precauções: evitar ou usar com precaução em doentes com função hepática ou renal alteradas, com epilepsia e durante a gravidez e lactação. </w:t>
      </w:r>
      <w:r w:rsidRPr="004A2F01">
        <w:rPr>
          <w:b/>
        </w:rPr>
        <w:t>Pode dar teste falso positivo na pesquisa de glicosúria</w:t>
      </w:r>
      <w:r w:rsidRPr="004A2F01">
        <w:t>.</w:t>
      </w:r>
    </w:p>
    <w:p w:rsidR="00FC442D" w:rsidRPr="004A2F01" w:rsidRDefault="00FC442D" w:rsidP="00CA3ED0">
      <w:pPr>
        <w:tabs>
          <w:tab w:val="left" w:pos="360"/>
        </w:tabs>
        <w:spacing w:before="120"/>
        <w:ind w:left="360"/>
        <w:jc w:val="both"/>
        <w:rPr>
          <w:rFonts w:cs="Arial"/>
          <w:b/>
          <w:lang w:val="pt-BR"/>
        </w:rPr>
      </w:pPr>
      <w:r w:rsidRPr="007701A8">
        <w:rPr>
          <w:rFonts w:cs="Arial"/>
          <w:b/>
          <w:lang w:val="pt-BR"/>
        </w:rPr>
        <w:t>2.6.2</w:t>
      </w:r>
      <w:r w:rsidRPr="004A2F01">
        <w:rPr>
          <w:rFonts w:cs="Arial"/>
          <w:lang w:val="pt-BR"/>
        </w:rPr>
        <w:t xml:space="preserve"> </w:t>
      </w:r>
      <w:r w:rsidRPr="004A2F01">
        <w:rPr>
          <w:rFonts w:cs="Arial"/>
          <w:b/>
          <w:lang w:val="pt-BR"/>
        </w:rPr>
        <w:t>Ciprofloxacina</w:t>
      </w:r>
    </w:p>
    <w:p w:rsidR="00FC442D" w:rsidRPr="004A2F01" w:rsidRDefault="00FC442D" w:rsidP="00C52E09">
      <w:pPr>
        <w:numPr>
          <w:ilvl w:val="0"/>
          <w:numId w:val="189"/>
        </w:numPr>
        <w:spacing w:before="120" w:after="0"/>
        <w:jc w:val="both"/>
        <w:rPr>
          <w:rFonts w:cs="Arial"/>
          <w:lang w:val="pt-BR"/>
        </w:rPr>
      </w:pPr>
      <w:r w:rsidRPr="004A2F01">
        <w:rPr>
          <w:rFonts w:cs="Arial"/>
          <w:lang w:val="pt-BR"/>
        </w:rPr>
        <w:t xml:space="preserve">Forma farmacêutica e via de administração: comprimidos e injectável, por via oral e perfusão EV. </w:t>
      </w:r>
      <w:r w:rsidRPr="004A2F01">
        <w:rPr>
          <w:rFonts w:cs="Arial"/>
          <w:b/>
          <w:lang w:val="pt-BR"/>
        </w:rPr>
        <w:t>Nivel 3 de prescrição</w:t>
      </w:r>
      <w:r w:rsidRPr="004A2F01">
        <w:rPr>
          <w:rFonts w:cs="Arial"/>
          <w:lang w:val="pt-BR"/>
        </w:rPr>
        <w:t>.</w:t>
      </w:r>
    </w:p>
    <w:p w:rsidR="00FC442D" w:rsidRPr="004A2F01" w:rsidRDefault="00FC442D" w:rsidP="00C52E09">
      <w:pPr>
        <w:numPr>
          <w:ilvl w:val="0"/>
          <w:numId w:val="189"/>
        </w:numPr>
        <w:spacing w:before="120" w:after="0"/>
        <w:jc w:val="both"/>
        <w:rPr>
          <w:rFonts w:cs="Arial"/>
          <w:b/>
          <w:lang w:val="pt-BR"/>
        </w:rPr>
      </w:pPr>
      <w:r w:rsidRPr="004A2F01">
        <w:rPr>
          <w:rFonts w:cs="Arial"/>
          <w:lang w:val="pt-BR"/>
        </w:rPr>
        <w:t xml:space="preserve">Indicações: infecções graves por bactérias gram positivas e gram negativas (infecção urinária, celulite, erisipela, osteomielite, infecções  por salmonela , shigella, campilobacter,  entre outras); </w:t>
      </w:r>
      <w:r w:rsidRPr="004A2F01">
        <w:rPr>
          <w:rFonts w:cs="Arial"/>
          <w:b/>
          <w:lang w:val="pt-BR"/>
        </w:rPr>
        <w:t>fármaco de 1ª linha no tratamento da gonorreia</w:t>
      </w:r>
    </w:p>
    <w:p w:rsidR="00FC442D" w:rsidRPr="004A2F01" w:rsidRDefault="00FC442D" w:rsidP="00C52E09">
      <w:pPr>
        <w:numPr>
          <w:ilvl w:val="0"/>
          <w:numId w:val="189"/>
        </w:numPr>
        <w:spacing w:before="120" w:after="0"/>
        <w:jc w:val="both"/>
        <w:rPr>
          <w:rFonts w:cs="Arial"/>
          <w:lang w:val="pt-BR"/>
        </w:rPr>
      </w:pPr>
      <w:r w:rsidRPr="004A2F01">
        <w:rPr>
          <w:rFonts w:cs="Arial"/>
          <w:lang w:val="pt-BR"/>
        </w:rPr>
        <w:t>Doses e dosagem:</w:t>
      </w:r>
    </w:p>
    <w:p w:rsidR="00FC442D" w:rsidRPr="004A2F01" w:rsidRDefault="00FC442D" w:rsidP="00C52E09">
      <w:pPr>
        <w:numPr>
          <w:ilvl w:val="1"/>
          <w:numId w:val="189"/>
        </w:numPr>
        <w:spacing w:before="120" w:after="0"/>
        <w:jc w:val="both"/>
        <w:rPr>
          <w:rFonts w:cs="Arial"/>
          <w:lang w:val="pt-BR"/>
        </w:rPr>
      </w:pPr>
      <w:r w:rsidRPr="004A2F01">
        <w:rPr>
          <w:rFonts w:cs="Arial"/>
          <w:lang w:val="pt-BR"/>
        </w:rPr>
        <w:t>Adultos: 250 a 750 mg de 12/12 horas</w:t>
      </w:r>
    </w:p>
    <w:p w:rsidR="00FC442D" w:rsidRPr="004A2F01" w:rsidRDefault="00FC442D" w:rsidP="00C52E09">
      <w:pPr>
        <w:numPr>
          <w:ilvl w:val="1"/>
          <w:numId w:val="189"/>
        </w:numPr>
        <w:spacing w:before="120" w:after="0"/>
        <w:jc w:val="both"/>
        <w:rPr>
          <w:rFonts w:cs="Arial"/>
          <w:b/>
          <w:lang w:val="pt-BR"/>
        </w:rPr>
      </w:pPr>
      <w:r w:rsidRPr="004A2F01">
        <w:rPr>
          <w:rFonts w:cs="Arial"/>
          <w:b/>
          <w:lang w:val="pt-BR"/>
        </w:rPr>
        <w:t>Na gonorreia: 500 mg dose única</w:t>
      </w:r>
    </w:p>
    <w:p w:rsidR="00FC442D" w:rsidRPr="004A2F01" w:rsidRDefault="00FC442D" w:rsidP="00C52E09">
      <w:pPr>
        <w:pStyle w:val="TM-4n"/>
        <w:numPr>
          <w:ilvl w:val="0"/>
          <w:numId w:val="177"/>
        </w:numPr>
        <w:tabs>
          <w:tab w:val="clear" w:pos="720"/>
          <w:tab w:val="clear" w:pos="1134"/>
        </w:tabs>
        <w:spacing w:before="120" w:after="0" w:line="276" w:lineRule="auto"/>
        <w:ind w:left="1440"/>
      </w:pPr>
      <w:r w:rsidRPr="004A2F01">
        <w:t>Efeitos secundários: similares aos do ácido nalidíxico, mas com melhor tolerância</w:t>
      </w:r>
    </w:p>
    <w:p w:rsidR="00FC442D" w:rsidRPr="004A2F01" w:rsidRDefault="00FC442D" w:rsidP="00C52E09">
      <w:pPr>
        <w:pStyle w:val="TM-4n"/>
        <w:numPr>
          <w:ilvl w:val="0"/>
          <w:numId w:val="177"/>
        </w:numPr>
        <w:tabs>
          <w:tab w:val="clear" w:pos="720"/>
          <w:tab w:val="clear" w:pos="1134"/>
        </w:tabs>
        <w:spacing w:before="120" w:after="0" w:line="276" w:lineRule="auto"/>
        <w:ind w:left="1440"/>
      </w:pPr>
      <w:r w:rsidRPr="004A2F01">
        <w:t>Contra-indicações: não aconselhado em crianças e adolescentes até 18 anos, na gravidez e lactação</w:t>
      </w:r>
    </w:p>
    <w:p w:rsidR="00FC442D" w:rsidRDefault="00FC442D" w:rsidP="00C52E09">
      <w:pPr>
        <w:pStyle w:val="TM-4n"/>
        <w:numPr>
          <w:ilvl w:val="0"/>
          <w:numId w:val="177"/>
        </w:numPr>
        <w:tabs>
          <w:tab w:val="clear" w:pos="720"/>
          <w:tab w:val="clear" w:pos="1134"/>
        </w:tabs>
        <w:spacing w:before="120" w:after="0" w:line="276" w:lineRule="auto"/>
        <w:ind w:left="1440"/>
      </w:pPr>
      <w:r w:rsidRPr="004A2F01">
        <w:t xml:space="preserve">Notas e precauções: assegurar ingestão abundante de líquidos durante o tratamento. </w:t>
      </w:r>
      <w:r w:rsidRPr="004A2F01">
        <w:rPr>
          <w:b/>
        </w:rPr>
        <w:t>A administração concomitante de anti-ácidos, suplementos de ferro ou zinco pode reduzir a absorção oral da ciprofloxacina</w:t>
      </w:r>
      <w:r w:rsidRPr="004A2F01">
        <w:t>.</w:t>
      </w:r>
    </w:p>
    <w:p w:rsidR="0096537C" w:rsidRDefault="0096537C" w:rsidP="0096537C">
      <w:pPr>
        <w:pStyle w:val="TM-4n"/>
        <w:numPr>
          <w:ilvl w:val="0"/>
          <w:numId w:val="0"/>
        </w:numPr>
        <w:tabs>
          <w:tab w:val="clear" w:pos="1134"/>
        </w:tabs>
        <w:spacing w:before="120" w:after="0" w:line="276" w:lineRule="auto"/>
        <w:ind w:left="1440"/>
      </w:pPr>
    </w:p>
    <w:p w:rsidR="0096537C" w:rsidRDefault="0096537C" w:rsidP="0096537C">
      <w:pPr>
        <w:pStyle w:val="TM-4n"/>
        <w:numPr>
          <w:ilvl w:val="0"/>
          <w:numId w:val="0"/>
        </w:numPr>
        <w:tabs>
          <w:tab w:val="clear" w:pos="1134"/>
        </w:tabs>
        <w:spacing w:before="120" w:after="0" w:line="276" w:lineRule="auto"/>
        <w:ind w:left="1440"/>
      </w:pPr>
    </w:p>
    <w:p w:rsidR="0096537C" w:rsidRPr="004A2F01" w:rsidRDefault="0096537C" w:rsidP="0096537C">
      <w:pPr>
        <w:pStyle w:val="TM-4n"/>
        <w:numPr>
          <w:ilvl w:val="0"/>
          <w:numId w:val="0"/>
        </w:numPr>
        <w:tabs>
          <w:tab w:val="clear" w:pos="1134"/>
        </w:tabs>
        <w:spacing w:before="120" w:after="0" w:line="276" w:lineRule="auto"/>
        <w:ind w:left="1440"/>
      </w:pPr>
    </w:p>
    <w:p w:rsidR="00FC442D" w:rsidRPr="004A2F01" w:rsidRDefault="00FC442D" w:rsidP="00CA3ED0">
      <w:pPr>
        <w:tabs>
          <w:tab w:val="left" w:pos="0"/>
        </w:tabs>
        <w:spacing w:before="120"/>
        <w:ind w:left="90"/>
        <w:jc w:val="both"/>
        <w:rPr>
          <w:rFonts w:cs="Arial"/>
          <w:lang w:val="pt-BR"/>
        </w:rPr>
      </w:pPr>
      <w:r w:rsidRPr="00AD66DD">
        <w:rPr>
          <w:rFonts w:cs="Arial"/>
          <w:b/>
          <w:lang w:val="pt-BR"/>
        </w:rPr>
        <w:lastRenderedPageBreak/>
        <w:t>2.7</w:t>
      </w:r>
      <w:r w:rsidRPr="004A2F01">
        <w:rPr>
          <w:rFonts w:cs="Arial"/>
          <w:lang w:val="pt-BR"/>
        </w:rPr>
        <w:t xml:space="preserve"> Outros antibióticos</w:t>
      </w:r>
    </w:p>
    <w:p w:rsidR="00FC442D" w:rsidRPr="004A2F01" w:rsidRDefault="00FC442D" w:rsidP="00CA3ED0">
      <w:pPr>
        <w:spacing w:before="120"/>
        <w:ind w:left="450"/>
        <w:jc w:val="both"/>
        <w:rPr>
          <w:rFonts w:cs="Arial"/>
          <w:b/>
          <w:lang w:val="pt-BR"/>
        </w:rPr>
      </w:pPr>
      <w:r w:rsidRPr="00AD66DD">
        <w:rPr>
          <w:rFonts w:cs="Arial"/>
          <w:b/>
          <w:lang w:val="pt-BR"/>
        </w:rPr>
        <w:t>2.7.1</w:t>
      </w:r>
      <w:r w:rsidRPr="004A2F01">
        <w:rPr>
          <w:rFonts w:cs="Arial"/>
          <w:lang w:val="pt-BR"/>
        </w:rPr>
        <w:t xml:space="preserve"> </w:t>
      </w:r>
      <w:r w:rsidRPr="004A2F01">
        <w:rPr>
          <w:rFonts w:cs="Arial"/>
          <w:b/>
          <w:lang w:val="pt-BR"/>
        </w:rPr>
        <w:t>Sulfamidas: Cotrimoxazol</w:t>
      </w:r>
    </w:p>
    <w:p w:rsidR="00FC442D" w:rsidRPr="004A2F01" w:rsidRDefault="00FC442D" w:rsidP="001B4CDC">
      <w:pPr>
        <w:spacing w:before="120"/>
        <w:ind w:left="540"/>
        <w:jc w:val="both"/>
        <w:rPr>
          <w:rFonts w:cs="Arial"/>
          <w:lang w:val="pt-BR"/>
        </w:rPr>
      </w:pPr>
      <w:r w:rsidRPr="004A2F01">
        <w:rPr>
          <w:rFonts w:cs="Arial"/>
          <w:lang w:val="pt-BR"/>
        </w:rPr>
        <w:t>Combinação de dois antibióticos: trimetoprim (TMP) e sulfametoxazol (SMX), em proporção 1:5 (40 a 80 mg de TMP para 200 a 400 mg de SMX). É activa contra bactérias gram positivas e negativas (</w:t>
      </w:r>
      <w:r w:rsidRPr="004A2F01">
        <w:rPr>
          <w:rFonts w:cs="Arial"/>
          <w:i/>
          <w:lang w:val="pt-BR"/>
        </w:rPr>
        <w:t xml:space="preserve">E.coli, Streptococcus pyogenes, S. pneumoniae, Salmonella spp, Shigella spp, entre </w:t>
      </w:r>
      <w:r w:rsidRPr="004A2F01">
        <w:rPr>
          <w:rFonts w:cs="Arial"/>
          <w:lang w:val="pt-BR"/>
        </w:rPr>
        <w:t xml:space="preserve">outros). </w:t>
      </w:r>
    </w:p>
    <w:p w:rsidR="00FC442D" w:rsidRPr="004A2F01" w:rsidRDefault="00FC442D" w:rsidP="00C52E09">
      <w:pPr>
        <w:pStyle w:val="TM-4n"/>
        <w:numPr>
          <w:ilvl w:val="0"/>
          <w:numId w:val="190"/>
        </w:numPr>
        <w:tabs>
          <w:tab w:val="clear" w:pos="1134"/>
        </w:tabs>
        <w:spacing w:before="120" w:after="0" w:line="276" w:lineRule="auto"/>
      </w:pPr>
      <w:r w:rsidRPr="004A2F01">
        <w:t>Forma farmacêutica e via de administração: comprimidos, suspensão oral e injectável</w:t>
      </w:r>
    </w:p>
    <w:p w:rsidR="00FC442D" w:rsidRPr="004A2F01" w:rsidRDefault="00FC442D" w:rsidP="00C52E09">
      <w:pPr>
        <w:pStyle w:val="TM-4n"/>
        <w:numPr>
          <w:ilvl w:val="0"/>
          <w:numId w:val="190"/>
        </w:numPr>
        <w:tabs>
          <w:tab w:val="clear" w:pos="1134"/>
        </w:tabs>
        <w:spacing w:before="120" w:after="0" w:line="276" w:lineRule="auto"/>
      </w:pPr>
      <w:r w:rsidRPr="004A2F01">
        <w:t xml:space="preserve">Indicações: </w:t>
      </w:r>
      <w:r w:rsidRPr="004A2F01">
        <w:rPr>
          <w:b/>
        </w:rPr>
        <w:t>Está indicado especialmente na profilaxia e tratamento das infecções por Pneumocystis jiroveci em doentes com HIV</w:t>
      </w:r>
      <w:r w:rsidRPr="004A2F01">
        <w:t>; tratamento de infecções urinárias, respiratórias, gastrointestinais e na suspeita de infecções estafilocócicas e por toxoplasma.</w:t>
      </w:r>
    </w:p>
    <w:p w:rsidR="00FC442D" w:rsidRPr="004A2F01" w:rsidRDefault="00FC442D" w:rsidP="00C52E09">
      <w:pPr>
        <w:pStyle w:val="TM-4n"/>
        <w:numPr>
          <w:ilvl w:val="0"/>
          <w:numId w:val="190"/>
        </w:numPr>
        <w:tabs>
          <w:tab w:val="clear" w:pos="1134"/>
        </w:tabs>
        <w:spacing w:before="120" w:after="0" w:line="276" w:lineRule="auto"/>
      </w:pPr>
      <w:r w:rsidRPr="004A2F01">
        <w:t xml:space="preserve">Doses e dosagem: usualmente 800 mg de SMX de 12 em 12 horas </w:t>
      </w:r>
    </w:p>
    <w:p w:rsidR="00FC442D" w:rsidRPr="004A2F01" w:rsidRDefault="00FC442D" w:rsidP="00C52E09">
      <w:pPr>
        <w:pStyle w:val="TM-4n"/>
        <w:numPr>
          <w:ilvl w:val="0"/>
          <w:numId w:val="190"/>
        </w:numPr>
        <w:tabs>
          <w:tab w:val="clear" w:pos="1134"/>
        </w:tabs>
        <w:spacing w:before="120" w:after="0" w:line="276" w:lineRule="auto"/>
        <w:rPr>
          <w:b/>
        </w:rPr>
      </w:pPr>
      <w:r w:rsidRPr="004A2F01">
        <w:t xml:space="preserve">Efeitos secundários: sobretudo devido ao componente sulfamídico – anorexia, náuseas, vómitos, erupções cutâneas ligeiras e prurido. </w:t>
      </w:r>
      <w:r w:rsidRPr="004A2F01">
        <w:rPr>
          <w:b/>
        </w:rPr>
        <w:t>As reacções graves incluem a síndrome de Stevens-Jonhson, anemia hemolítica (destruição dos eritrócitos) em doentes com deficiência de Glicose-6-fosfato desidrogenase (G6PD).</w:t>
      </w:r>
    </w:p>
    <w:p w:rsidR="00FC442D" w:rsidRPr="004A2F01" w:rsidRDefault="00FC442D" w:rsidP="00C52E09">
      <w:pPr>
        <w:pStyle w:val="TM-4n"/>
        <w:numPr>
          <w:ilvl w:val="0"/>
          <w:numId w:val="177"/>
        </w:numPr>
        <w:tabs>
          <w:tab w:val="clear" w:pos="720"/>
          <w:tab w:val="clear" w:pos="1134"/>
        </w:tabs>
        <w:spacing w:before="120" w:after="0" w:line="276" w:lineRule="auto"/>
        <w:ind w:left="1440"/>
      </w:pPr>
      <w:r w:rsidRPr="004A2F01">
        <w:t>Contra-indicações: antecedentes de alergia as sulfamidas, gravidez (toxicidade fetal), crianças menores de 6 semanas, insuficiência renal ou hepática.</w:t>
      </w:r>
    </w:p>
    <w:p w:rsidR="00FC442D" w:rsidRDefault="00FC442D" w:rsidP="00C52E09">
      <w:pPr>
        <w:pStyle w:val="TM-4n"/>
        <w:numPr>
          <w:ilvl w:val="0"/>
          <w:numId w:val="177"/>
        </w:numPr>
        <w:tabs>
          <w:tab w:val="clear" w:pos="720"/>
          <w:tab w:val="clear" w:pos="1134"/>
        </w:tabs>
        <w:spacing w:before="120" w:after="0" w:line="276" w:lineRule="auto"/>
        <w:ind w:left="1440"/>
      </w:pPr>
      <w:r w:rsidRPr="004A2F01">
        <w:t>Notas e precauções: aconselhar a ingestão abundante de líquidos durante o tratamento. Os efeitos secundários são mais pronunciados em pacientes com SIDA. As doses em caso de profilaxia e tratamento de infecções oportunistas ligadas ao HIV serão abordadas na disciplina de HIV.</w:t>
      </w:r>
    </w:p>
    <w:p w:rsidR="00FC442D" w:rsidRPr="004A2F01" w:rsidRDefault="00FC442D" w:rsidP="001B4CDC">
      <w:pPr>
        <w:tabs>
          <w:tab w:val="left" w:pos="900"/>
        </w:tabs>
        <w:spacing w:before="120"/>
        <w:ind w:left="720" w:hanging="180"/>
        <w:jc w:val="both"/>
        <w:rPr>
          <w:rFonts w:cs="Arial"/>
          <w:b/>
          <w:lang w:val="pt-BR"/>
        </w:rPr>
      </w:pPr>
      <w:r w:rsidRPr="00AD66DD">
        <w:rPr>
          <w:rFonts w:cs="Arial"/>
          <w:b/>
          <w:lang w:val="pt-BR"/>
        </w:rPr>
        <w:t>2.7.2</w:t>
      </w:r>
      <w:r w:rsidRPr="004A2F01">
        <w:rPr>
          <w:rFonts w:cs="Arial"/>
          <w:lang w:val="pt-BR"/>
        </w:rPr>
        <w:t xml:space="preserve"> </w:t>
      </w:r>
      <w:r w:rsidRPr="004A2F01">
        <w:rPr>
          <w:rFonts w:cs="Arial"/>
          <w:b/>
          <w:lang w:val="pt-BR"/>
        </w:rPr>
        <w:t>Anfenicóis: Cloranfenicol</w:t>
      </w:r>
    </w:p>
    <w:p w:rsidR="00FC442D" w:rsidRPr="004A2F01" w:rsidRDefault="00FC442D" w:rsidP="00FC442D">
      <w:pPr>
        <w:spacing w:before="120"/>
        <w:ind w:left="720" w:firstLine="180"/>
        <w:jc w:val="both"/>
        <w:rPr>
          <w:rFonts w:cs="Arial"/>
          <w:lang w:val="pt-BR"/>
        </w:rPr>
      </w:pPr>
      <w:r w:rsidRPr="004A2F01">
        <w:rPr>
          <w:rFonts w:cs="Arial"/>
          <w:lang w:val="pt-BR"/>
        </w:rPr>
        <w:t xml:space="preserve">Antibiótico que é usado em infecções graves por gram positivos e gram negativos. </w:t>
      </w:r>
    </w:p>
    <w:p w:rsidR="00FC442D" w:rsidRPr="004A2F01" w:rsidRDefault="00FC442D" w:rsidP="00C52E09">
      <w:pPr>
        <w:numPr>
          <w:ilvl w:val="0"/>
          <w:numId w:val="191"/>
        </w:numPr>
        <w:spacing w:before="120" w:after="0"/>
        <w:jc w:val="both"/>
        <w:rPr>
          <w:rFonts w:cs="Arial"/>
          <w:lang w:val="pt-BR"/>
        </w:rPr>
      </w:pPr>
      <w:r w:rsidRPr="004A2F01">
        <w:rPr>
          <w:rFonts w:cs="Arial"/>
          <w:lang w:val="pt-BR"/>
        </w:rPr>
        <w:t xml:space="preserve">Forma farmacêutica e via de administração: cápsulas, suspensão oral, injectável, por via oral, EV ou IM. Existem também as preparações tópicas: gotas auriculares, colírio, pomada oftálmica por via tópica ocular. </w:t>
      </w:r>
    </w:p>
    <w:p w:rsidR="00FC442D" w:rsidRPr="004A2F01" w:rsidRDefault="00FC442D" w:rsidP="00C52E09">
      <w:pPr>
        <w:numPr>
          <w:ilvl w:val="0"/>
          <w:numId w:val="191"/>
        </w:numPr>
        <w:spacing w:before="120" w:after="0"/>
        <w:jc w:val="both"/>
        <w:rPr>
          <w:rFonts w:cs="Arial"/>
          <w:lang w:val="pt-BR"/>
        </w:rPr>
      </w:pPr>
      <w:r w:rsidRPr="004A2F01">
        <w:rPr>
          <w:rFonts w:cs="Arial"/>
          <w:b/>
          <w:lang w:val="pt-BR"/>
        </w:rPr>
        <w:t>Indicações: tratamento de infecções graves (febre tifóide, artríte séptica, osteomielite, meningite meningocóccica, gangrena gasosa)</w:t>
      </w:r>
      <w:r w:rsidRPr="004A2F01">
        <w:rPr>
          <w:rFonts w:cs="Arial"/>
          <w:lang w:val="pt-BR"/>
        </w:rPr>
        <w:t>. As preparações tópicas estão indicadas nas infecções bacterianas (conjuntivite, otites, entre outras)</w:t>
      </w:r>
    </w:p>
    <w:p w:rsidR="00FC442D" w:rsidRPr="002C1FCD" w:rsidRDefault="00FC442D" w:rsidP="00C52E09">
      <w:pPr>
        <w:numPr>
          <w:ilvl w:val="0"/>
          <w:numId w:val="191"/>
        </w:numPr>
        <w:spacing w:before="120" w:after="0"/>
        <w:jc w:val="both"/>
        <w:rPr>
          <w:rFonts w:cs="Arial"/>
          <w:lang w:val="pt-BR"/>
        </w:rPr>
      </w:pPr>
      <w:r w:rsidRPr="002C1FCD">
        <w:rPr>
          <w:rFonts w:cs="Arial"/>
          <w:b/>
          <w:lang w:val="pt-BR"/>
        </w:rPr>
        <w:t>Doses e dosagem:</w:t>
      </w:r>
      <w:r w:rsidRPr="002C1FCD">
        <w:rPr>
          <w:rFonts w:cs="Arial"/>
          <w:lang w:val="pt-BR"/>
        </w:rPr>
        <w:t xml:space="preserve"> 250 a 500 mg de 6 em 6 horas (máximo de 4 g/dia no adulto)</w:t>
      </w:r>
    </w:p>
    <w:p w:rsidR="00FC442D" w:rsidRPr="002C1FCD" w:rsidRDefault="00FC442D" w:rsidP="00C52E09">
      <w:pPr>
        <w:numPr>
          <w:ilvl w:val="0"/>
          <w:numId w:val="191"/>
        </w:numPr>
        <w:spacing w:before="120" w:after="0"/>
        <w:jc w:val="both"/>
        <w:rPr>
          <w:rFonts w:cs="Arial"/>
          <w:lang w:val="pt-BR"/>
        </w:rPr>
      </w:pPr>
      <w:r w:rsidRPr="001E7E26">
        <w:rPr>
          <w:rFonts w:cs="Arial"/>
          <w:b/>
          <w:lang w:val="pt-PT"/>
        </w:rPr>
        <w:t>Efeitos secundários: discrasias sanguíneas e síndrome do bebé cinzento</w:t>
      </w:r>
      <w:r w:rsidRPr="001E7E26">
        <w:rPr>
          <w:rFonts w:cs="Arial"/>
          <w:lang w:val="pt-PT"/>
        </w:rPr>
        <w:t>. As discrasias sanguíneas podem ser dose dependente (manifestando com redução de todas linhagens celulares do sangue, mas é reversível) ou dose independente (raras, irreversível e manifesta-se com diminuição de todas linhagens celulares ou anemia aplástica – destruição da medula óssea que é fatal em 50% dos casos). A síndrome do bebé cinzento é mais frequente em prematuros e nas 1as duas semanas de vida e manifesta-se por aumento de volume do abdómen, vómitos, respiração anormal, coloração azulada da pele e mucosas (cianose) e choque.</w:t>
      </w:r>
    </w:p>
    <w:p w:rsidR="00FC442D" w:rsidRPr="002C1FCD" w:rsidRDefault="00FC442D" w:rsidP="00C52E09">
      <w:pPr>
        <w:numPr>
          <w:ilvl w:val="0"/>
          <w:numId w:val="191"/>
        </w:numPr>
        <w:spacing w:before="120" w:after="0"/>
        <w:jc w:val="both"/>
        <w:rPr>
          <w:rFonts w:cs="Arial"/>
          <w:lang w:val="pt-BR"/>
        </w:rPr>
      </w:pPr>
      <w:r w:rsidRPr="001E7E26">
        <w:rPr>
          <w:rFonts w:cs="Arial"/>
          <w:b/>
          <w:lang w:val="pt-PT"/>
        </w:rPr>
        <w:t>Contra-indicações:</w:t>
      </w:r>
      <w:r w:rsidRPr="001E7E26">
        <w:rPr>
          <w:rFonts w:cs="Arial"/>
          <w:lang w:val="pt-PT"/>
        </w:rPr>
        <w:t xml:space="preserve"> gravidez, lactação, história de discrasias sanguíneas</w:t>
      </w:r>
    </w:p>
    <w:p w:rsidR="00FC442D" w:rsidRPr="002C1FCD" w:rsidRDefault="00FC442D" w:rsidP="00C52E09">
      <w:pPr>
        <w:numPr>
          <w:ilvl w:val="0"/>
          <w:numId w:val="191"/>
        </w:numPr>
        <w:spacing w:before="120" w:after="0"/>
        <w:jc w:val="both"/>
        <w:rPr>
          <w:rFonts w:cs="Arial"/>
          <w:lang w:val="pt-BR"/>
        </w:rPr>
      </w:pPr>
      <w:r w:rsidRPr="001E7E26">
        <w:rPr>
          <w:rFonts w:cs="Arial"/>
          <w:b/>
          <w:lang w:val="pt-PT"/>
        </w:rPr>
        <w:t>Notas e precauções:</w:t>
      </w:r>
      <w:r w:rsidRPr="001E7E26">
        <w:rPr>
          <w:rFonts w:cs="Arial"/>
          <w:lang w:val="pt-PT"/>
        </w:rPr>
        <w:t xml:space="preserve"> evitar o uso repetido e tratamentos prolongados. Efectuar o controlo periódico do hemograma. </w:t>
      </w:r>
      <w:r w:rsidRPr="001E7E26">
        <w:rPr>
          <w:rFonts w:cs="Arial"/>
          <w:b/>
          <w:lang w:val="pt-PT"/>
        </w:rPr>
        <w:t xml:space="preserve">A ingestão concomitante do álcool pode </w:t>
      </w:r>
      <w:r w:rsidRPr="001E7E26">
        <w:rPr>
          <w:rFonts w:cs="Arial"/>
          <w:b/>
          <w:lang w:val="pt-PT"/>
        </w:rPr>
        <w:lastRenderedPageBreak/>
        <w:t xml:space="preserve">provocar um efeito </w:t>
      </w:r>
      <w:r w:rsidRPr="001E7E26">
        <w:rPr>
          <w:rFonts w:cs="Arial"/>
          <w:b/>
          <w:i/>
          <w:lang w:val="pt-PT"/>
        </w:rPr>
        <w:t>“antabus”</w:t>
      </w:r>
      <w:r w:rsidRPr="001E7E26">
        <w:rPr>
          <w:rFonts w:cs="Arial"/>
          <w:b/>
          <w:lang w:val="pt-PT"/>
        </w:rPr>
        <w:t xml:space="preserve"> – queda da pressão arterial, taquicardia, palpitações, cefaleia pulsátil, rubor da face, depressão respiratória, convulsões. O fenobarbital e rifampicina diminuem os níveis plasmáticos do cloranfenicol</w:t>
      </w:r>
      <w:r w:rsidRPr="001E7E26">
        <w:rPr>
          <w:b/>
          <w:lang w:val="pt-PT"/>
        </w:rPr>
        <w:t>.</w:t>
      </w:r>
    </w:p>
    <w:p w:rsidR="00FC442D" w:rsidRPr="004A2F01" w:rsidRDefault="00FC442D" w:rsidP="001B4CDC">
      <w:pPr>
        <w:spacing w:before="120"/>
        <w:ind w:left="540"/>
        <w:jc w:val="both"/>
        <w:rPr>
          <w:rFonts w:cs="Arial"/>
          <w:lang w:val="pt-BR"/>
        </w:rPr>
      </w:pPr>
      <w:r w:rsidRPr="00AD66DD">
        <w:rPr>
          <w:rFonts w:cs="Arial"/>
          <w:b/>
          <w:lang w:val="pt-BR"/>
        </w:rPr>
        <w:t>2.7.3</w:t>
      </w:r>
      <w:r w:rsidRPr="004A2F01">
        <w:rPr>
          <w:rFonts w:cs="Arial"/>
          <w:lang w:val="pt-BR"/>
        </w:rPr>
        <w:t xml:space="preserve"> </w:t>
      </w:r>
      <w:r w:rsidRPr="004A2F01">
        <w:rPr>
          <w:rFonts w:cs="Arial"/>
          <w:b/>
          <w:lang w:val="pt-BR"/>
        </w:rPr>
        <w:t>Nitroimidazólicos: Metronidazol</w:t>
      </w:r>
    </w:p>
    <w:p w:rsidR="00FC442D" w:rsidRPr="004A2F01" w:rsidRDefault="00FC442D" w:rsidP="00FC442D">
      <w:pPr>
        <w:spacing w:before="120"/>
        <w:ind w:left="720"/>
        <w:jc w:val="both"/>
        <w:rPr>
          <w:rFonts w:cs="Arial"/>
          <w:lang w:val="pt-BR"/>
        </w:rPr>
      </w:pPr>
      <w:r w:rsidRPr="004A2F01">
        <w:rPr>
          <w:rFonts w:cs="Arial"/>
          <w:lang w:val="pt-BR"/>
        </w:rPr>
        <w:t xml:space="preserve"> Anti-bacteriano com </w:t>
      </w:r>
      <w:r w:rsidRPr="004A2F01">
        <w:rPr>
          <w:rFonts w:cs="Arial"/>
          <w:b/>
          <w:lang w:val="pt-BR"/>
        </w:rPr>
        <w:t>actividade contra bactérias anaeróbicas e parasitas</w:t>
      </w:r>
      <w:r w:rsidRPr="004A2F01">
        <w:rPr>
          <w:rFonts w:cs="Arial"/>
          <w:lang w:val="pt-BR"/>
        </w:rPr>
        <w:t xml:space="preserve">. </w:t>
      </w:r>
    </w:p>
    <w:p w:rsidR="00FC442D" w:rsidRPr="004A2F01" w:rsidRDefault="00FC442D" w:rsidP="00C52E09">
      <w:pPr>
        <w:numPr>
          <w:ilvl w:val="0"/>
          <w:numId w:val="192"/>
        </w:numPr>
        <w:spacing w:before="120" w:after="0"/>
        <w:jc w:val="both"/>
        <w:rPr>
          <w:rFonts w:cs="Arial"/>
          <w:lang w:val="pt-BR"/>
        </w:rPr>
      </w:pPr>
      <w:r w:rsidRPr="004A2F01">
        <w:rPr>
          <w:rFonts w:cs="Arial"/>
          <w:lang w:val="pt-BR"/>
        </w:rPr>
        <w:t>Forma Farmacêutica e via de administração: comprimidos, suspensão oral, supositórios, óvulos vaginais e injectável, por via oral, rectal, vaginal e perfusão EV</w:t>
      </w:r>
    </w:p>
    <w:p w:rsidR="00FC442D" w:rsidRPr="004A2F01" w:rsidRDefault="00FC442D" w:rsidP="00C52E09">
      <w:pPr>
        <w:numPr>
          <w:ilvl w:val="0"/>
          <w:numId w:val="192"/>
        </w:numPr>
        <w:spacing w:before="120" w:after="0"/>
        <w:jc w:val="both"/>
        <w:rPr>
          <w:rFonts w:cs="Arial"/>
          <w:lang w:val="pt-BR"/>
        </w:rPr>
      </w:pPr>
      <w:r w:rsidRPr="004A2F01">
        <w:rPr>
          <w:rFonts w:cs="Arial"/>
          <w:lang w:val="pt-BR"/>
        </w:rPr>
        <w:t>Indicações: Está indicado no tratamento de infecções por bactérias anaeróbias, particularmente em processos inflamatórios pélvicos; É útil também em infecções por protozoários como amebas (amebíase intestinal e extra-intestinal, tricomonas, e na giardíase).</w:t>
      </w:r>
    </w:p>
    <w:p w:rsidR="00FC442D" w:rsidRPr="004A2F01" w:rsidRDefault="00FC442D" w:rsidP="00C52E09">
      <w:pPr>
        <w:pStyle w:val="TM-4n"/>
        <w:numPr>
          <w:ilvl w:val="0"/>
          <w:numId w:val="177"/>
        </w:numPr>
        <w:tabs>
          <w:tab w:val="clear" w:pos="720"/>
          <w:tab w:val="clear" w:pos="1134"/>
        </w:tabs>
        <w:spacing w:before="120" w:after="0" w:line="276" w:lineRule="auto"/>
        <w:ind w:left="1440"/>
      </w:pPr>
      <w:r w:rsidRPr="004A2F01">
        <w:t>Doses e dosagem: Amebíase - 12 mg/kg (em média 750 mg) de 8 em 8 horas; 2 gramas em dose única para a tricomoníase e giardíase.</w:t>
      </w:r>
    </w:p>
    <w:p w:rsidR="00FC442D" w:rsidRPr="004A2F01" w:rsidRDefault="00FC442D" w:rsidP="00C52E09">
      <w:pPr>
        <w:pStyle w:val="TM-4n"/>
        <w:numPr>
          <w:ilvl w:val="0"/>
          <w:numId w:val="200"/>
        </w:numPr>
        <w:tabs>
          <w:tab w:val="clear" w:pos="1134"/>
        </w:tabs>
        <w:spacing w:before="120" w:after="0" w:line="276" w:lineRule="auto"/>
        <w:rPr>
          <w:b/>
        </w:rPr>
      </w:pPr>
      <w:r w:rsidRPr="004A2F01">
        <w:rPr>
          <w:b/>
        </w:rPr>
        <w:t>Efeitos secundários: frequentemente cefaleia, vertigens, desconforto abdominal, náusea, vómitos e sabor metálico persistente. Neuropatia periférica (formigueiro, dormência) em tratamentos prolongados.</w:t>
      </w:r>
    </w:p>
    <w:p w:rsidR="00FC442D" w:rsidRPr="004A2F01" w:rsidRDefault="00FC442D" w:rsidP="00C52E09">
      <w:pPr>
        <w:pStyle w:val="TM-4n"/>
        <w:numPr>
          <w:ilvl w:val="0"/>
          <w:numId w:val="200"/>
        </w:numPr>
        <w:tabs>
          <w:tab w:val="clear" w:pos="1134"/>
        </w:tabs>
        <w:spacing w:before="120" w:after="0" w:line="276" w:lineRule="auto"/>
      </w:pPr>
      <w:r w:rsidRPr="004A2F01">
        <w:t>Contra-indicações: antecedentes de hipersensibilidade ao fármaco, 1º trimestre da gravidez, insuficiência hepática severa e alcoolismo crónico</w:t>
      </w:r>
    </w:p>
    <w:p w:rsidR="00FC442D" w:rsidRPr="004A2F01" w:rsidRDefault="00FC442D" w:rsidP="00C52E09">
      <w:pPr>
        <w:pStyle w:val="TM-4n"/>
        <w:numPr>
          <w:ilvl w:val="0"/>
          <w:numId w:val="200"/>
        </w:numPr>
        <w:tabs>
          <w:tab w:val="clear" w:pos="1134"/>
        </w:tabs>
        <w:spacing w:before="120" w:after="0" w:line="276" w:lineRule="auto"/>
      </w:pPr>
      <w:r w:rsidRPr="004A2F01">
        <w:t xml:space="preserve">Notas e precauções: administar de preferência os comprimidos às refeições. </w:t>
      </w:r>
      <w:r w:rsidRPr="004A2F01">
        <w:rPr>
          <w:b/>
          <w:u w:val="single"/>
        </w:rPr>
        <w:t>Alertar o doente para a necessidade de evitar o consumo de bebidas alcoólicas durante e  2 dias após o fim do tratamento – risco de reacção “</w:t>
      </w:r>
      <w:r w:rsidRPr="004A2F01">
        <w:rPr>
          <w:b/>
          <w:i/>
          <w:u w:val="single"/>
        </w:rPr>
        <w:t>antabus”</w:t>
      </w:r>
      <w:r w:rsidRPr="004A2F01">
        <w:rPr>
          <w:b/>
          <w:u w:val="single"/>
        </w:rPr>
        <w:t>.</w:t>
      </w:r>
    </w:p>
    <w:p w:rsidR="00FC442D" w:rsidRPr="004A2F01" w:rsidRDefault="00FC442D" w:rsidP="00AD66DD">
      <w:pPr>
        <w:spacing w:before="120" w:line="240" w:lineRule="auto"/>
        <w:ind w:left="446" w:hanging="446"/>
        <w:jc w:val="both"/>
        <w:rPr>
          <w:rFonts w:cs="Arial"/>
          <w:lang w:val="pt-PT" w:eastAsia="es-ES"/>
        </w:rPr>
      </w:pPr>
    </w:p>
    <w:p w:rsidR="00FC442D" w:rsidRPr="004A2F01" w:rsidRDefault="00BE2C41" w:rsidP="00BE2C41">
      <w:pPr>
        <w:pStyle w:val="TM-1n"/>
        <w:numPr>
          <w:ilvl w:val="0"/>
          <w:numId w:val="0"/>
        </w:numPr>
        <w:shd w:val="clear" w:color="auto" w:fill="C6D9F1"/>
        <w:tabs>
          <w:tab w:val="clear" w:pos="9072"/>
        </w:tabs>
        <w:rPr>
          <w:sz w:val="22"/>
          <w:szCs w:val="22"/>
        </w:rPr>
      </w:pPr>
      <w:r>
        <w:rPr>
          <w:sz w:val="22"/>
          <w:szCs w:val="22"/>
        </w:rPr>
        <w:t xml:space="preserve">BLOCO 3: </w:t>
      </w:r>
      <w:r w:rsidR="00FC442D" w:rsidRPr="004A2F01">
        <w:rPr>
          <w:sz w:val="22"/>
          <w:szCs w:val="22"/>
        </w:rPr>
        <w:t xml:space="preserve">ANTI-BACTERIANOS PARA TUBERCULOSE E LEPRA </w:t>
      </w:r>
      <w:r w:rsidR="00FC442D" w:rsidRPr="004A2F01">
        <w:rPr>
          <w:sz w:val="22"/>
          <w:szCs w:val="22"/>
        </w:rPr>
        <w:tab/>
      </w:r>
    </w:p>
    <w:p w:rsidR="00FC442D" w:rsidRPr="004A2F01" w:rsidRDefault="00FC442D" w:rsidP="00FC442D">
      <w:pPr>
        <w:spacing w:before="120"/>
        <w:jc w:val="both"/>
        <w:rPr>
          <w:rFonts w:cs="Arial"/>
          <w:lang w:val="pt-BR"/>
        </w:rPr>
      </w:pPr>
      <w:r w:rsidRPr="004A2F01">
        <w:rPr>
          <w:rFonts w:cs="Arial"/>
          <w:lang w:val="pt-BR"/>
        </w:rPr>
        <w:t>Duas infecções específicas e diferentes entre si, mas provocadas por bactérias com algumas características semelhantes, são tratadas com anti-bacterianos específicos para cada caso: a Tuberculose (TB) e a Lepra.</w:t>
      </w:r>
    </w:p>
    <w:p w:rsidR="00FC442D" w:rsidRPr="004A2F01" w:rsidRDefault="00FC442D" w:rsidP="00FC442D">
      <w:pPr>
        <w:spacing w:before="120"/>
        <w:jc w:val="both"/>
        <w:rPr>
          <w:rFonts w:cs="Arial"/>
          <w:b/>
          <w:lang w:val="pt-BR"/>
        </w:rPr>
      </w:pPr>
      <w:r w:rsidRPr="00AD66DD">
        <w:rPr>
          <w:rFonts w:cs="Arial"/>
          <w:b/>
          <w:lang w:val="pt-BR"/>
        </w:rPr>
        <w:t>3.1</w:t>
      </w:r>
      <w:r w:rsidRPr="004A2F01">
        <w:rPr>
          <w:rFonts w:cs="Arial"/>
          <w:lang w:val="pt-BR"/>
        </w:rPr>
        <w:t xml:space="preserve"> </w:t>
      </w:r>
      <w:r w:rsidRPr="004A2F01">
        <w:rPr>
          <w:rFonts w:cs="Arial"/>
          <w:b/>
          <w:lang w:val="pt-BR"/>
        </w:rPr>
        <w:t>Fármacos Anti-Tuberculose</w:t>
      </w:r>
    </w:p>
    <w:p w:rsidR="00FC442D" w:rsidRPr="004A2F01" w:rsidRDefault="00FC442D" w:rsidP="00FC442D">
      <w:pPr>
        <w:spacing w:before="120"/>
        <w:jc w:val="both"/>
        <w:rPr>
          <w:rFonts w:cs="Arial"/>
          <w:lang w:val="pt-BR"/>
        </w:rPr>
      </w:pPr>
      <w:r w:rsidRPr="004A2F01">
        <w:rPr>
          <w:rFonts w:cs="Arial"/>
          <w:lang w:val="pt-BR"/>
        </w:rPr>
        <w:t>Os fármacos anti-tuberculose podem ser divididos em fármacos de 1ª linha e fármacos de 2ª linha. Neste bloco vai-se abordar, de forma resumida os fármacos de 1ª linha, estando o aprofundamento das duas linhas reservado para a disciplina de doenças infecciosas.</w:t>
      </w:r>
    </w:p>
    <w:p w:rsidR="00FC442D" w:rsidRPr="004A2F01" w:rsidRDefault="00FC442D" w:rsidP="001B4CDC">
      <w:pPr>
        <w:spacing w:before="120"/>
        <w:ind w:left="360"/>
        <w:jc w:val="both"/>
        <w:rPr>
          <w:rFonts w:cs="Arial"/>
          <w:lang w:val="pt-BR"/>
        </w:rPr>
      </w:pPr>
      <w:r w:rsidRPr="00AD66DD">
        <w:rPr>
          <w:rFonts w:cs="Arial"/>
          <w:b/>
          <w:lang w:val="pt-BR"/>
        </w:rPr>
        <w:t>3.1.1</w:t>
      </w:r>
      <w:r w:rsidRPr="004A2F01">
        <w:rPr>
          <w:rFonts w:cs="Arial"/>
          <w:lang w:val="pt-BR"/>
        </w:rPr>
        <w:t xml:space="preserve"> Os fármacos anti- tuberculose de 1ª linha são:</w:t>
      </w:r>
    </w:p>
    <w:p w:rsidR="00FC442D" w:rsidRPr="004A2F01" w:rsidRDefault="00FC442D" w:rsidP="00C52E09">
      <w:pPr>
        <w:numPr>
          <w:ilvl w:val="0"/>
          <w:numId w:val="193"/>
        </w:numPr>
        <w:spacing w:before="120" w:after="0"/>
        <w:jc w:val="both"/>
        <w:rPr>
          <w:rFonts w:cs="Arial"/>
          <w:b/>
          <w:lang w:val="pt-BR"/>
        </w:rPr>
      </w:pPr>
      <w:r w:rsidRPr="004A2F01">
        <w:rPr>
          <w:rFonts w:cs="Arial"/>
          <w:b/>
          <w:lang w:val="pt-BR"/>
        </w:rPr>
        <w:t>Isoniazida</w:t>
      </w:r>
    </w:p>
    <w:p w:rsidR="00FC442D" w:rsidRPr="004A2F01" w:rsidRDefault="00FC442D" w:rsidP="00C52E09">
      <w:pPr>
        <w:numPr>
          <w:ilvl w:val="0"/>
          <w:numId w:val="193"/>
        </w:numPr>
        <w:spacing w:before="120" w:after="0"/>
        <w:jc w:val="both"/>
        <w:rPr>
          <w:rFonts w:cs="Arial"/>
          <w:b/>
          <w:lang w:val="pt-BR"/>
        </w:rPr>
      </w:pPr>
      <w:r w:rsidRPr="004A2F01">
        <w:rPr>
          <w:rFonts w:cs="Arial"/>
          <w:b/>
          <w:lang w:val="pt-BR"/>
        </w:rPr>
        <w:t>Rifampicina</w:t>
      </w:r>
    </w:p>
    <w:p w:rsidR="00FC442D" w:rsidRPr="004A2F01" w:rsidRDefault="00FC442D" w:rsidP="00C52E09">
      <w:pPr>
        <w:numPr>
          <w:ilvl w:val="0"/>
          <w:numId w:val="193"/>
        </w:numPr>
        <w:spacing w:before="120" w:after="0"/>
        <w:jc w:val="both"/>
        <w:rPr>
          <w:rFonts w:cs="Arial"/>
          <w:b/>
          <w:lang w:val="pt-BR"/>
        </w:rPr>
      </w:pPr>
      <w:r w:rsidRPr="004A2F01">
        <w:rPr>
          <w:rFonts w:cs="Arial"/>
          <w:b/>
          <w:lang w:val="pt-BR"/>
        </w:rPr>
        <w:t>Pirazinamida</w:t>
      </w:r>
    </w:p>
    <w:p w:rsidR="00FC442D" w:rsidRPr="004A2F01" w:rsidRDefault="00FC442D" w:rsidP="00C52E09">
      <w:pPr>
        <w:numPr>
          <w:ilvl w:val="0"/>
          <w:numId w:val="193"/>
        </w:numPr>
        <w:spacing w:before="120" w:after="0"/>
        <w:jc w:val="both"/>
        <w:rPr>
          <w:rFonts w:cs="Arial"/>
          <w:b/>
          <w:lang w:val="pt-BR"/>
        </w:rPr>
      </w:pPr>
      <w:r w:rsidRPr="004A2F01">
        <w:rPr>
          <w:rFonts w:cs="Arial"/>
          <w:b/>
          <w:lang w:val="pt-BR"/>
        </w:rPr>
        <w:t>Estreptomicina</w:t>
      </w:r>
    </w:p>
    <w:p w:rsidR="00FC442D" w:rsidRPr="004A2F01" w:rsidRDefault="00FC442D" w:rsidP="00C52E09">
      <w:pPr>
        <w:numPr>
          <w:ilvl w:val="0"/>
          <w:numId w:val="193"/>
        </w:numPr>
        <w:spacing w:before="120" w:after="0"/>
        <w:jc w:val="both"/>
        <w:rPr>
          <w:rFonts w:cs="Arial"/>
          <w:b/>
          <w:lang w:val="pt-BR"/>
        </w:rPr>
      </w:pPr>
      <w:r w:rsidRPr="004A2F01">
        <w:rPr>
          <w:rFonts w:cs="Arial"/>
          <w:b/>
          <w:lang w:val="pt-BR"/>
        </w:rPr>
        <w:t>Etambutol</w:t>
      </w:r>
    </w:p>
    <w:p w:rsidR="00FC442D" w:rsidRDefault="00FC442D" w:rsidP="00FC442D">
      <w:pPr>
        <w:spacing w:before="120" w:after="120"/>
        <w:jc w:val="both"/>
        <w:rPr>
          <w:rFonts w:cs="Arial"/>
          <w:lang w:val="pt-PT"/>
        </w:rPr>
      </w:pPr>
      <w:r w:rsidRPr="004A2F01">
        <w:rPr>
          <w:rFonts w:cs="Arial"/>
          <w:lang w:val="pt-PT"/>
        </w:rPr>
        <w:t>A tabela abaixo monstra os fármacos anti-tuberculose de 1ª linha, modo de acção, forma farmacêutica, via de administração e dose e dosagem</w:t>
      </w:r>
    </w:p>
    <w:p w:rsidR="00AD66DD" w:rsidRPr="004A2F01" w:rsidRDefault="00AD66DD" w:rsidP="00FC442D">
      <w:pPr>
        <w:spacing w:before="120" w:after="120"/>
        <w:jc w:val="both"/>
        <w:rPr>
          <w:rFonts w:cs="Arial"/>
          <w:lang w:val="pt-PT"/>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78"/>
        <w:gridCol w:w="944"/>
        <w:gridCol w:w="2418"/>
        <w:gridCol w:w="1755"/>
        <w:gridCol w:w="1617"/>
        <w:gridCol w:w="1782"/>
      </w:tblGrid>
      <w:tr w:rsidR="00FC442D" w:rsidRPr="004A2F01" w:rsidTr="00FC442D">
        <w:trPr>
          <w:jc w:val="center"/>
        </w:trPr>
        <w:tc>
          <w:tcPr>
            <w:tcW w:w="904" w:type="pct"/>
            <w:vMerge w:val="restart"/>
          </w:tcPr>
          <w:p w:rsidR="00FC442D" w:rsidRPr="00BE2C41" w:rsidRDefault="00FC442D" w:rsidP="001B4CDC">
            <w:pPr>
              <w:spacing w:after="0" w:line="360" w:lineRule="auto"/>
              <w:jc w:val="both"/>
              <w:rPr>
                <w:rFonts w:cs="Arial"/>
                <w:b/>
                <w:lang w:val="pt-PT"/>
              </w:rPr>
            </w:pPr>
            <w:r w:rsidRPr="00BE2C41">
              <w:rPr>
                <w:rFonts w:cs="Arial"/>
                <w:b/>
                <w:lang w:val="pt-PT"/>
              </w:rPr>
              <w:lastRenderedPageBreak/>
              <w:t>Fármaco</w:t>
            </w:r>
          </w:p>
        </w:tc>
        <w:tc>
          <w:tcPr>
            <w:tcW w:w="454" w:type="pct"/>
            <w:vMerge w:val="restart"/>
          </w:tcPr>
          <w:p w:rsidR="00FC442D" w:rsidRPr="00BE2C41" w:rsidRDefault="00FC442D" w:rsidP="001B4CDC">
            <w:pPr>
              <w:spacing w:after="0" w:line="360" w:lineRule="auto"/>
              <w:jc w:val="both"/>
              <w:rPr>
                <w:rFonts w:cs="Arial"/>
                <w:b/>
                <w:lang w:val="pt-PT"/>
              </w:rPr>
            </w:pPr>
            <w:r w:rsidRPr="00BE2C41">
              <w:rPr>
                <w:rFonts w:cs="Arial"/>
                <w:b/>
                <w:lang w:val="pt-PT"/>
              </w:rPr>
              <w:t>Sigla</w:t>
            </w:r>
          </w:p>
        </w:tc>
        <w:tc>
          <w:tcPr>
            <w:tcW w:w="1163" w:type="pct"/>
            <w:vMerge w:val="restart"/>
          </w:tcPr>
          <w:p w:rsidR="00FC442D" w:rsidRPr="00BE2C41" w:rsidRDefault="00FC442D" w:rsidP="001B4CDC">
            <w:pPr>
              <w:spacing w:after="0" w:line="360" w:lineRule="auto"/>
              <w:jc w:val="both"/>
              <w:rPr>
                <w:rFonts w:cs="Arial"/>
                <w:b/>
                <w:lang w:val="pt-PT"/>
              </w:rPr>
            </w:pPr>
            <w:r w:rsidRPr="00BE2C41">
              <w:rPr>
                <w:rFonts w:cs="Arial"/>
                <w:b/>
                <w:lang w:val="pt-PT"/>
              </w:rPr>
              <w:t>Modo de acção</w:t>
            </w:r>
          </w:p>
        </w:tc>
        <w:tc>
          <w:tcPr>
            <w:tcW w:w="1622" w:type="pct"/>
            <w:gridSpan w:val="2"/>
          </w:tcPr>
          <w:p w:rsidR="00FC442D" w:rsidRPr="00BE2C41" w:rsidRDefault="00FC442D" w:rsidP="001B4CDC">
            <w:pPr>
              <w:spacing w:after="0" w:line="360" w:lineRule="auto"/>
              <w:jc w:val="both"/>
              <w:rPr>
                <w:rFonts w:cs="Arial"/>
                <w:b/>
                <w:lang w:val="pt-PT"/>
              </w:rPr>
            </w:pPr>
            <w:r w:rsidRPr="00BE2C41">
              <w:rPr>
                <w:rFonts w:cs="Arial"/>
                <w:b/>
                <w:lang w:val="pt-PT"/>
              </w:rPr>
              <w:t>Posologia recomendada</w:t>
            </w:r>
          </w:p>
          <w:p w:rsidR="00FC442D" w:rsidRPr="00BE2C41" w:rsidRDefault="00FC442D" w:rsidP="001B4CDC">
            <w:pPr>
              <w:spacing w:after="0" w:line="360" w:lineRule="auto"/>
              <w:jc w:val="both"/>
              <w:rPr>
                <w:rFonts w:cs="Arial"/>
                <w:b/>
                <w:lang w:val="pt-PT"/>
              </w:rPr>
            </w:pPr>
            <w:r w:rsidRPr="00BE2C41">
              <w:rPr>
                <w:rFonts w:cs="Arial"/>
                <w:b/>
                <w:lang w:val="pt-PT"/>
              </w:rPr>
              <w:t>(mg/kg)</w:t>
            </w:r>
          </w:p>
        </w:tc>
        <w:tc>
          <w:tcPr>
            <w:tcW w:w="857" w:type="pct"/>
            <w:vMerge w:val="restart"/>
          </w:tcPr>
          <w:p w:rsidR="00FC442D" w:rsidRPr="00BE2C41" w:rsidRDefault="00FC442D" w:rsidP="001B4CDC">
            <w:pPr>
              <w:spacing w:after="0" w:line="360" w:lineRule="auto"/>
              <w:jc w:val="both"/>
              <w:rPr>
                <w:rFonts w:cs="Arial"/>
                <w:b/>
                <w:lang w:val="pt-PT"/>
              </w:rPr>
            </w:pPr>
            <w:r w:rsidRPr="00BE2C41">
              <w:rPr>
                <w:rFonts w:cs="Arial"/>
                <w:b/>
                <w:lang w:val="pt-PT"/>
              </w:rPr>
              <w:t>Via de administração</w:t>
            </w:r>
          </w:p>
        </w:tc>
      </w:tr>
      <w:tr w:rsidR="00FC442D" w:rsidRPr="004A2F01" w:rsidTr="00FC442D">
        <w:trPr>
          <w:jc w:val="center"/>
        </w:trPr>
        <w:tc>
          <w:tcPr>
            <w:tcW w:w="904" w:type="pct"/>
            <w:vMerge/>
          </w:tcPr>
          <w:p w:rsidR="00FC442D" w:rsidRPr="004A2F01" w:rsidRDefault="00FC442D" w:rsidP="001B4CDC">
            <w:pPr>
              <w:spacing w:after="0" w:line="360" w:lineRule="auto"/>
              <w:jc w:val="both"/>
              <w:rPr>
                <w:rFonts w:cs="Arial"/>
                <w:lang w:val="pt-PT"/>
              </w:rPr>
            </w:pPr>
          </w:p>
        </w:tc>
        <w:tc>
          <w:tcPr>
            <w:tcW w:w="454" w:type="pct"/>
            <w:vMerge/>
          </w:tcPr>
          <w:p w:rsidR="00FC442D" w:rsidRPr="004A2F01" w:rsidRDefault="00FC442D" w:rsidP="001B4CDC">
            <w:pPr>
              <w:spacing w:after="0" w:line="360" w:lineRule="auto"/>
              <w:jc w:val="both"/>
              <w:rPr>
                <w:rFonts w:cs="Arial"/>
                <w:lang w:val="pt-PT"/>
              </w:rPr>
            </w:pPr>
          </w:p>
        </w:tc>
        <w:tc>
          <w:tcPr>
            <w:tcW w:w="1163" w:type="pct"/>
            <w:vMerge/>
          </w:tcPr>
          <w:p w:rsidR="00FC442D" w:rsidRPr="004A2F01" w:rsidRDefault="00FC442D" w:rsidP="001B4CDC">
            <w:pPr>
              <w:spacing w:after="0" w:line="360" w:lineRule="auto"/>
              <w:jc w:val="both"/>
              <w:rPr>
                <w:rFonts w:cs="Arial"/>
                <w:lang w:val="pt-PT"/>
              </w:rPr>
            </w:pPr>
          </w:p>
        </w:tc>
        <w:tc>
          <w:tcPr>
            <w:tcW w:w="844" w:type="pct"/>
          </w:tcPr>
          <w:p w:rsidR="00FC442D" w:rsidRPr="00BE2C41" w:rsidRDefault="00FC442D" w:rsidP="001B4CDC">
            <w:pPr>
              <w:spacing w:after="0" w:line="360" w:lineRule="auto"/>
              <w:jc w:val="both"/>
              <w:rPr>
                <w:rFonts w:cs="Arial"/>
                <w:b/>
                <w:lang w:val="pt-PT"/>
              </w:rPr>
            </w:pPr>
            <w:r w:rsidRPr="00BE2C41">
              <w:rPr>
                <w:rFonts w:cs="Arial"/>
                <w:b/>
                <w:lang w:val="pt-PT"/>
              </w:rPr>
              <w:t>Diária</w:t>
            </w:r>
          </w:p>
        </w:tc>
        <w:tc>
          <w:tcPr>
            <w:tcW w:w="778" w:type="pct"/>
          </w:tcPr>
          <w:p w:rsidR="00FC442D" w:rsidRPr="00BE2C41" w:rsidRDefault="00FC442D" w:rsidP="001B4CDC">
            <w:pPr>
              <w:spacing w:after="0" w:line="360" w:lineRule="auto"/>
              <w:jc w:val="both"/>
              <w:rPr>
                <w:rFonts w:cs="Arial"/>
                <w:b/>
                <w:lang w:val="pt-PT"/>
              </w:rPr>
            </w:pPr>
            <w:r w:rsidRPr="00BE2C41">
              <w:rPr>
                <w:rFonts w:cs="Arial"/>
                <w:b/>
                <w:lang w:val="pt-PT"/>
              </w:rPr>
              <w:t>Intermitente</w:t>
            </w:r>
          </w:p>
          <w:p w:rsidR="00FC442D" w:rsidRPr="00BE2C41" w:rsidRDefault="00FC442D" w:rsidP="001B4CDC">
            <w:pPr>
              <w:spacing w:after="0" w:line="360" w:lineRule="auto"/>
              <w:jc w:val="both"/>
              <w:rPr>
                <w:rFonts w:cs="Arial"/>
                <w:b/>
                <w:lang w:val="pt-PT"/>
              </w:rPr>
            </w:pPr>
            <w:r w:rsidRPr="00BE2C41">
              <w:rPr>
                <w:rFonts w:cs="Arial"/>
                <w:b/>
                <w:lang w:val="pt-PT"/>
              </w:rPr>
              <w:t>(3x/semana)</w:t>
            </w:r>
          </w:p>
        </w:tc>
        <w:tc>
          <w:tcPr>
            <w:tcW w:w="857" w:type="pct"/>
            <w:vMerge/>
          </w:tcPr>
          <w:p w:rsidR="00FC442D" w:rsidRPr="004A2F01" w:rsidRDefault="00FC442D" w:rsidP="001B4CDC">
            <w:pPr>
              <w:spacing w:after="0" w:line="360" w:lineRule="auto"/>
              <w:jc w:val="both"/>
              <w:rPr>
                <w:rFonts w:cs="Arial"/>
                <w:lang w:val="pt-PT"/>
              </w:rPr>
            </w:pPr>
          </w:p>
        </w:tc>
      </w:tr>
      <w:tr w:rsidR="00FC442D" w:rsidRPr="004A2F01" w:rsidTr="00FC442D">
        <w:trPr>
          <w:jc w:val="center"/>
        </w:trPr>
        <w:tc>
          <w:tcPr>
            <w:tcW w:w="904" w:type="pct"/>
          </w:tcPr>
          <w:p w:rsidR="00FC442D" w:rsidRPr="004A2F01" w:rsidRDefault="00FC442D" w:rsidP="001B4CDC">
            <w:pPr>
              <w:spacing w:after="0" w:line="360" w:lineRule="auto"/>
              <w:jc w:val="both"/>
              <w:rPr>
                <w:rFonts w:cs="Arial"/>
                <w:lang w:val="pt-PT"/>
              </w:rPr>
            </w:pPr>
            <w:r w:rsidRPr="004A2F01">
              <w:rPr>
                <w:rFonts w:cs="Arial"/>
                <w:lang w:val="pt-PT"/>
              </w:rPr>
              <w:t>Isoniazida</w:t>
            </w:r>
          </w:p>
          <w:p w:rsidR="00FC442D" w:rsidRPr="004A2F01" w:rsidRDefault="00FC442D" w:rsidP="001B4CDC">
            <w:pPr>
              <w:spacing w:after="0" w:line="360" w:lineRule="auto"/>
              <w:jc w:val="both"/>
              <w:rPr>
                <w:rFonts w:cs="Arial"/>
                <w:lang w:val="pt-PT"/>
              </w:rPr>
            </w:pPr>
            <w:r w:rsidRPr="004A2F01">
              <w:rPr>
                <w:rFonts w:cs="Arial"/>
                <w:lang w:val="pt-PT"/>
              </w:rPr>
              <w:t>Comprimidos</w:t>
            </w:r>
          </w:p>
        </w:tc>
        <w:tc>
          <w:tcPr>
            <w:tcW w:w="454" w:type="pct"/>
          </w:tcPr>
          <w:p w:rsidR="00FC442D" w:rsidRPr="004A2F01" w:rsidRDefault="00FC442D" w:rsidP="001B4CDC">
            <w:pPr>
              <w:spacing w:after="0" w:line="360" w:lineRule="auto"/>
              <w:jc w:val="both"/>
              <w:rPr>
                <w:rFonts w:cs="Arial"/>
                <w:lang w:val="pt-PT"/>
              </w:rPr>
            </w:pPr>
            <w:r w:rsidRPr="004A2F01">
              <w:rPr>
                <w:rFonts w:cs="Arial"/>
                <w:lang w:val="pt-PT"/>
              </w:rPr>
              <w:t>H</w:t>
            </w:r>
          </w:p>
        </w:tc>
        <w:tc>
          <w:tcPr>
            <w:tcW w:w="1163" w:type="pct"/>
          </w:tcPr>
          <w:p w:rsidR="00FC442D" w:rsidRPr="004A2F01" w:rsidRDefault="00FC442D" w:rsidP="001B4CDC">
            <w:pPr>
              <w:spacing w:after="0" w:line="360" w:lineRule="auto"/>
              <w:jc w:val="both"/>
              <w:rPr>
                <w:rFonts w:cs="Arial"/>
                <w:lang w:val="pt-PT"/>
              </w:rPr>
            </w:pPr>
            <w:r w:rsidRPr="004A2F01">
              <w:rPr>
                <w:rFonts w:cs="Arial"/>
                <w:lang w:val="pt-PT"/>
              </w:rPr>
              <w:t>Bactericida</w:t>
            </w:r>
          </w:p>
        </w:tc>
        <w:tc>
          <w:tcPr>
            <w:tcW w:w="844" w:type="pct"/>
          </w:tcPr>
          <w:p w:rsidR="00FC442D" w:rsidRPr="004A2F01" w:rsidRDefault="00FC442D" w:rsidP="001B4CDC">
            <w:pPr>
              <w:spacing w:after="0" w:line="360" w:lineRule="auto"/>
              <w:jc w:val="both"/>
              <w:rPr>
                <w:rFonts w:cs="Arial"/>
                <w:vertAlign w:val="superscript"/>
                <w:lang w:val="pt-PT"/>
              </w:rPr>
            </w:pPr>
            <w:r w:rsidRPr="004A2F01">
              <w:rPr>
                <w:rFonts w:cs="Arial"/>
                <w:lang w:val="pt-PT"/>
              </w:rPr>
              <w:t>5</w:t>
            </w:r>
            <w:r w:rsidRPr="004A2F01">
              <w:rPr>
                <w:rFonts w:cs="Arial"/>
                <w:vertAlign w:val="superscript"/>
                <w:lang w:val="pt-PT"/>
              </w:rPr>
              <w:t>*</w:t>
            </w:r>
          </w:p>
        </w:tc>
        <w:tc>
          <w:tcPr>
            <w:tcW w:w="778" w:type="pct"/>
          </w:tcPr>
          <w:p w:rsidR="00FC442D" w:rsidRPr="004A2F01" w:rsidRDefault="00FC442D" w:rsidP="001B4CDC">
            <w:pPr>
              <w:spacing w:after="0" w:line="360" w:lineRule="auto"/>
              <w:jc w:val="both"/>
              <w:rPr>
                <w:rFonts w:cs="Arial"/>
                <w:lang w:val="pt-PT"/>
              </w:rPr>
            </w:pPr>
            <w:r w:rsidRPr="004A2F01">
              <w:rPr>
                <w:rFonts w:cs="Arial"/>
                <w:lang w:val="pt-PT"/>
              </w:rPr>
              <w:t>10</w:t>
            </w:r>
          </w:p>
        </w:tc>
        <w:tc>
          <w:tcPr>
            <w:tcW w:w="857" w:type="pct"/>
          </w:tcPr>
          <w:p w:rsidR="00FC442D" w:rsidRPr="004A2F01" w:rsidRDefault="00FC442D" w:rsidP="001B4CDC">
            <w:pPr>
              <w:spacing w:after="0" w:line="360" w:lineRule="auto"/>
              <w:jc w:val="both"/>
              <w:rPr>
                <w:rFonts w:cs="Arial"/>
                <w:lang w:val="pt-PT"/>
              </w:rPr>
            </w:pPr>
            <w:r w:rsidRPr="004A2F01">
              <w:rPr>
                <w:rFonts w:cs="Arial"/>
                <w:lang w:val="pt-PT"/>
              </w:rPr>
              <w:t>Oral</w:t>
            </w:r>
          </w:p>
        </w:tc>
      </w:tr>
      <w:tr w:rsidR="00FC442D" w:rsidRPr="004A2F01" w:rsidTr="00FC442D">
        <w:trPr>
          <w:jc w:val="center"/>
        </w:trPr>
        <w:tc>
          <w:tcPr>
            <w:tcW w:w="904" w:type="pct"/>
          </w:tcPr>
          <w:p w:rsidR="00FC442D" w:rsidRPr="004A2F01" w:rsidRDefault="00FC442D" w:rsidP="001B4CDC">
            <w:pPr>
              <w:spacing w:after="0" w:line="360" w:lineRule="auto"/>
              <w:jc w:val="both"/>
              <w:rPr>
                <w:rFonts w:cs="Arial"/>
                <w:lang w:val="pt-PT"/>
              </w:rPr>
            </w:pPr>
            <w:r w:rsidRPr="004A2F01">
              <w:rPr>
                <w:rFonts w:cs="Arial"/>
                <w:lang w:val="pt-PT"/>
              </w:rPr>
              <w:t>Rifampicina</w:t>
            </w:r>
          </w:p>
          <w:p w:rsidR="00FC442D" w:rsidRPr="004A2F01" w:rsidRDefault="00FC442D" w:rsidP="001B4CDC">
            <w:pPr>
              <w:spacing w:after="0" w:line="360" w:lineRule="auto"/>
              <w:jc w:val="both"/>
              <w:rPr>
                <w:rFonts w:cs="Arial"/>
                <w:lang w:val="pt-PT"/>
              </w:rPr>
            </w:pPr>
            <w:r w:rsidRPr="004A2F01">
              <w:rPr>
                <w:rFonts w:cs="Arial"/>
                <w:lang w:val="pt-PT"/>
              </w:rPr>
              <w:t>Comprimidos</w:t>
            </w:r>
          </w:p>
        </w:tc>
        <w:tc>
          <w:tcPr>
            <w:tcW w:w="454" w:type="pct"/>
          </w:tcPr>
          <w:p w:rsidR="00FC442D" w:rsidRPr="004A2F01" w:rsidRDefault="00FC442D" w:rsidP="001B4CDC">
            <w:pPr>
              <w:spacing w:after="0" w:line="360" w:lineRule="auto"/>
              <w:jc w:val="both"/>
              <w:rPr>
                <w:rFonts w:cs="Arial"/>
                <w:lang w:val="pt-PT"/>
              </w:rPr>
            </w:pPr>
            <w:r w:rsidRPr="004A2F01">
              <w:rPr>
                <w:rFonts w:cs="Arial"/>
                <w:lang w:val="pt-PT"/>
              </w:rPr>
              <w:t>R</w:t>
            </w:r>
          </w:p>
        </w:tc>
        <w:tc>
          <w:tcPr>
            <w:tcW w:w="1163" w:type="pct"/>
          </w:tcPr>
          <w:p w:rsidR="00FC442D" w:rsidRPr="004A2F01" w:rsidRDefault="00FC442D" w:rsidP="001B4CDC">
            <w:pPr>
              <w:spacing w:after="0" w:line="360" w:lineRule="auto"/>
              <w:jc w:val="both"/>
              <w:rPr>
                <w:rFonts w:cs="Arial"/>
              </w:rPr>
            </w:pPr>
            <w:r w:rsidRPr="004A2F01">
              <w:rPr>
                <w:rFonts w:cs="Arial"/>
                <w:lang w:val="pt-PT"/>
              </w:rPr>
              <w:t xml:space="preserve">Bactericida </w:t>
            </w:r>
          </w:p>
        </w:tc>
        <w:tc>
          <w:tcPr>
            <w:tcW w:w="844" w:type="pct"/>
          </w:tcPr>
          <w:p w:rsidR="00FC442D" w:rsidRPr="004A2F01" w:rsidRDefault="00FC442D" w:rsidP="001B4CDC">
            <w:pPr>
              <w:spacing w:after="0" w:line="360" w:lineRule="auto"/>
              <w:jc w:val="both"/>
              <w:rPr>
                <w:rFonts w:cs="Arial"/>
                <w:vertAlign w:val="superscript"/>
                <w:lang w:val="pt-PT"/>
              </w:rPr>
            </w:pPr>
            <w:r w:rsidRPr="004A2F01">
              <w:rPr>
                <w:rFonts w:cs="Arial"/>
                <w:lang w:val="pt-PT"/>
              </w:rPr>
              <w:t>10</w:t>
            </w:r>
            <w:r w:rsidRPr="004A2F01">
              <w:rPr>
                <w:rFonts w:cs="Arial"/>
                <w:vertAlign w:val="superscript"/>
                <w:lang w:val="pt-PT"/>
              </w:rPr>
              <w:t>**</w:t>
            </w:r>
          </w:p>
        </w:tc>
        <w:tc>
          <w:tcPr>
            <w:tcW w:w="778" w:type="pct"/>
          </w:tcPr>
          <w:p w:rsidR="00FC442D" w:rsidRPr="004A2F01" w:rsidRDefault="00FC442D" w:rsidP="001B4CDC">
            <w:pPr>
              <w:spacing w:after="0" w:line="360" w:lineRule="auto"/>
              <w:jc w:val="both"/>
              <w:rPr>
                <w:rFonts w:cs="Arial"/>
                <w:lang w:val="pt-PT"/>
              </w:rPr>
            </w:pPr>
            <w:r w:rsidRPr="004A2F01">
              <w:rPr>
                <w:rFonts w:cs="Arial"/>
                <w:lang w:val="pt-PT"/>
              </w:rPr>
              <w:t>10</w:t>
            </w:r>
          </w:p>
        </w:tc>
        <w:tc>
          <w:tcPr>
            <w:tcW w:w="857" w:type="pct"/>
          </w:tcPr>
          <w:p w:rsidR="00FC442D" w:rsidRPr="004A2F01" w:rsidRDefault="00FC442D" w:rsidP="001B4CDC">
            <w:pPr>
              <w:spacing w:after="0" w:line="360" w:lineRule="auto"/>
              <w:jc w:val="both"/>
              <w:rPr>
                <w:rFonts w:cs="Arial"/>
                <w:lang w:val="pt-PT"/>
              </w:rPr>
            </w:pPr>
            <w:r w:rsidRPr="004A2F01">
              <w:rPr>
                <w:rFonts w:cs="Arial"/>
                <w:lang w:val="pt-PT"/>
              </w:rPr>
              <w:t>Oral</w:t>
            </w:r>
          </w:p>
        </w:tc>
      </w:tr>
      <w:tr w:rsidR="00FC442D" w:rsidRPr="004A2F01" w:rsidTr="00FC442D">
        <w:trPr>
          <w:jc w:val="center"/>
        </w:trPr>
        <w:tc>
          <w:tcPr>
            <w:tcW w:w="904" w:type="pct"/>
          </w:tcPr>
          <w:p w:rsidR="00FC442D" w:rsidRPr="004A2F01" w:rsidRDefault="00FC442D" w:rsidP="001B4CDC">
            <w:pPr>
              <w:spacing w:after="0" w:line="360" w:lineRule="auto"/>
              <w:jc w:val="both"/>
              <w:rPr>
                <w:rFonts w:cs="Arial"/>
                <w:lang w:val="pt-PT"/>
              </w:rPr>
            </w:pPr>
            <w:r w:rsidRPr="004A2F01">
              <w:rPr>
                <w:rFonts w:cs="Arial"/>
                <w:lang w:val="pt-PT"/>
              </w:rPr>
              <w:t>Pirazinamida</w:t>
            </w:r>
          </w:p>
          <w:p w:rsidR="00FC442D" w:rsidRPr="004A2F01" w:rsidRDefault="00FC442D" w:rsidP="001B4CDC">
            <w:pPr>
              <w:spacing w:after="0" w:line="360" w:lineRule="auto"/>
              <w:jc w:val="both"/>
              <w:rPr>
                <w:rFonts w:cs="Arial"/>
                <w:lang w:val="pt-PT"/>
              </w:rPr>
            </w:pPr>
            <w:r w:rsidRPr="004A2F01">
              <w:rPr>
                <w:rFonts w:cs="Arial"/>
                <w:lang w:val="pt-PT"/>
              </w:rPr>
              <w:t>Comprimidos</w:t>
            </w:r>
          </w:p>
        </w:tc>
        <w:tc>
          <w:tcPr>
            <w:tcW w:w="454" w:type="pct"/>
          </w:tcPr>
          <w:p w:rsidR="00FC442D" w:rsidRPr="004A2F01" w:rsidRDefault="00FC442D" w:rsidP="001B4CDC">
            <w:pPr>
              <w:spacing w:after="0" w:line="360" w:lineRule="auto"/>
              <w:jc w:val="both"/>
              <w:rPr>
                <w:rFonts w:cs="Arial"/>
                <w:lang w:val="pt-PT"/>
              </w:rPr>
            </w:pPr>
            <w:r w:rsidRPr="004A2F01">
              <w:rPr>
                <w:rFonts w:cs="Arial"/>
                <w:lang w:val="pt-PT"/>
              </w:rPr>
              <w:t>Z</w:t>
            </w:r>
          </w:p>
        </w:tc>
        <w:tc>
          <w:tcPr>
            <w:tcW w:w="1163" w:type="pct"/>
          </w:tcPr>
          <w:p w:rsidR="00FC442D" w:rsidRPr="004A2F01" w:rsidRDefault="00FC442D" w:rsidP="001B4CDC">
            <w:pPr>
              <w:spacing w:after="0" w:line="360" w:lineRule="auto"/>
              <w:jc w:val="both"/>
              <w:rPr>
                <w:rFonts w:cs="Arial"/>
                <w:lang w:val="pt-PT"/>
              </w:rPr>
            </w:pPr>
            <w:r w:rsidRPr="004A2F01">
              <w:rPr>
                <w:rFonts w:cs="Arial"/>
                <w:lang w:val="pt-PT"/>
              </w:rPr>
              <w:t xml:space="preserve">Bactericida fraco </w:t>
            </w:r>
          </w:p>
        </w:tc>
        <w:tc>
          <w:tcPr>
            <w:tcW w:w="844" w:type="pct"/>
          </w:tcPr>
          <w:p w:rsidR="00FC442D" w:rsidRPr="004A2F01" w:rsidRDefault="00FC442D" w:rsidP="001B4CDC">
            <w:pPr>
              <w:spacing w:after="0" w:line="360" w:lineRule="auto"/>
              <w:jc w:val="both"/>
              <w:rPr>
                <w:rFonts w:cs="Arial"/>
                <w:lang w:val="pt-PT"/>
              </w:rPr>
            </w:pPr>
            <w:r w:rsidRPr="004A2F01">
              <w:rPr>
                <w:rFonts w:cs="Arial"/>
                <w:lang w:val="pt-PT"/>
              </w:rPr>
              <w:t>25</w:t>
            </w:r>
          </w:p>
        </w:tc>
        <w:tc>
          <w:tcPr>
            <w:tcW w:w="778" w:type="pct"/>
          </w:tcPr>
          <w:p w:rsidR="00FC442D" w:rsidRPr="004A2F01" w:rsidRDefault="00FC442D" w:rsidP="001B4CDC">
            <w:pPr>
              <w:spacing w:after="0" w:line="360" w:lineRule="auto"/>
              <w:jc w:val="both"/>
              <w:rPr>
                <w:rFonts w:cs="Arial"/>
                <w:lang w:val="pt-PT"/>
              </w:rPr>
            </w:pPr>
            <w:r w:rsidRPr="004A2F01">
              <w:rPr>
                <w:rFonts w:cs="Arial"/>
                <w:lang w:val="pt-PT"/>
              </w:rPr>
              <w:t>35</w:t>
            </w:r>
          </w:p>
        </w:tc>
        <w:tc>
          <w:tcPr>
            <w:tcW w:w="857" w:type="pct"/>
          </w:tcPr>
          <w:p w:rsidR="00FC442D" w:rsidRPr="004A2F01" w:rsidRDefault="00FC442D" w:rsidP="001B4CDC">
            <w:pPr>
              <w:spacing w:after="0" w:line="360" w:lineRule="auto"/>
              <w:jc w:val="both"/>
              <w:rPr>
                <w:rFonts w:cs="Arial"/>
                <w:lang w:val="pt-PT"/>
              </w:rPr>
            </w:pPr>
            <w:r w:rsidRPr="004A2F01">
              <w:rPr>
                <w:rFonts w:cs="Arial"/>
                <w:lang w:val="pt-PT"/>
              </w:rPr>
              <w:t>Oral</w:t>
            </w:r>
          </w:p>
        </w:tc>
      </w:tr>
      <w:tr w:rsidR="00FC442D" w:rsidRPr="004A2F01" w:rsidTr="00FC442D">
        <w:trPr>
          <w:jc w:val="center"/>
        </w:trPr>
        <w:tc>
          <w:tcPr>
            <w:tcW w:w="904" w:type="pct"/>
          </w:tcPr>
          <w:p w:rsidR="00FC442D" w:rsidRPr="004A2F01" w:rsidRDefault="00FC442D" w:rsidP="001B4CDC">
            <w:pPr>
              <w:spacing w:after="0" w:line="360" w:lineRule="auto"/>
              <w:jc w:val="both"/>
              <w:rPr>
                <w:rFonts w:cs="Arial"/>
                <w:lang w:val="pt-PT"/>
              </w:rPr>
            </w:pPr>
            <w:r w:rsidRPr="004A2F01">
              <w:rPr>
                <w:rFonts w:cs="Arial"/>
                <w:lang w:val="pt-PT"/>
              </w:rPr>
              <w:t>Estreptomicina</w:t>
            </w:r>
          </w:p>
          <w:p w:rsidR="00FC442D" w:rsidRPr="004A2F01" w:rsidRDefault="00FC442D" w:rsidP="001B4CDC">
            <w:pPr>
              <w:spacing w:after="0" w:line="360" w:lineRule="auto"/>
              <w:jc w:val="both"/>
              <w:rPr>
                <w:rFonts w:cs="Arial"/>
                <w:lang w:val="pt-PT"/>
              </w:rPr>
            </w:pPr>
            <w:r w:rsidRPr="004A2F01">
              <w:rPr>
                <w:rFonts w:cs="Arial"/>
                <w:lang w:val="pt-PT"/>
              </w:rPr>
              <w:t>Injectável 1g/5ml</w:t>
            </w:r>
          </w:p>
        </w:tc>
        <w:tc>
          <w:tcPr>
            <w:tcW w:w="454" w:type="pct"/>
          </w:tcPr>
          <w:p w:rsidR="00FC442D" w:rsidRPr="004A2F01" w:rsidRDefault="00FC442D" w:rsidP="001B4CDC">
            <w:pPr>
              <w:spacing w:after="0" w:line="360" w:lineRule="auto"/>
              <w:jc w:val="both"/>
              <w:rPr>
                <w:rFonts w:cs="Arial"/>
                <w:lang w:val="pt-PT"/>
              </w:rPr>
            </w:pPr>
            <w:r w:rsidRPr="004A2F01">
              <w:rPr>
                <w:rFonts w:cs="Arial"/>
                <w:lang w:val="pt-PT"/>
              </w:rPr>
              <w:t>S</w:t>
            </w:r>
          </w:p>
        </w:tc>
        <w:tc>
          <w:tcPr>
            <w:tcW w:w="1163" w:type="pct"/>
          </w:tcPr>
          <w:p w:rsidR="00FC442D" w:rsidRPr="004A2F01" w:rsidRDefault="00FC442D" w:rsidP="001B4CDC">
            <w:pPr>
              <w:spacing w:after="0" w:line="360" w:lineRule="auto"/>
              <w:jc w:val="both"/>
              <w:rPr>
                <w:rFonts w:cs="Arial"/>
              </w:rPr>
            </w:pPr>
            <w:r w:rsidRPr="004A2F01">
              <w:rPr>
                <w:rFonts w:cs="Arial"/>
                <w:lang w:val="pt-PT"/>
              </w:rPr>
              <w:t>Bactericida</w:t>
            </w:r>
          </w:p>
        </w:tc>
        <w:tc>
          <w:tcPr>
            <w:tcW w:w="844" w:type="pct"/>
          </w:tcPr>
          <w:p w:rsidR="00FC442D" w:rsidRPr="004A2F01" w:rsidRDefault="00FC442D" w:rsidP="001B4CDC">
            <w:pPr>
              <w:spacing w:after="0" w:line="360" w:lineRule="auto"/>
              <w:jc w:val="both"/>
              <w:rPr>
                <w:rFonts w:cs="Arial"/>
                <w:vertAlign w:val="superscript"/>
                <w:lang w:val="pt-PT"/>
              </w:rPr>
            </w:pPr>
            <w:r w:rsidRPr="004A2F01">
              <w:rPr>
                <w:rFonts w:cs="Arial"/>
                <w:lang w:val="pt-PT"/>
              </w:rPr>
              <w:t>15</w:t>
            </w:r>
            <w:r w:rsidRPr="004A2F01">
              <w:rPr>
                <w:rFonts w:cs="Arial"/>
                <w:vertAlign w:val="superscript"/>
                <w:lang w:val="pt-PT"/>
              </w:rPr>
              <w:t>***</w:t>
            </w:r>
          </w:p>
        </w:tc>
        <w:tc>
          <w:tcPr>
            <w:tcW w:w="778" w:type="pct"/>
          </w:tcPr>
          <w:p w:rsidR="00FC442D" w:rsidRPr="004A2F01" w:rsidRDefault="00FC442D" w:rsidP="001B4CDC">
            <w:pPr>
              <w:spacing w:after="0" w:line="360" w:lineRule="auto"/>
              <w:jc w:val="both"/>
              <w:rPr>
                <w:rFonts w:cs="Arial"/>
                <w:lang w:val="pt-PT"/>
              </w:rPr>
            </w:pPr>
            <w:r w:rsidRPr="004A2F01">
              <w:rPr>
                <w:rFonts w:cs="Arial"/>
                <w:lang w:val="pt-PT"/>
              </w:rPr>
              <w:t>15</w:t>
            </w:r>
          </w:p>
        </w:tc>
        <w:tc>
          <w:tcPr>
            <w:tcW w:w="857" w:type="pct"/>
          </w:tcPr>
          <w:p w:rsidR="00FC442D" w:rsidRPr="004A2F01" w:rsidRDefault="00FC442D" w:rsidP="001B4CDC">
            <w:pPr>
              <w:spacing w:after="0" w:line="360" w:lineRule="auto"/>
              <w:jc w:val="both"/>
              <w:rPr>
                <w:rFonts w:cs="Arial"/>
                <w:lang w:val="pt-PT"/>
              </w:rPr>
            </w:pPr>
            <w:r w:rsidRPr="004A2F01">
              <w:rPr>
                <w:rFonts w:cs="Arial"/>
                <w:lang w:val="pt-PT"/>
              </w:rPr>
              <w:t>Intramuscular</w:t>
            </w:r>
          </w:p>
        </w:tc>
      </w:tr>
      <w:tr w:rsidR="00FC442D" w:rsidRPr="004A2F01" w:rsidTr="00FC442D">
        <w:trPr>
          <w:jc w:val="center"/>
        </w:trPr>
        <w:tc>
          <w:tcPr>
            <w:tcW w:w="904" w:type="pct"/>
          </w:tcPr>
          <w:p w:rsidR="00FC442D" w:rsidRPr="004A2F01" w:rsidRDefault="00FC442D" w:rsidP="001B4CDC">
            <w:pPr>
              <w:spacing w:after="0" w:line="360" w:lineRule="auto"/>
              <w:jc w:val="both"/>
              <w:rPr>
                <w:rFonts w:cs="Arial"/>
                <w:lang w:val="pt-PT"/>
              </w:rPr>
            </w:pPr>
            <w:r w:rsidRPr="004A2F01">
              <w:rPr>
                <w:rFonts w:cs="Arial"/>
                <w:lang w:val="pt-PT"/>
              </w:rPr>
              <w:t>Etambutol</w:t>
            </w:r>
          </w:p>
          <w:p w:rsidR="00FC442D" w:rsidRPr="004A2F01" w:rsidRDefault="00FC442D" w:rsidP="001B4CDC">
            <w:pPr>
              <w:spacing w:after="0" w:line="360" w:lineRule="auto"/>
              <w:jc w:val="both"/>
              <w:rPr>
                <w:rFonts w:cs="Arial"/>
                <w:lang w:val="pt-PT"/>
              </w:rPr>
            </w:pPr>
            <w:r w:rsidRPr="004A2F01">
              <w:rPr>
                <w:rFonts w:cs="Arial"/>
                <w:lang w:val="pt-PT"/>
              </w:rPr>
              <w:t>Comprimidos</w:t>
            </w:r>
          </w:p>
        </w:tc>
        <w:tc>
          <w:tcPr>
            <w:tcW w:w="454" w:type="pct"/>
          </w:tcPr>
          <w:p w:rsidR="00FC442D" w:rsidRPr="004A2F01" w:rsidRDefault="00FC442D" w:rsidP="001B4CDC">
            <w:pPr>
              <w:spacing w:after="0" w:line="360" w:lineRule="auto"/>
              <w:jc w:val="both"/>
              <w:rPr>
                <w:rFonts w:cs="Arial"/>
                <w:lang w:val="pt-PT"/>
              </w:rPr>
            </w:pPr>
            <w:r w:rsidRPr="004A2F01">
              <w:rPr>
                <w:rFonts w:cs="Arial"/>
                <w:lang w:val="pt-PT"/>
              </w:rPr>
              <w:t>E</w:t>
            </w:r>
          </w:p>
        </w:tc>
        <w:tc>
          <w:tcPr>
            <w:tcW w:w="1163" w:type="pct"/>
          </w:tcPr>
          <w:p w:rsidR="00FC442D" w:rsidRPr="004A2F01" w:rsidRDefault="00FC442D" w:rsidP="001B4CDC">
            <w:pPr>
              <w:spacing w:after="0" w:line="360" w:lineRule="auto"/>
              <w:jc w:val="both"/>
              <w:rPr>
                <w:rFonts w:cs="Arial"/>
                <w:lang w:val="pt-PT"/>
              </w:rPr>
            </w:pPr>
            <w:r w:rsidRPr="004A2F01">
              <w:rPr>
                <w:rFonts w:cs="Arial"/>
                <w:lang w:val="pt-PT"/>
              </w:rPr>
              <w:t>Bacteriostático</w:t>
            </w:r>
          </w:p>
        </w:tc>
        <w:tc>
          <w:tcPr>
            <w:tcW w:w="844" w:type="pct"/>
          </w:tcPr>
          <w:p w:rsidR="00FC442D" w:rsidRPr="004A2F01" w:rsidRDefault="00FC442D" w:rsidP="001B4CDC">
            <w:pPr>
              <w:spacing w:after="0" w:line="360" w:lineRule="auto"/>
              <w:jc w:val="both"/>
              <w:rPr>
                <w:rFonts w:cs="Arial"/>
                <w:lang w:val="pt-PT"/>
              </w:rPr>
            </w:pPr>
            <w:r w:rsidRPr="004A2F01">
              <w:rPr>
                <w:rFonts w:cs="Arial"/>
                <w:lang w:val="pt-PT"/>
              </w:rPr>
              <w:t>15</w:t>
            </w:r>
          </w:p>
        </w:tc>
        <w:tc>
          <w:tcPr>
            <w:tcW w:w="778" w:type="pct"/>
          </w:tcPr>
          <w:p w:rsidR="00FC442D" w:rsidRPr="004A2F01" w:rsidRDefault="00FC442D" w:rsidP="001B4CDC">
            <w:pPr>
              <w:spacing w:after="0" w:line="360" w:lineRule="auto"/>
              <w:jc w:val="both"/>
              <w:rPr>
                <w:rFonts w:cs="Arial"/>
                <w:lang w:val="pt-PT"/>
              </w:rPr>
            </w:pPr>
            <w:r w:rsidRPr="004A2F01">
              <w:rPr>
                <w:rFonts w:cs="Arial"/>
                <w:lang w:val="pt-PT"/>
              </w:rPr>
              <w:t>30</w:t>
            </w:r>
          </w:p>
        </w:tc>
        <w:tc>
          <w:tcPr>
            <w:tcW w:w="857" w:type="pct"/>
          </w:tcPr>
          <w:p w:rsidR="00FC442D" w:rsidRPr="004A2F01" w:rsidRDefault="00FC442D" w:rsidP="001B4CDC">
            <w:pPr>
              <w:spacing w:after="0" w:line="360" w:lineRule="auto"/>
              <w:jc w:val="both"/>
              <w:rPr>
                <w:rFonts w:cs="Arial"/>
                <w:lang w:val="pt-PT"/>
              </w:rPr>
            </w:pPr>
            <w:r w:rsidRPr="004A2F01">
              <w:rPr>
                <w:rFonts w:cs="Arial"/>
                <w:lang w:val="pt-PT"/>
              </w:rPr>
              <w:t>Oral</w:t>
            </w:r>
          </w:p>
        </w:tc>
      </w:tr>
    </w:tbl>
    <w:p w:rsidR="00FC442D" w:rsidRPr="004A2F01" w:rsidRDefault="00FC442D" w:rsidP="00C52E09">
      <w:pPr>
        <w:numPr>
          <w:ilvl w:val="0"/>
          <w:numId w:val="193"/>
        </w:numPr>
        <w:spacing w:after="0"/>
        <w:jc w:val="both"/>
        <w:rPr>
          <w:rFonts w:cs="Arial"/>
          <w:vertAlign w:val="superscript"/>
          <w:lang w:val="pt-PT"/>
        </w:rPr>
      </w:pPr>
      <w:r w:rsidRPr="004A2F01">
        <w:rPr>
          <w:rFonts w:cs="Arial"/>
          <w:vertAlign w:val="superscript"/>
          <w:lang w:val="pt-PT"/>
        </w:rPr>
        <w:t>* Máximo de 300 mg por dia. ** Máximo 600 mg/dia. *** Doentes com mais de 60 anos não devem ultrapassar 500-750mg/dia</w:t>
      </w:r>
    </w:p>
    <w:p w:rsidR="00FC442D" w:rsidRPr="004A2F01" w:rsidRDefault="00FC442D" w:rsidP="001B4CDC">
      <w:pPr>
        <w:spacing w:before="120"/>
        <w:ind w:left="360"/>
        <w:jc w:val="both"/>
        <w:rPr>
          <w:rFonts w:cs="Arial"/>
          <w:lang w:val="pt-PT"/>
        </w:rPr>
      </w:pPr>
      <w:r w:rsidRPr="00AD66DD">
        <w:rPr>
          <w:rFonts w:cs="Arial"/>
          <w:b/>
          <w:lang w:val="pt-PT"/>
        </w:rPr>
        <w:t>3.1.2</w:t>
      </w:r>
      <w:r w:rsidRPr="004A2F01">
        <w:rPr>
          <w:rFonts w:cs="Arial"/>
          <w:lang w:val="pt-PT"/>
        </w:rPr>
        <w:t xml:space="preserve"> Os fármacos são usados de forma combinada, que se designa de doses fixas combinadas (DFC) e o tratamento tem duas fases: </w:t>
      </w:r>
    </w:p>
    <w:p w:rsidR="00FC442D" w:rsidRPr="004A2F01" w:rsidRDefault="00FC442D" w:rsidP="00C52E09">
      <w:pPr>
        <w:numPr>
          <w:ilvl w:val="0"/>
          <w:numId w:val="193"/>
        </w:numPr>
        <w:spacing w:before="120" w:after="0"/>
        <w:jc w:val="both"/>
        <w:rPr>
          <w:rFonts w:cs="Arial"/>
          <w:lang w:val="pt-PT"/>
        </w:rPr>
      </w:pPr>
      <w:r w:rsidRPr="004A2F01">
        <w:rPr>
          <w:rFonts w:cs="Arial"/>
          <w:lang w:val="pt-PT"/>
        </w:rPr>
        <w:t>Fase Intensiva – é a 1ª fase, dura geralmente 2 meses e usa-se 4 medicamentos (geralmente HRZE)</w:t>
      </w:r>
    </w:p>
    <w:p w:rsidR="00FC442D" w:rsidRPr="004A2F01" w:rsidRDefault="00FC442D" w:rsidP="00C52E09">
      <w:pPr>
        <w:numPr>
          <w:ilvl w:val="0"/>
          <w:numId w:val="193"/>
        </w:numPr>
        <w:spacing w:before="120" w:after="0"/>
        <w:jc w:val="both"/>
        <w:rPr>
          <w:rFonts w:cs="Arial"/>
          <w:lang w:val="pt-PT"/>
        </w:rPr>
      </w:pPr>
      <w:r w:rsidRPr="004A2F01">
        <w:rPr>
          <w:rFonts w:cs="Arial"/>
          <w:lang w:val="pt-PT"/>
        </w:rPr>
        <w:t>Fase de manutenção - é a 2ª fase, dura geralmente 4 meses e usa-se 2 medicamentos (geralmente HR)</w:t>
      </w:r>
    </w:p>
    <w:p w:rsidR="00FC442D" w:rsidRPr="004A2F01" w:rsidRDefault="00FC442D" w:rsidP="00FC442D">
      <w:pPr>
        <w:spacing w:before="120"/>
        <w:jc w:val="both"/>
        <w:rPr>
          <w:rFonts w:cs="Arial"/>
          <w:b/>
          <w:lang w:val="pt-PT"/>
        </w:rPr>
      </w:pPr>
      <w:r w:rsidRPr="00AD66DD">
        <w:rPr>
          <w:rFonts w:cs="Arial"/>
          <w:b/>
          <w:lang w:val="pt-PT"/>
        </w:rPr>
        <w:t>3.2</w:t>
      </w:r>
      <w:r w:rsidRPr="004A2F01">
        <w:rPr>
          <w:rFonts w:cs="Arial"/>
          <w:lang w:val="pt-PT"/>
        </w:rPr>
        <w:t xml:space="preserve"> </w:t>
      </w:r>
      <w:r w:rsidRPr="004A2F01">
        <w:rPr>
          <w:rFonts w:cs="Arial"/>
          <w:b/>
          <w:lang w:val="pt-PT"/>
        </w:rPr>
        <w:t>Fármacos Anti-Lepra</w:t>
      </w:r>
    </w:p>
    <w:p w:rsidR="00FC442D" w:rsidRPr="004A2F01" w:rsidRDefault="00FC442D" w:rsidP="00FC442D">
      <w:pPr>
        <w:spacing w:before="120"/>
        <w:jc w:val="both"/>
        <w:rPr>
          <w:rFonts w:cs="Arial"/>
          <w:lang w:val="pt-PT"/>
        </w:rPr>
      </w:pPr>
      <w:r w:rsidRPr="004A2F01">
        <w:rPr>
          <w:rFonts w:cs="Arial"/>
          <w:lang w:val="pt-PT"/>
        </w:rPr>
        <w:t>Os fármacos anti-lepra são usados na forma combinada designada em Moçambique de tratamento com medicamentos associados (TMA). De acordo com o tipo de lepra que o paciente apresenta, o tratamento é feito com 2 ou 3 fármacos.</w:t>
      </w:r>
    </w:p>
    <w:p w:rsidR="00FC442D" w:rsidRPr="004A2F01" w:rsidRDefault="00FC442D" w:rsidP="001B4CDC">
      <w:pPr>
        <w:spacing w:before="120"/>
        <w:ind w:left="360"/>
        <w:jc w:val="both"/>
        <w:rPr>
          <w:rFonts w:cs="Arial"/>
          <w:b/>
          <w:lang w:val="pt-PT"/>
        </w:rPr>
      </w:pPr>
      <w:r w:rsidRPr="00AD66DD">
        <w:rPr>
          <w:rFonts w:cs="Arial"/>
          <w:b/>
          <w:lang w:val="pt-PT"/>
        </w:rPr>
        <w:t>3.2.1</w:t>
      </w:r>
      <w:r w:rsidRPr="004A2F01">
        <w:rPr>
          <w:rFonts w:cs="Arial"/>
          <w:lang w:val="pt-PT"/>
        </w:rPr>
        <w:t xml:space="preserve"> </w:t>
      </w:r>
      <w:r w:rsidRPr="004A2F01">
        <w:rPr>
          <w:rFonts w:cs="Arial"/>
          <w:b/>
          <w:lang w:val="pt-PT"/>
        </w:rPr>
        <w:t>Fármacos usados no tratamento da Lepra</w:t>
      </w:r>
    </w:p>
    <w:p w:rsidR="00FC442D" w:rsidRPr="004A2F01" w:rsidRDefault="00FC442D" w:rsidP="00FC442D">
      <w:pPr>
        <w:spacing w:before="120"/>
        <w:ind w:left="360"/>
        <w:jc w:val="both"/>
        <w:rPr>
          <w:rFonts w:cs="Arial"/>
          <w:lang w:val="pt-PT"/>
        </w:rPr>
      </w:pPr>
      <w:r w:rsidRPr="004A2F01">
        <w:rPr>
          <w:rFonts w:cs="Arial"/>
          <w:lang w:val="pt-PT"/>
        </w:rPr>
        <w:t xml:space="preserve">Nos casos da forma leve de lepra o tratamento é efectuado com Rifampicina e Dapsona durante 6 meses completos. Nos casos da forma severa de lepra o tratamento é com Rifampicina, Dapsona e Clofazimina durante 12 meses completos. O aprofundamento sobre estes medicamentos e sobre a lepra se encontra na disciplina de doenças infecciosas </w:t>
      </w:r>
    </w:p>
    <w:p w:rsidR="00FC442D" w:rsidRPr="004A2F01" w:rsidRDefault="00FC442D" w:rsidP="00C52E09">
      <w:pPr>
        <w:numPr>
          <w:ilvl w:val="0"/>
          <w:numId w:val="194"/>
        </w:numPr>
        <w:spacing w:before="120" w:after="0"/>
        <w:jc w:val="both"/>
        <w:rPr>
          <w:rFonts w:cs="Arial"/>
          <w:lang w:val="pt-PT"/>
        </w:rPr>
      </w:pPr>
      <w:r w:rsidRPr="004A2F01">
        <w:rPr>
          <w:rFonts w:cs="Arial"/>
          <w:b/>
          <w:lang w:val="pt-PT"/>
        </w:rPr>
        <w:t>Rifampicina</w:t>
      </w:r>
      <w:r w:rsidRPr="004A2F01">
        <w:rPr>
          <w:rFonts w:cs="Arial"/>
          <w:lang w:val="pt-PT"/>
        </w:rPr>
        <w:t xml:space="preserve"> – é bactericida e inibe a síntese de acídos nucleicos e proteínas. É o medicamento mais potente anti-lepra. Uma simples dose de 600 mg pode matar quase todas as bactérias no corpo. </w:t>
      </w:r>
    </w:p>
    <w:p w:rsidR="00FC442D" w:rsidRPr="004A2F01" w:rsidRDefault="00FC442D" w:rsidP="00C52E09">
      <w:pPr>
        <w:numPr>
          <w:ilvl w:val="0"/>
          <w:numId w:val="194"/>
        </w:numPr>
        <w:spacing w:before="120" w:after="0"/>
        <w:jc w:val="both"/>
        <w:rPr>
          <w:rFonts w:cs="Arial"/>
          <w:lang w:val="pt-PT"/>
        </w:rPr>
      </w:pPr>
      <w:r w:rsidRPr="004A2F01">
        <w:rPr>
          <w:rFonts w:cs="Arial"/>
          <w:b/>
          <w:lang w:val="pt-PT"/>
        </w:rPr>
        <w:t>Dapsona</w:t>
      </w:r>
      <w:r w:rsidRPr="004A2F01">
        <w:rPr>
          <w:rFonts w:cs="Arial"/>
          <w:lang w:val="pt-PT"/>
        </w:rPr>
        <w:t xml:space="preserve"> – é bacteriostático e inibe a síntese de ácidos nucleicos. Foi o primeiro medicamento usado no tratamento da lepra.</w:t>
      </w:r>
    </w:p>
    <w:p w:rsidR="00FC442D" w:rsidRDefault="00FC442D" w:rsidP="00C52E09">
      <w:pPr>
        <w:numPr>
          <w:ilvl w:val="0"/>
          <w:numId w:val="194"/>
        </w:numPr>
        <w:spacing w:before="120" w:after="0"/>
        <w:jc w:val="both"/>
        <w:rPr>
          <w:rFonts w:cs="Arial"/>
          <w:lang w:val="pt-PT"/>
        </w:rPr>
      </w:pPr>
      <w:r w:rsidRPr="004A2F01">
        <w:rPr>
          <w:rFonts w:cs="Arial"/>
          <w:b/>
          <w:lang w:val="pt-PT"/>
        </w:rPr>
        <w:t>Clofazimina</w:t>
      </w:r>
      <w:r w:rsidRPr="004A2F01">
        <w:rPr>
          <w:rFonts w:cs="Arial"/>
          <w:lang w:val="pt-PT"/>
        </w:rPr>
        <w:t xml:space="preserve"> – é bacteriostático e inibe a síntese de ácidos nucleicos. É a único medicamento anti-lepra com efeito anti-inflamatório.</w:t>
      </w:r>
    </w:p>
    <w:p w:rsidR="00AD66DD" w:rsidRDefault="00AD66DD" w:rsidP="00AD66DD">
      <w:pPr>
        <w:spacing w:before="120" w:after="0"/>
        <w:jc w:val="both"/>
        <w:rPr>
          <w:rFonts w:cs="Arial"/>
          <w:lang w:val="pt-PT"/>
        </w:rPr>
      </w:pPr>
    </w:p>
    <w:p w:rsidR="00AD66DD" w:rsidRDefault="00AD66DD" w:rsidP="00AD66DD">
      <w:pPr>
        <w:spacing w:before="120" w:after="0"/>
        <w:jc w:val="both"/>
        <w:rPr>
          <w:rFonts w:cs="Arial"/>
          <w:lang w:val="pt-PT"/>
        </w:rPr>
      </w:pPr>
    </w:p>
    <w:p w:rsidR="00FC442D" w:rsidRPr="004A2F01" w:rsidRDefault="00BE2C41" w:rsidP="00BE2C41">
      <w:pPr>
        <w:pStyle w:val="TM-1n"/>
        <w:numPr>
          <w:ilvl w:val="0"/>
          <w:numId w:val="0"/>
        </w:numPr>
        <w:shd w:val="clear" w:color="auto" w:fill="C6D9F1"/>
        <w:tabs>
          <w:tab w:val="clear" w:pos="9072"/>
        </w:tabs>
        <w:rPr>
          <w:sz w:val="22"/>
          <w:szCs w:val="22"/>
        </w:rPr>
      </w:pPr>
      <w:r>
        <w:rPr>
          <w:sz w:val="22"/>
          <w:szCs w:val="22"/>
        </w:rPr>
        <w:lastRenderedPageBreak/>
        <w:t xml:space="preserve">BLOCO 4: </w:t>
      </w:r>
      <w:r w:rsidR="00FC442D" w:rsidRPr="004A2F01">
        <w:rPr>
          <w:sz w:val="22"/>
          <w:szCs w:val="22"/>
        </w:rPr>
        <w:t>PONTOS-CHAVE</w:t>
      </w:r>
      <w:r w:rsidR="00FC442D" w:rsidRPr="004A2F01">
        <w:rPr>
          <w:sz w:val="22"/>
          <w:szCs w:val="22"/>
        </w:rPr>
        <w:tab/>
      </w:r>
    </w:p>
    <w:p w:rsidR="001B4CDC" w:rsidRDefault="00FC442D" w:rsidP="00C52E09">
      <w:pPr>
        <w:pStyle w:val="TM-2n"/>
        <w:numPr>
          <w:ilvl w:val="1"/>
          <w:numId w:val="65"/>
        </w:numPr>
        <w:spacing w:before="120" w:after="0" w:line="276" w:lineRule="auto"/>
        <w:ind w:left="450" w:hanging="360"/>
      </w:pPr>
      <w:r w:rsidRPr="004A2F01">
        <w:t>As penicilinas têm actividade sobre muitas bactérias, tanto gram-positivas como gram-negativas. Porém, cada vez mais encontram-se bactérias que desenvolvem resistência as penicilinas</w:t>
      </w:r>
    </w:p>
    <w:p w:rsidR="001B4CDC" w:rsidRDefault="00FC442D" w:rsidP="00C52E09">
      <w:pPr>
        <w:pStyle w:val="TM-2n"/>
        <w:numPr>
          <w:ilvl w:val="1"/>
          <w:numId w:val="65"/>
        </w:numPr>
        <w:spacing w:before="120" w:after="0" w:line="276" w:lineRule="auto"/>
        <w:ind w:left="450" w:hanging="360"/>
      </w:pPr>
      <w:r w:rsidRPr="004A2F01">
        <w:t xml:space="preserve">A ceftriaxona deve ser reservada para </w:t>
      </w:r>
      <w:r w:rsidRPr="001B4CDC">
        <w:rPr>
          <w:lang w:val="pt-BR"/>
        </w:rPr>
        <w:t>situações graves em regime hospitalar, e quando não se disponha de alternativas com melhor relação custo/benefício</w:t>
      </w:r>
    </w:p>
    <w:p w:rsidR="001B4CDC" w:rsidRDefault="00FC442D" w:rsidP="00C52E09">
      <w:pPr>
        <w:pStyle w:val="TM-2n"/>
        <w:numPr>
          <w:ilvl w:val="1"/>
          <w:numId w:val="65"/>
        </w:numPr>
        <w:spacing w:before="120" w:after="0" w:line="276" w:lineRule="auto"/>
        <w:ind w:left="450" w:hanging="360"/>
      </w:pPr>
      <w:r w:rsidRPr="004A2F01">
        <w:t>Os aminoglicosídeos (gentamicina, kanamicina) actuam contra bactérias Gram negativas e usam-se em com</w:t>
      </w:r>
      <w:r w:rsidR="001B4CDC">
        <w:t>binacao com outros antibióticos</w:t>
      </w:r>
      <w:r w:rsidRPr="004A2F01">
        <w:t xml:space="preserve"> </w:t>
      </w:r>
    </w:p>
    <w:p w:rsidR="001B4CDC" w:rsidRDefault="00FC442D" w:rsidP="00C52E09">
      <w:pPr>
        <w:pStyle w:val="TM-2n"/>
        <w:numPr>
          <w:ilvl w:val="1"/>
          <w:numId w:val="65"/>
        </w:numPr>
        <w:spacing w:before="120" w:after="0" w:line="276" w:lineRule="auto"/>
        <w:ind w:left="450" w:hanging="360"/>
      </w:pPr>
      <w:r w:rsidRPr="004A2F01">
        <w:t>Os macrólidos (eritromicina, azitromicina) são uma boa alternativa às penicilinas no c</w:t>
      </w:r>
      <w:r w:rsidR="001B4CDC">
        <w:t>aso de alergias a estas últimas</w:t>
      </w:r>
    </w:p>
    <w:p w:rsidR="001B4CDC" w:rsidRDefault="00FC442D" w:rsidP="00C52E09">
      <w:pPr>
        <w:pStyle w:val="TM-2n"/>
        <w:numPr>
          <w:ilvl w:val="1"/>
          <w:numId w:val="65"/>
        </w:numPr>
        <w:spacing w:before="120" w:after="0" w:line="276" w:lineRule="auto"/>
        <w:ind w:left="450" w:hanging="360"/>
      </w:pPr>
      <w:r w:rsidRPr="004A2F01">
        <w:t>As tetraciclinas estão contra-indicadas em crianças menores de 1</w:t>
      </w:r>
      <w:r w:rsidR="001B4CDC">
        <w:t>2 anos e na gravidez</w:t>
      </w:r>
    </w:p>
    <w:p w:rsidR="001B4CDC" w:rsidRDefault="00FC442D" w:rsidP="00C52E09">
      <w:pPr>
        <w:pStyle w:val="TM-2n"/>
        <w:numPr>
          <w:ilvl w:val="1"/>
          <w:numId w:val="65"/>
        </w:numPr>
        <w:spacing w:before="120" w:after="0" w:line="276" w:lineRule="auto"/>
        <w:ind w:left="450" w:hanging="360"/>
      </w:pPr>
      <w:r w:rsidRPr="004A2F01">
        <w:t xml:space="preserve">O ácido nalidíxico é uma quinolona indicada no tratamento da disenteria por </w:t>
      </w:r>
      <w:r w:rsidRPr="001B4CDC">
        <w:rPr>
          <w:i/>
          <w:lang w:val="pt-BR"/>
        </w:rPr>
        <w:t xml:space="preserve">shigella disenteriae </w:t>
      </w:r>
      <w:r w:rsidRPr="001B4CDC">
        <w:rPr>
          <w:lang w:val="pt-BR"/>
        </w:rPr>
        <w:t>e em infecções urinárias não complicadas</w:t>
      </w:r>
    </w:p>
    <w:p w:rsidR="001B4CDC" w:rsidRDefault="00FC442D" w:rsidP="00C52E09">
      <w:pPr>
        <w:pStyle w:val="TM-2n"/>
        <w:numPr>
          <w:ilvl w:val="1"/>
          <w:numId w:val="65"/>
        </w:numPr>
        <w:spacing w:before="120" w:after="0" w:line="276" w:lineRule="auto"/>
        <w:ind w:left="450" w:hanging="360"/>
      </w:pPr>
      <w:r w:rsidRPr="004A2F01">
        <w:t xml:space="preserve">O co-trimoxazol é a combinação de dois antibióticos: trimetropim (TMP) e sulfametoxazol (SMX). Seu principal efeito secundário tem a ver sobretudo com o componente sulfamídico e inclui a síndrome de Stevens-Jonhson e anemia hemolítica em </w:t>
      </w:r>
      <w:r w:rsidR="001B4CDC">
        <w:t>doentes com deficiência de G6PD</w:t>
      </w:r>
    </w:p>
    <w:p w:rsidR="001B4CDC" w:rsidRDefault="00FC442D" w:rsidP="00C52E09">
      <w:pPr>
        <w:pStyle w:val="TM-2n"/>
        <w:numPr>
          <w:ilvl w:val="1"/>
          <w:numId w:val="65"/>
        </w:numPr>
        <w:spacing w:before="120" w:after="0" w:line="276" w:lineRule="auto"/>
        <w:ind w:left="450" w:hanging="360"/>
      </w:pPr>
      <w:r w:rsidRPr="004A2F01">
        <w:t>O cloranfenicol deve ser reservado para infecções severas e seus efeitos secundários incluem a síndrome do bebé cinzento e as discrasias sanguíneas (dose dependente ou dose independente)</w:t>
      </w:r>
    </w:p>
    <w:p w:rsidR="00BE2C41" w:rsidRDefault="00FC442D" w:rsidP="00C52E09">
      <w:pPr>
        <w:pStyle w:val="TM-2n"/>
        <w:numPr>
          <w:ilvl w:val="1"/>
          <w:numId w:val="65"/>
        </w:numPr>
        <w:spacing w:before="120" w:after="0" w:line="276" w:lineRule="auto"/>
        <w:ind w:left="450" w:hanging="360"/>
      </w:pPr>
      <w:r w:rsidRPr="004A2F01">
        <w:t>O Metronidazol é um anti-bacteriano com actividade contra bactérias anaeróbicas e parasitas. O uso concomitante do metronidazol com o álcool pode desencadear uma reacçãp do tipo “</w:t>
      </w:r>
      <w:r w:rsidRPr="001B4CDC">
        <w:rPr>
          <w:i/>
        </w:rPr>
        <w:t>antabus”</w:t>
      </w:r>
      <w:r w:rsidRPr="004A2F01">
        <w:t>.</w:t>
      </w:r>
    </w:p>
    <w:p w:rsidR="00BE2C41" w:rsidRDefault="00BE2C41">
      <w:pPr>
        <w:rPr>
          <w:rFonts w:eastAsia="Times New Roman" w:cs="Arial"/>
          <w:szCs w:val="20"/>
          <w:lang w:val="pt-PT" w:eastAsia="es-ES"/>
        </w:rPr>
      </w:pPr>
      <w:r w:rsidRPr="00850CFC">
        <w:rPr>
          <w:lang w:val="pt-PT"/>
        </w:rPr>
        <w:br w:type="page"/>
      </w:r>
    </w:p>
    <w:p w:rsidR="00FC442D" w:rsidRPr="004A2F01" w:rsidRDefault="00FC442D" w:rsidP="00FC442D">
      <w:pPr>
        <w:pStyle w:val="TM-2n"/>
        <w:numPr>
          <w:ilvl w:val="0"/>
          <w:numId w:val="0"/>
        </w:numPr>
        <w:spacing w:before="120" w:after="0" w:line="276" w:lineRule="auto"/>
        <w:ind w:left="284" w:hanging="284"/>
      </w:pPr>
    </w:p>
    <w:tbl>
      <w:tblPr>
        <w:tblW w:w="10150" w:type="dxa"/>
        <w:tblLayout w:type="fixed"/>
        <w:tblCellMar>
          <w:left w:w="70" w:type="dxa"/>
          <w:right w:w="70" w:type="dxa"/>
        </w:tblCellMar>
        <w:tblLook w:val="0020" w:firstRow="1" w:lastRow="0" w:firstColumn="0" w:lastColumn="0" w:noHBand="0" w:noVBand="0"/>
      </w:tblPr>
      <w:tblGrid>
        <w:gridCol w:w="1418"/>
        <w:gridCol w:w="5312"/>
        <w:gridCol w:w="1710"/>
        <w:gridCol w:w="1710"/>
      </w:tblGrid>
      <w:tr w:rsidR="006E6CB9" w:rsidRPr="00084EA9" w:rsidTr="006E6CB9">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6E6CB9" w:rsidRPr="00084EA9" w:rsidRDefault="006E6CB9" w:rsidP="006E6CB9">
            <w:pPr>
              <w:spacing w:line="240" w:lineRule="auto"/>
              <w:rPr>
                <w:rFonts w:eastAsia="Calibri" w:cs="Arial"/>
                <w:b/>
              </w:rPr>
            </w:pPr>
            <w:r w:rsidRPr="00084EA9">
              <w:rPr>
                <w:rFonts w:eastAsia="Calibri" w:cs="Arial"/>
                <w:b/>
              </w:rPr>
              <w:t>Disciplina</w:t>
            </w:r>
          </w:p>
        </w:tc>
        <w:tc>
          <w:tcPr>
            <w:tcW w:w="5312" w:type="dxa"/>
            <w:tcBorders>
              <w:top w:val="single" w:sz="6" w:space="0" w:color="000000"/>
              <w:left w:val="single" w:sz="6" w:space="0" w:color="000000"/>
              <w:bottom w:val="single" w:sz="6" w:space="0" w:color="000000"/>
              <w:right w:val="single" w:sz="6" w:space="0" w:color="000000"/>
            </w:tcBorders>
            <w:vAlign w:val="center"/>
          </w:tcPr>
          <w:p w:rsidR="006E6CB9" w:rsidRPr="00084EA9" w:rsidRDefault="006E6CB9" w:rsidP="006E6CB9">
            <w:pPr>
              <w:spacing w:line="240" w:lineRule="auto"/>
              <w:rPr>
                <w:rFonts w:eastAsia="Calibri" w:cs="Arial"/>
              </w:rPr>
            </w:pPr>
            <w:r w:rsidRPr="00084EA9">
              <w:rPr>
                <w:rFonts w:eastAsia="Calibri" w:cs="Arial"/>
              </w:rPr>
              <w:t>Introdução às Ciências Médicas</w:t>
            </w:r>
          </w:p>
        </w:tc>
        <w:tc>
          <w:tcPr>
            <w:tcW w:w="1710" w:type="dxa"/>
            <w:tcBorders>
              <w:top w:val="single" w:sz="6" w:space="0" w:color="000000"/>
              <w:left w:val="single" w:sz="6" w:space="0" w:color="000000"/>
              <w:bottom w:val="single" w:sz="6" w:space="0" w:color="000000"/>
              <w:right w:val="single" w:sz="6" w:space="0" w:color="000000"/>
            </w:tcBorders>
            <w:vAlign w:val="center"/>
          </w:tcPr>
          <w:p w:rsidR="006E6CB9" w:rsidRPr="00084EA9" w:rsidRDefault="006E6CB9" w:rsidP="006E6CB9">
            <w:pPr>
              <w:spacing w:line="240" w:lineRule="auto"/>
              <w:rPr>
                <w:rFonts w:eastAsia="Calibri" w:cs="Arial"/>
                <w:b/>
              </w:rPr>
            </w:pPr>
            <w:r w:rsidRPr="00084EA9">
              <w:rPr>
                <w:rFonts w:eastAsia="Calibri" w:cs="Arial"/>
                <w:b/>
              </w:rPr>
              <w:t xml:space="preserve">N° da Aula </w:t>
            </w:r>
          </w:p>
        </w:tc>
        <w:tc>
          <w:tcPr>
            <w:tcW w:w="1710" w:type="dxa"/>
            <w:tcBorders>
              <w:top w:val="single" w:sz="6" w:space="0" w:color="000000"/>
              <w:left w:val="single" w:sz="6" w:space="0" w:color="000000"/>
              <w:bottom w:val="single" w:sz="6" w:space="0" w:color="000000"/>
              <w:right w:val="single" w:sz="6" w:space="0" w:color="000000"/>
            </w:tcBorders>
            <w:vAlign w:val="center"/>
          </w:tcPr>
          <w:p w:rsidR="006E6CB9" w:rsidRPr="00084EA9" w:rsidRDefault="006E6CB9" w:rsidP="006E6CB9">
            <w:pPr>
              <w:spacing w:line="240" w:lineRule="auto"/>
              <w:jc w:val="center"/>
              <w:rPr>
                <w:rFonts w:eastAsia="Calibri" w:cs="Arial"/>
              </w:rPr>
            </w:pPr>
            <w:r w:rsidRPr="00084EA9">
              <w:rPr>
                <w:rFonts w:eastAsia="Calibri" w:cs="Arial"/>
              </w:rPr>
              <w:t>20</w:t>
            </w:r>
          </w:p>
        </w:tc>
      </w:tr>
      <w:tr w:rsidR="006E6CB9" w:rsidRPr="00084EA9" w:rsidTr="006E6CB9">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6E6CB9" w:rsidRPr="00084EA9" w:rsidRDefault="006E6CB9" w:rsidP="006E6CB9">
            <w:pPr>
              <w:spacing w:line="240" w:lineRule="auto"/>
              <w:rPr>
                <w:rFonts w:eastAsia="Calibri" w:cs="Arial"/>
                <w:b/>
              </w:rPr>
            </w:pPr>
            <w:r w:rsidRPr="00084EA9">
              <w:rPr>
                <w:rFonts w:eastAsia="Calibri" w:cs="Arial"/>
                <w:b/>
              </w:rPr>
              <w:t>Tópico</w:t>
            </w:r>
          </w:p>
        </w:tc>
        <w:tc>
          <w:tcPr>
            <w:tcW w:w="5312" w:type="dxa"/>
            <w:tcBorders>
              <w:top w:val="single" w:sz="6" w:space="0" w:color="000000"/>
              <w:left w:val="single" w:sz="6" w:space="0" w:color="000000"/>
              <w:bottom w:val="single" w:sz="6" w:space="0" w:color="000000"/>
              <w:right w:val="single" w:sz="6" w:space="0" w:color="000000"/>
            </w:tcBorders>
            <w:vAlign w:val="center"/>
          </w:tcPr>
          <w:p w:rsidR="006E6CB9" w:rsidRPr="00084EA9" w:rsidRDefault="006E6CB9" w:rsidP="006E6CB9">
            <w:pPr>
              <w:spacing w:line="240" w:lineRule="auto"/>
              <w:rPr>
                <w:rFonts w:eastAsia="Calibri" w:cs="Arial"/>
              </w:rPr>
            </w:pPr>
            <w:r w:rsidRPr="00084EA9">
              <w:rPr>
                <w:rFonts w:eastAsia="Calibri" w:cs="Arial"/>
              </w:rPr>
              <w:t>Farmacologia</w:t>
            </w:r>
          </w:p>
        </w:tc>
        <w:tc>
          <w:tcPr>
            <w:tcW w:w="1710" w:type="dxa"/>
            <w:tcBorders>
              <w:top w:val="single" w:sz="6" w:space="0" w:color="000000"/>
              <w:left w:val="single" w:sz="6" w:space="0" w:color="000000"/>
              <w:bottom w:val="single" w:sz="6" w:space="0" w:color="000000"/>
              <w:right w:val="single" w:sz="6" w:space="0" w:color="000000"/>
            </w:tcBorders>
            <w:vAlign w:val="center"/>
          </w:tcPr>
          <w:p w:rsidR="006E6CB9" w:rsidRPr="00084EA9" w:rsidRDefault="006E6CB9" w:rsidP="006E6CB9">
            <w:pPr>
              <w:spacing w:line="240" w:lineRule="auto"/>
              <w:rPr>
                <w:rFonts w:eastAsia="Calibri" w:cs="Arial"/>
                <w:b/>
              </w:rPr>
            </w:pPr>
            <w:r w:rsidRPr="00084EA9">
              <w:rPr>
                <w:rFonts w:eastAsia="Calibri" w:cs="Arial"/>
                <w:b/>
              </w:rPr>
              <w:t xml:space="preserve">Tipo </w:t>
            </w:r>
          </w:p>
        </w:tc>
        <w:tc>
          <w:tcPr>
            <w:tcW w:w="1710" w:type="dxa"/>
            <w:tcBorders>
              <w:top w:val="single" w:sz="6" w:space="0" w:color="000000"/>
              <w:left w:val="single" w:sz="6" w:space="0" w:color="000000"/>
              <w:bottom w:val="single" w:sz="6" w:space="0" w:color="000000"/>
              <w:right w:val="single" w:sz="6" w:space="0" w:color="000000"/>
            </w:tcBorders>
            <w:vAlign w:val="center"/>
          </w:tcPr>
          <w:p w:rsidR="006E6CB9" w:rsidRPr="00084EA9" w:rsidRDefault="006E6CB9" w:rsidP="006E6CB9">
            <w:pPr>
              <w:spacing w:line="240" w:lineRule="auto"/>
              <w:jc w:val="center"/>
              <w:rPr>
                <w:rFonts w:eastAsia="Calibri" w:cs="Arial"/>
              </w:rPr>
            </w:pPr>
            <w:r w:rsidRPr="00084EA9">
              <w:rPr>
                <w:rFonts w:eastAsia="Calibri" w:cs="Arial"/>
              </w:rPr>
              <w:t>Teórica</w:t>
            </w:r>
          </w:p>
        </w:tc>
      </w:tr>
      <w:tr w:rsidR="006E6CB9" w:rsidRPr="00084EA9" w:rsidTr="006E6CB9">
        <w:trPr>
          <w:cantSplit/>
          <w:trHeight w:val="414"/>
        </w:trPr>
        <w:tc>
          <w:tcPr>
            <w:tcW w:w="1418" w:type="dxa"/>
            <w:tcBorders>
              <w:top w:val="single" w:sz="6" w:space="0" w:color="000000"/>
              <w:left w:val="single" w:sz="6" w:space="0" w:color="000000"/>
              <w:bottom w:val="single" w:sz="6" w:space="0" w:color="000000"/>
              <w:right w:val="single" w:sz="6" w:space="0" w:color="000000"/>
            </w:tcBorders>
            <w:vAlign w:val="center"/>
          </w:tcPr>
          <w:p w:rsidR="006E6CB9" w:rsidRPr="00084EA9" w:rsidRDefault="006E6CB9" w:rsidP="00BE2C41">
            <w:pPr>
              <w:spacing w:after="0" w:line="240" w:lineRule="auto"/>
              <w:rPr>
                <w:rFonts w:eastAsia="Calibri" w:cs="Arial"/>
                <w:b/>
              </w:rPr>
            </w:pPr>
            <w:r w:rsidRPr="00084EA9">
              <w:rPr>
                <w:rFonts w:eastAsia="Calibri" w:cs="Arial"/>
                <w:b/>
              </w:rPr>
              <w:t>Conteúdos</w:t>
            </w:r>
          </w:p>
        </w:tc>
        <w:tc>
          <w:tcPr>
            <w:tcW w:w="5312" w:type="dxa"/>
            <w:tcBorders>
              <w:top w:val="single" w:sz="6" w:space="0" w:color="000000"/>
              <w:left w:val="single" w:sz="6" w:space="0" w:color="000000"/>
              <w:bottom w:val="single" w:sz="6" w:space="0" w:color="000000"/>
              <w:right w:val="single" w:sz="6" w:space="0" w:color="000000"/>
            </w:tcBorders>
            <w:vAlign w:val="center"/>
          </w:tcPr>
          <w:p w:rsidR="006E6CB9" w:rsidRPr="00BE2C41" w:rsidRDefault="006E6CB9" w:rsidP="00BE2C41">
            <w:pPr>
              <w:spacing w:after="0" w:line="240" w:lineRule="auto"/>
              <w:rPr>
                <w:rFonts w:eastAsia="Calibri" w:cs="Arial"/>
                <w:lang w:val="pt-BR"/>
              </w:rPr>
            </w:pPr>
            <w:bookmarkStart w:id="25" w:name="_Toc329099768"/>
            <w:r w:rsidRPr="00BE2C41">
              <w:rPr>
                <w:rStyle w:val="Heading1Char"/>
                <w:b w:val="0"/>
                <w:sz w:val="22"/>
                <w:szCs w:val="22"/>
                <w:lang w:val="pt-BR"/>
              </w:rPr>
              <w:t>Farmacologia Especial de Sistemas</w:t>
            </w:r>
            <w:bookmarkEnd w:id="25"/>
            <w:r w:rsidRPr="00BE2C41">
              <w:rPr>
                <w:rFonts w:eastAsia="Calibri" w:cs="Arial"/>
                <w:lang w:val="pt-BR"/>
              </w:rPr>
              <w:t xml:space="preserve"> 3:</w:t>
            </w:r>
          </w:p>
          <w:p w:rsidR="006E6CB9" w:rsidRPr="00BE2C41" w:rsidRDefault="006E6CB9" w:rsidP="00BE2C41">
            <w:pPr>
              <w:spacing w:after="0" w:line="240" w:lineRule="auto"/>
              <w:rPr>
                <w:rFonts w:eastAsia="Calibri" w:cs="Arial"/>
                <w:lang w:val="pt-BR"/>
              </w:rPr>
            </w:pPr>
            <w:r w:rsidRPr="00BE2C41">
              <w:rPr>
                <w:rFonts w:eastAsia="Calibri" w:cs="Arial"/>
                <w:lang w:val="pt-BR"/>
              </w:rPr>
              <w:t>- Anti-parasitários</w:t>
            </w:r>
          </w:p>
          <w:p w:rsidR="006E6CB9" w:rsidRPr="00BE2C41" w:rsidRDefault="006E6CB9" w:rsidP="00BE2C41">
            <w:pPr>
              <w:spacing w:after="0" w:line="240" w:lineRule="auto"/>
              <w:rPr>
                <w:rFonts w:eastAsia="Calibri" w:cs="Arial"/>
              </w:rPr>
            </w:pPr>
            <w:r w:rsidRPr="00BE2C41">
              <w:rPr>
                <w:rFonts w:eastAsia="Calibri" w:cs="Arial"/>
              </w:rPr>
              <w:t>- Anti-fúngicos</w:t>
            </w:r>
          </w:p>
          <w:p w:rsidR="006E6CB9" w:rsidRPr="00BE2C41" w:rsidRDefault="006E6CB9" w:rsidP="00BE2C41">
            <w:pPr>
              <w:spacing w:after="0" w:line="240" w:lineRule="auto"/>
              <w:rPr>
                <w:rFonts w:eastAsia="Calibri" w:cs="Arial"/>
              </w:rPr>
            </w:pPr>
            <w:r w:rsidRPr="00BE2C41">
              <w:rPr>
                <w:rFonts w:eastAsia="Calibri" w:cs="Arial"/>
              </w:rPr>
              <w:t>- Anti-virais</w:t>
            </w:r>
          </w:p>
        </w:tc>
        <w:tc>
          <w:tcPr>
            <w:tcW w:w="1710" w:type="dxa"/>
            <w:tcBorders>
              <w:top w:val="single" w:sz="6" w:space="0" w:color="000000"/>
              <w:left w:val="single" w:sz="6" w:space="0" w:color="000000"/>
              <w:bottom w:val="single" w:sz="6" w:space="0" w:color="000000"/>
              <w:right w:val="single" w:sz="6" w:space="0" w:color="000000"/>
            </w:tcBorders>
            <w:vAlign w:val="center"/>
          </w:tcPr>
          <w:p w:rsidR="006E6CB9" w:rsidRPr="00084EA9" w:rsidRDefault="006E6CB9" w:rsidP="00BE2C41">
            <w:pPr>
              <w:spacing w:after="0" w:line="240" w:lineRule="auto"/>
              <w:rPr>
                <w:rFonts w:eastAsia="Calibri" w:cs="Arial"/>
                <w:b/>
              </w:rPr>
            </w:pPr>
            <w:r w:rsidRPr="00084EA9">
              <w:rPr>
                <w:rFonts w:eastAsia="Calibri" w:cs="Arial"/>
                <w:b/>
              </w:rPr>
              <w:t>Duração</w:t>
            </w:r>
          </w:p>
        </w:tc>
        <w:tc>
          <w:tcPr>
            <w:tcW w:w="1710" w:type="dxa"/>
            <w:tcBorders>
              <w:top w:val="single" w:sz="6" w:space="0" w:color="000000"/>
              <w:left w:val="single" w:sz="6" w:space="0" w:color="000000"/>
              <w:bottom w:val="single" w:sz="6" w:space="0" w:color="000000"/>
              <w:right w:val="single" w:sz="6" w:space="0" w:color="000000"/>
            </w:tcBorders>
            <w:vAlign w:val="center"/>
          </w:tcPr>
          <w:p w:rsidR="006E6CB9" w:rsidRPr="00084EA9" w:rsidRDefault="006E6CB9" w:rsidP="00BE2C41">
            <w:pPr>
              <w:spacing w:after="0" w:line="240" w:lineRule="auto"/>
              <w:jc w:val="center"/>
              <w:rPr>
                <w:rFonts w:eastAsia="Calibri" w:cs="Arial"/>
              </w:rPr>
            </w:pPr>
            <w:r w:rsidRPr="00084EA9">
              <w:rPr>
                <w:rFonts w:eastAsia="Calibri" w:cs="Arial"/>
              </w:rPr>
              <w:t>2 h</w:t>
            </w:r>
          </w:p>
        </w:tc>
      </w:tr>
    </w:tbl>
    <w:p w:rsidR="006E6CB9" w:rsidRPr="00084EA9" w:rsidRDefault="006E6CB9" w:rsidP="007701A8">
      <w:pPr>
        <w:spacing w:before="240" w:after="0"/>
        <w:outlineLvl w:val="0"/>
        <w:rPr>
          <w:rFonts w:cs="Arial"/>
          <w:b/>
          <w:bCs/>
        </w:rPr>
      </w:pPr>
    </w:p>
    <w:p w:rsidR="006E6CB9" w:rsidRPr="0052785B" w:rsidRDefault="006E6CB9" w:rsidP="0052785B">
      <w:pPr>
        <w:rPr>
          <w:b/>
        </w:rPr>
      </w:pPr>
      <w:r w:rsidRPr="0052785B">
        <w:rPr>
          <w:b/>
        </w:rPr>
        <w:t>Objectivos de Aprendizagem:</w:t>
      </w:r>
    </w:p>
    <w:p w:rsidR="006E6CB9" w:rsidRPr="006E6CB9" w:rsidRDefault="006E6CB9" w:rsidP="006E6CB9">
      <w:pPr>
        <w:rPr>
          <w:rFonts w:cs="Arial"/>
          <w:lang w:val="pt-BR"/>
        </w:rPr>
      </w:pPr>
      <w:r w:rsidRPr="006E6CB9">
        <w:rPr>
          <w:rFonts w:cs="Arial"/>
          <w:lang w:val="pt-BR"/>
        </w:rPr>
        <w:t>Até ao fim da aula os alunos devem ser capazes de:</w:t>
      </w:r>
    </w:p>
    <w:p w:rsidR="006E6CB9" w:rsidRPr="006E6CB9" w:rsidRDefault="007701A8" w:rsidP="007701A8">
      <w:pPr>
        <w:spacing w:after="0"/>
        <w:ind w:left="360"/>
        <w:jc w:val="both"/>
        <w:rPr>
          <w:rFonts w:cs="Arial"/>
          <w:lang w:val="pt-BR"/>
        </w:rPr>
      </w:pPr>
      <w:r>
        <w:rPr>
          <w:rFonts w:cs="Arial"/>
          <w:lang w:val="pt-BR"/>
        </w:rPr>
        <w:t xml:space="preserve">Sobre </w:t>
      </w:r>
      <w:r w:rsidR="006E6CB9" w:rsidRPr="006E6CB9">
        <w:rPr>
          <w:rFonts w:cs="Arial"/>
          <w:lang w:val="pt-BR"/>
        </w:rPr>
        <w:t>o conteúdo “Fármacos Anti-Parasitários”:</w:t>
      </w:r>
    </w:p>
    <w:p w:rsidR="006E6CB9" w:rsidRDefault="006E6CB9" w:rsidP="00C52E09">
      <w:pPr>
        <w:numPr>
          <w:ilvl w:val="0"/>
          <w:numId w:val="203"/>
        </w:numPr>
        <w:spacing w:after="0"/>
        <w:jc w:val="both"/>
        <w:rPr>
          <w:rFonts w:cs="Arial"/>
          <w:lang w:val="pt-BR"/>
        </w:rPr>
      </w:pPr>
      <w:r w:rsidRPr="006E6CB9">
        <w:rPr>
          <w:rFonts w:cs="Arial"/>
          <w:lang w:val="pt-BR"/>
        </w:rPr>
        <w:t xml:space="preserve">Identificar e descrever os principais tipos de anti-parasitários baseados nos seguintes itens: mecanismo de acção, forma farmacêutica, vias de administração, indicações, contra-indicações, precauções,  efeitos secundários, interacções e dose e dosagem. </w:t>
      </w:r>
    </w:p>
    <w:p w:rsidR="001B4CDC" w:rsidRPr="006E6CB9" w:rsidRDefault="001B4CDC" w:rsidP="001B4CDC">
      <w:pPr>
        <w:spacing w:after="0"/>
        <w:ind w:left="1080"/>
        <w:jc w:val="both"/>
        <w:rPr>
          <w:rFonts w:cs="Arial"/>
          <w:lang w:val="pt-BR"/>
        </w:rPr>
      </w:pPr>
    </w:p>
    <w:p w:rsidR="006E6CB9" w:rsidRPr="006E6CB9" w:rsidRDefault="007701A8" w:rsidP="007701A8">
      <w:pPr>
        <w:spacing w:after="0"/>
        <w:ind w:left="360"/>
        <w:jc w:val="both"/>
        <w:rPr>
          <w:rFonts w:cs="Arial"/>
          <w:lang w:val="pt-BR"/>
        </w:rPr>
      </w:pPr>
      <w:r>
        <w:rPr>
          <w:rFonts w:cs="Arial"/>
          <w:lang w:val="pt-BR"/>
        </w:rPr>
        <w:t xml:space="preserve">Sobre </w:t>
      </w:r>
      <w:r w:rsidR="006E6CB9" w:rsidRPr="006E6CB9">
        <w:rPr>
          <w:rFonts w:cs="Arial"/>
          <w:lang w:val="pt-BR"/>
        </w:rPr>
        <w:t>o conteúdo “Fármacos Anti-Fúngicos e Anti-Virais:</w:t>
      </w:r>
    </w:p>
    <w:p w:rsidR="006E6CB9" w:rsidRPr="006E6CB9" w:rsidRDefault="006E6CB9" w:rsidP="00C52E09">
      <w:pPr>
        <w:numPr>
          <w:ilvl w:val="0"/>
          <w:numId w:val="204"/>
        </w:numPr>
        <w:spacing w:after="0" w:line="240" w:lineRule="auto"/>
        <w:jc w:val="both"/>
        <w:rPr>
          <w:rFonts w:cs="Arial"/>
          <w:lang w:val="pt-BR"/>
        </w:rPr>
      </w:pPr>
      <w:r w:rsidRPr="006E6CB9">
        <w:rPr>
          <w:rFonts w:cs="Arial"/>
          <w:lang w:val="pt-BR"/>
        </w:rPr>
        <w:t>Identificar e descrever os principais tipos de anti-fúngicos e anti-virais baseados nos seguintes itens: mecanismo de acção, forma farmacêutica, vias de administração, indicações, contra-indicações, precauções,  efeitos secundários, interacções e dose e dosagem</w:t>
      </w:r>
    </w:p>
    <w:p w:rsidR="006E6CB9" w:rsidRPr="006E6CB9" w:rsidRDefault="006E6CB9" w:rsidP="006E6CB9">
      <w:pPr>
        <w:tabs>
          <w:tab w:val="left" w:pos="244"/>
        </w:tabs>
        <w:rPr>
          <w:rFonts w:cs="Arial"/>
          <w:lang w:val="pt-BR"/>
        </w:rPr>
      </w:pPr>
    </w:p>
    <w:p w:rsidR="006E6CB9" w:rsidRPr="0052785B" w:rsidRDefault="006E6CB9" w:rsidP="0052785B">
      <w:pPr>
        <w:rPr>
          <w:b/>
        </w:rPr>
      </w:pPr>
      <w:r w:rsidRPr="0052785B">
        <w:rPr>
          <w:b/>
        </w:rPr>
        <w:t>Estrutura da Aula</w:t>
      </w:r>
    </w:p>
    <w:tbl>
      <w:tblPr>
        <w:tblW w:w="10188" w:type="dxa"/>
        <w:tblBorders>
          <w:top w:val="single" w:sz="18" w:space="0" w:color="auto"/>
          <w:bottom w:val="single" w:sz="18" w:space="0" w:color="auto"/>
        </w:tblBorders>
        <w:tblLayout w:type="fixed"/>
        <w:tblLook w:val="0400" w:firstRow="0" w:lastRow="0" w:firstColumn="0" w:lastColumn="0" w:noHBand="0" w:noVBand="1"/>
      </w:tblPr>
      <w:tblGrid>
        <w:gridCol w:w="738"/>
        <w:gridCol w:w="3690"/>
        <w:gridCol w:w="4140"/>
        <w:gridCol w:w="1620"/>
      </w:tblGrid>
      <w:tr w:rsidR="006E6CB9" w:rsidRPr="00084EA9" w:rsidTr="006E6CB9">
        <w:trPr>
          <w:trHeight w:val="432"/>
        </w:trPr>
        <w:tc>
          <w:tcPr>
            <w:tcW w:w="738" w:type="dxa"/>
            <w:tcBorders>
              <w:top w:val="single" w:sz="18" w:space="0" w:color="auto"/>
              <w:bottom w:val="single" w:sz="18" w:space="0" w:color="auto"/>
              <w:right w:val="single" w:sz="4" w:space="0" w:color="auto"/>
            </w:tcBorders>
            <w:shd w:val="clear" w:color="auto" w:fill="B8CCE4"/>
          </w:tcPr>
          <w:p w:rsidR="006E6CB9" w:rsidRPr="00084EA9" w:rsidRDefault="006E6CB9" w:rsidP="007701A8">
            <w:pPr>
              <w:spacing w:before="60" w:line="480" w:lineRule="auto"/>
              <w:ind w:left="-110" w:right="-108"/>
              <w:jc w:val="center"/>
              <w:rPr>
                <w:rFonts w:cs="Arial"/>
                <w:b/>
              </w:rPr>
            </w:pPr>
            <w:r w:rsidRPr="00084EA9">
              <w:rPr>
                <w:rFonts w:cs="Arial"/>
                <w:b/>
              </w:rPr>
              <w:t>Bloco</w:t>
            </w:r>
          </w:p>
        </w:tc>
        <w:tc>
          <w:tcPr>
            <w:tcW w:w="3690" w:type="dxa"/>
            <w:tcBorders>
              <w:top w:val="single" w:sz="18" w:space="0" w:color="auto"/>
              <w:left w:val="single" w:sz="4" w:space="0" w:color="auto"/>
              <w:bottom w:val="single" w:sz="18" w:space="0" w:color="auto"/>
              <w:right w:val="single" w:sz="4" w:space="0" w:color="auto"/>
            </w:tcBorders>
            <w:shd w:val="clear" w:color="auto" w:fill="B8CCE4"/>
          </w:tcPr>
          <w:p w:rsidR="006E6CB9" w:rsidRPr="00084EA9" w:rsidRDefault="006E6CB9" w:rsidP="007701A8">
            <w:pPr>
              <w:spacing w:before="60" w:line="480" w:lineRule="auto"/>
              <w:jc w:val="center"/>
              <w:rPr>
                <w:rFonts w:cs="Arial"/>
                <w:b/>
              </w:rPr>
            </w:pPr>
            <w:r w:rsidRPr="00084EA9">
              <w:rPr>
                <w:rFonts w:cs="Arial"/>
                <w:b/>
              </w:rPr>
              <w:t>Título do Bloco</w:t>
            </w:r>
          </w:p>
        </w:tc>
        <w:tc>
          <w:tcPr>
            <w:tcW w:w="4140" w:type="dxa"/>
            <w:tcBorders>
              <w:top w:val="single" w:sz="18" w:space="0" w:color="auto"/>
              <w:left w:val="single" w:sz="4" w:space="0" w:color="auto"/>
              <w:bottom w:val="single" w:sz="18" w:space="0" w:color="auto"/>
              <w:right w:val="single" w:sz="4" w:space="0" w:color="auto"/>
            </w:tcBorders>
            <w:shd w:val="clear" w:color="auto" w:fill="B8CCE4"/>
          </w:tcPr>
          <w:p w:rsidR="006E6CB9" w:rsidRPr="00084EA9" w:rsidRDefault="006E6CB9" w:rsidP="007701A8">
            <w:pPr>
              <w:tabs>
                <w:tab w:val="left" w:pos="244"/>
              </w:tabs>
              <w:spacing w:before="60" w:line="480" w:lineRule="auto"/>
              <w:jc w:val="center"/>
              <w:rPr>
                <w:rFonts w:cs="Arial"/>
                <w:b/>
              </w:rPr>
            </w:pPr>
            <w:r w:rsidRPr="00084EA9">
              <w:rPr>
                <w:rFonts w:cs="Arial"/>
                <w:b/>
              </w:rPr>
              <w:t>Método de Ensino</w:t>
            </w:r>
          </w:p>
        </w:tc>
        <w:tc>
          <w:tcPr>
            <w:tcW w:w="1620" w:type="dxa"/>
            <w:tcBorders>
              <w:top w:val="single" w:sz="18" w:space="0" w:color="auto"/>
              <w:left w:val="single" w:sz="4" w:space="0" w:color="auto"/>
              <w:bottom w:val="single" w:sz="18" w:space="0" w:color="auto"/>
            </w:tcBorders>
            <w:shd w:val="clear" w:color="auto" w:fill="B8CCE4"/>
          </w:tcPr>
          <w:p w:rsidR="006E6CB9" w:rsidRPr="00084EA9" w:rsidRDefault="006E6CB9" w:rsidP="007701A8">
            <w:pPr>
              <w:tabs>
                <w:tab w:val="left" w:pos="244"/>
              </w:tabs>
              <w:spacing w:before="60" w:line="480" w:lineRule="auto"/>
              <w:jc w:val="center"/>
              <w:rPr>
                <w:rFonts w:cs="Arial"/>
                <w:b/>
              </w:rPr>
            </w:pPr>
            <w:r w:rsidRPr="00084EA9">
              <w:rPr>
                <w:rFonts w:cs="Arial"/>
                <w:b/>
              </w:rPr>
              <w:t>Duração</w:t>
            </w:r>
          </w:p>
        </w:tc>
      </w:tr>
      <w:tr w:rsidR="006E6CB9" w:rsidRPr="00084EA9" w:rsidTr="006E6CB9">
        <w:tc>
          <w:tcPr>
            <w:tcW w:w="738" w:type="dxa"/>
            <w:tcBorders>
              <w:top w:val="single" w:sz="18" w:space="0" w:color="auto"/>
              <w:bottom w:val="single" w:sz="4" w:space="0" w:color="auto"/>
              <w:right w:val="single" w:sz="4" w:space="0" w:color="auto"/>
            </w:tcBorders>
          </w:tcPr>
          <w:p w:rsidR="006E6CB9" w:rsidRPr="00084EA9" w:rsidRDefault="006E6CB9" w:rsidP="007701A8">
            <w:pPr>
              <w:spacing w:before="60" w:after="60" w:line="480" w:lineRule="auto"/>
              <w:ind w:left="-110" w:right="-108"/>
              <w:jc w:val="center"/>
              <w:rPr>
                <w:rFonts w:cs="Arial"/>
              </w:rPr>
            </w:pPr>
            <w:r w:rsidRPr="00084EA9">
              <w:rPr>
                <w:rFonts w:cs="Arial"/>
              </w:rPr>
              <w:t>1</w:t>
            </w:r>
          </w:p>
        </w:tc>
        <w:tc>
          <w:tcPr>
            <w:tcW w:w="3690" w:type="dxa"/>
            <w:tcBorders>
              <w:top w:val="single" w:sz="18" w:space="0" w:color="auto"/>
              <w:left w:val="single" w:sz="4" w:space="0" w:color="auto"/>
              <w:bottom w:val="single" w:sz="4" w:space="0" w:color="auto"/>
              <w:right w:val="single" w:sz="4" w:space="0" w:color="auto"/>
            </w:tcBorders>
          </w:tcPr>
          <w:p w:rsidR="006E6CB9" w:rsidRPr="00084EA9" w:rsidRDefault="006E6CB9" w:rsidP="007701A8">
            <w:pPr>
              <w:tabs>
                <w:tab w:val="left" w:pos="244"/>
              </w:tabs>
              <w:spacing w:before="60" w:after="60" w:line="480" w:lineRule="auto"/>
              <w:rPr>
                <w:rFonts w:cs="Arial"/>
              </w:rPr>
            </w:pPr>
            <w:r w:rsidRPr="00084EA9">
              <w:rPr>
                <w:rFonts w:cs="Arial"/>
              </w:rPr>
              <w:t>Introdução à Aula</w:t>
            </w:r>
          </w:p>
        </w:tc>
        <w:tc>
          <w:tcPr>
            <w:tcW w:w="4140" w:type="dxa"/>
            <w:tcBorders>
              <w:top w:val="single" w:sz="18" w:space="0" w:color="auto"/>
              <w:left w:val="single" w:sz="4" w:space="0" w:color="auto"/>
              <w:bottom w:val="single" w:sz="4" w:space="0" w:color="auto"/>
              <w:right w:val="single" w:sz="4" w:space="0" w:color="auto"/>
            </w:tcBorders>
          </w:tcPr>
          <w:p w:rsidR="006E6CB9" w:rsidRPr="00084EA9" w:rsidRDefault="006E6CB9" w:rsidP="007701A8">
            <w:pPr>
              <w:tabs>
                <w:tab w:val="left" w:pos="244"/>
              </w:tabs>
              <w:spacing w:before="60" w:after="60" w:line="480" w:lineRule="auto"/>
              <w:rPr>
                <w:rFonts w:cs="Arial"/>
              </w:rPr>
            </w:pPr>
          </w:p>
        </w:tc>
        <w:tc>
          <w:tcPr>
            <w:tcW w:w="1620" w:type="dxa"/>
            <w:tcBorders>
              <w:top w:val="single" w:sz="18" w:space="0" w:color="auto"/>
              <w:left w:val="single" w:sz="4" w:space="0" w:color="auto"/>
              <w:bottom w:val="single" w:sz="4" w:space="0" w:color="auto"/>
            </w:tcBorders>
          </w:tcPr>
          <w:p w:rsidR="006E6CB9" w:rsidRPr="00084EA9" w:rsidRDefault="006E6CB9" w:rsidP="007701A8">
            <w:pPr>
              <w:tabs>
                <w:tab w:val="left" w:pos="244"/>
              </w:tabs>
              <w:spacing w:before="60" w:after="60" w:line="480" w:lineRule="auto"/>
              <w:jc w:val="right"/>
              <w:rPr>
                <w:rFonts w:cs="Arial"/>
              </w:rPr>
            </w:pPr>
          </w:p>
        </w:tc>
      </w:tr>
      <w:tr w:rsidR="006E6CB9" w:rsidRPr="00084EA9" w:rsidTr="006E6CB9">
        <w:trPr>
          <w:trHeight w:val="670"/>
        </w:trPr>
        <w:tc>
          <w:tcPr>
            <w:tcW w:w="738" w:type="dxa"/>
            <w:tcBorders>
              <w:top w:val="single" w:sz="4" w:space="0" w:color="auto"/>
              <w:bottom w:val="single" w:sz="4" w:space="0" w:color="auto"/>
              <w:right w:val="single" w:sz="4" w:space="0" w:color="auto"/>
            </w:tcBorders>
            <w:shd w:val="clear" w:color="auto" w:fill="D9D9D9"/>
          </w:tcPr>
          <w:p w:rsidR="006E6CB9" w:rsidRPr="00084EA9" w:rsidRDefault="006E6CB9" w:rsidP="007701A8">
            <w:pPr>
              <w:spacing w:before="60" w:after="60" w:line="480" w:lineRule="auto"/>
              <w:ind w:left="-110" w:right="-108"/>
              <w:jc w:val="center"/>
              <w:rPr>
                <w:rFonts w:cs="Arial"/>
              </w:rPr>
            </w:pPr>
            <w:r w:rsidRPr="00084EA9">
              <w:rPr>
                <w:rFonts w:cs="Arial"/>
              </w:rPr>
              <w:t>2</w:t>
            </w:r>
          </w:p>
        </w:tc>
        <w:tc>
          <w:tcPr>
            <w:tcW w:w="3690" w:type="dxa"/>
            <w:tcBorders>
              <w:top w:val="single" w:sz="4" w:space="0" w:color="auto"/>
              <w:left w:val="single" w:sz="4" w:space="0" w:color="auto"/>
              <w:bottom w:val="single" w:sz="4" w:space="0" w:color="auto"/>
              <w:right w:val="single" w:sz="4" w:space="0" w:color="auto"/>
            </w:tcBorders>
            <w:shd w:val="clear" w:color="auto" w:fill="D9D9D9"/>
          </w:tcPr>
          <w:p w:rsidR="006E6CB9" w:rsidRPr="00084EA9" w:rsidRDefault="006E6CB9" w:rsidP="007701A8">
            <w:pPr>
              <w:tabs>
                <w:tab w:val="left" w:pos="244"/>
              </w:tabs>
              <w:spacing w:before="60" w:after="60" w:line="480" w:lineRule="auto"/>
              <w:rPr>
                <w:rFonts w:cs="Arial"/>
              </w:rPr>
            </w:pPr>
            <w:r w:rsidRPr="00084EA9">
              <w:rPr>
                <w:rFonts w:cs="Arial"/>
              </w:rPr>
              <w:t xml:space="preserve">Fármacos Anti-Parasitários </w:t>
            </w:r>
          </w:p>
        </w:tc>
        <w:tc>
          <w:tcPr>
            <w:tcW w:w="4140" w:type="dxa"/>
            <w:tcBorders>
              <w:top w:val="single" w:sz="4" w:space="0" w:color="auto"/>
              <w:left w:val="single" w:sz="4" w:space="0" w:color="auto"/>
              <w:bottom w:val="single" w:sz="4" w:space="0" w:color="auto"/>
              <w:right w:val="single" w:sz="4" w:space="0" w:color="auto"/>
            </w:tcBorders>
            <w:shd w:val="clear" w:color="auto" w:fill="D9D9D9"/>
          </w:tcPr>
          <w:p w:rsidR="006E6CB9" w:rsidRPr="00084EA9" w:rsidRDefault="006E6CB9" w:rsidP="007701A8">
            <w:pPr>
              <w:tabs>
                <w:tab w:val="left" w:pos="244"/>
              </w:tabs>
              <w:spacing w:before="60" w:after="60" w:line="480" w:lineRule="auto"/>
              <w:rPr>
                <w:rFonts w:cs="Arial"/>
              </w:rPr>
            </w:pPr>
          </w:p>
          <w:p w:rsidR="006E6CB9" w:rsidRPr="00084EA9" w:rsidRDefault="006E6CB9" w:rsidP="007701A8">
            <w:pPr>
              <w:tabs>
                <w:tab w:val="left" w:pos="244"/>
              </w:tabs>
              <w:spacing w:before="60" w:after="60" w:line="480" w:lineRule="auto"/>
              <w:rPr>
                <w:rFonts w:cs="Arial"/>
              </w:rPr>
            </w:pPr>
          </w:p>
        </w:tc>
        <w:tc>
          <w:tcPr>
            <w:tcW w:w="1620" w:type="dxa"/>
            <w:tcBorders>
              <w:top w:val="single" w:sz="4" w:space="0" w:color="auto"/>
              <w:left w:val="single" w:sz="4" w:space="0" w:color="auto"/>
              <w:bottom w:val="single" w:sz="4" w:space="0" w:color="auto"/>
            </w:tcBorders>
            <w:shd w:val="clear" w:color="auto" w:fill="D9D9D9"/>
          </w:tcPr>
          <w:p w:rsidR="006E6CB9" w:rsidRPr="00084EA9" w:rsidRDefault="006E6CB9" w:rsidP="007701A8">
            <w:pPr>
              <w:tabs>
                <w:tab w:val="left" w:pos="244"/>
              </w:tabs>
              <w:spacing w:before="60" w:after="60" w:line="480" w:lineRule="auto"/>
              <w:jc w:val="right"/>
              <w:rPr>
                <w:rFonts w:cs="Arial"/>
              </w:rPr>
            </w:pPr>
          </w:p>
        </w:tc>
      </w:tr>
      <w:tr w:rsidR="006E6CB9" w:rsidRPr="00FC6E81" w:rsidTr="006E6CB9">
        <w:tc>
          <w:tcPr>
            <w:tcW w:w="738" w:type="dxa"/>
            <w:tcBorders>
              <w:top w:val="single" w:sz="4" w:space="0" w:color="auto"/>
              <w:bottom w:val="single" w:sz="4" w:space="0" w:color="auto"/>
              <w:right w:val="single" w:sz="4" w:space="0" w:color="auto"/>
            </w:tcBorders>
          </w:tcPr>
          <w:p w:rsidR="006E6CB9" w:rsidRPr="00084EA9" w:rsidRDefault="006E6CB9" w:rsidP="007701A8">
            <w:pPr>
              <w:spacing w:before="60" w:after="60" w:line="480" w:lineRule="auto"/>
              <w:ind w:left="-110" w:right="-108"/>
              <w:jc w:val="center"/>
              <w:rPr>
                <w:rFonts w:cs="Arial"/>
              </w:rPr>
            </w:pPr>
            <w:r w:rsidRPr="00084EA9">
              <w:rPr>
                <w:rFonts w:cs="Arial"/>
              </w:rPr>
              <w:t>3</w:t>
            </w:r>
          </w:p>
        </w:tc>
        <w:tc>
          <w:tcPr>
            <w:tcW w:w="3690" w:type="dxa"/>
            <w:tcBorders>
              <w:top w:val="single" w:sz="4" w:space="0" w:color="auto"/>
              <w:left w:val="single" w:sz="4" w:space="0" w:color="auto"/>
              <w:bottom w:val="single" w:sz="4" w:space="0" w:color="auto"/>
              <w:right w:val="single" w:sz="4" w:space="0" w:color="auto"/>
            </w:tcBorders>
          </w:tcPr>
          <w:p w:rsidR="006E6CB9" w:rsidRPr="006E6CB9" w:rsidRDefault="006E6CB9" w:rsidP="007701A8">
            <w:pPr>
              <w:tabs>
                <w:tab w:val="left" w:pos="244"/>
              </w:tabs>
              <w:spacing w:before="60" w:after="60" w:line="480" w:lineRule="auto"/>
              <w:rPr>
                <w:rFonts w:cs="Arial"/>
                <w:iCs/>
                <w:lang w:val="pt-BR"/>
              </w:rPr>
            </w:pPr>
            <w:r w:rsidRPr="006E6CB9">
              <w:rPr>
                <w:rFonts w:cs="Arial"/>
                <w:iCs/>
                <w:lang w:val="pt-BR"/>
              </w:rPr>
              <w:t xml:space="preserve">Fármacos Anti-fúngicos e Anti-Virais </w:t>
            </w:r>
          </w:p>
        </w:tc>
        <w:tc>
          <w:tcPr>
            <w:tcW w:w="4140" w:type="dxa"/>
            <w:tcBorders>
              <w:top w:val="single" w:sz="4" w:space="0" w:color="auto"/>
              <w:left w:val="single" w:sz="4" w:space="0" w:color="auto"/>
              <w:bottom w:val="single" w:sz="4" w:space="0" w:color="auto"/>
              <w:right w:val="single" w:sz="4" w:space="0" w:color="auto"/>
            </w:tcBorders>
          </w:tcPr>
          <w:p w:rsidR="006E6CB9" w:rsidRPr="006E6CB9" w:rsidRDefault="006E6CB9" w:rsidP="007701A8">
            <w:pPr>
              <w:spacing w:before="60" w:after="60" w:line="480" w:lineRule="auto"/>
              <w:ind w:left="-18" w:firstLine="18"/>
              <w:rPr>
                <w:rFonts w:cs="Arial"/>
                <w:lang w:val="pt-BR"/>
              </w:rPr>
            </w:pPr>
          </w:p>
          <w:p w:rsidR="006E6CB9" w:rsidRPr="006E6CB9" w:rsidRDefault="006E6CB9" w:rsidP="007701A8">
            <w:pPr>
              <w:spacing w:before="60" w:after="60" w:line="480" w:lineRule="auto"/>
              <w:ind w:left="-18" w:firstLine="18"/>
              <w:rPr>
                <w:rFonts w:cs="Arial"/>
                <w:lang w:val="pt-BR"/>
              </w:rPr>
            </w:pPr>
          </w:p>
        </w:tc>
        <w:tc>
          <w:tcPr>
            <w:tcW w:w="1620" w:type="dxa"/>
            <w:tcBorders>
              <w:top w:val="single" w:sz="4" w:space="0" w:color="auto"/>
              <w:left w:val="single" w:sz="4" w:space="0" w:color="auto"/>
              <w:bottom w:val="single" w:sz="4" w:space="0" w:color="auto"/>
            </w:tcBorders>
          </w:tcPr>
          <w:p w:rsidR="006E6CB9" w:rsidRPr="006E6CB9" w:rsidRDefault="006E6CB9" w:rsidP="007701A8">
            <w:pPr>
              <w:spacing w:before="60" w:after="60" w:line="480" w:lineRule="auto"/>
              <w:ind w:left="-18" w:firstLine="18"/>
              <w:jc w:val="right"/>
              <w:rPr>
                <w:rFonts w:cs="Arial"/>
                <w:lang w:val="pt-BR"/>
              </w:rPr>
            </w:pPr>
          </w:p>
        </w:tc>
      </w:tr>
      <w:tr w:rsidR="006E6CB9" w:rsidRPr="00084EA9" w:rsidTr="006E6CB9">
        <w:tc>
          <w:tcPr>
            <w:tcW w:w="738" w:type="dxa"/>
            <w:tcBorders>
              <w:top w:val="single" w:sz="4" w:space="0" w:color="auto"/>
              <w:bottom w:val="single" w:sz="18" w:space="0" w:color="auto"/>
              <w:right w:val="single" w:sz="4" w:space="0" w:color="auto"/>
            </w:tcBorders>
            <w:shd w:val="clear" w:color="auto" w:fill="D9D9D9"/>
          </w:tcPr>
          <w:p w:rsidR="006E6CB9" w:rsidRPr="00084EA9" w:rsidRDefault="006E6CB9" w:rsidP="007701A8">
            <w:pPr>
              <w:spacing w:before="60" w:after="60" w:line="480" w:lineRule="auto"/>
              <w:ind w:left="-110" w:right="-108"/>
              <w:jc w:val="center"/>
              <w:rPr>
                <w:rFonts w:cs="Arial"/>
              </w:rPr>
            </w:pPr>
            <w:r w:rsidRPr="00084EA9">
              <w:rPr>
                <w:rFonts w:cs="Arial"/>
              </w:rPr>
              <w:t>4</w:t>
            </w:r>
          </w:p>
        </w:tc>
        <w:tc>
          <w:tcPr>
            <w:tcW w:w="3690" w:type="dxa"/>
            <w:tcBorders>
              <w:top w:val="single" w:sz="4" w:space="0" w:color="auto"/>
              <w:left w:val="single" w:sz="4" w:space="0" w:color="auto"/>
              <w:bottom w:val="single" w:sz="18" w:space="0" w:color="auto"/>
              <w:right w:val="single" w:sz="4" w:space="0" w:color="auto"/>
            </w:tcBorders>
            <w:shd w:val="clear" w:color="auto" w:fill="D9D9D9"/>
          </w:tcPr>
          <w:p w:rsidR="006E6CB9" w:rsidRPr="00084EA9" w:rsidRDefault="006E6CB9" w:rsidP="007701A8">
            <w:pPr>
              <w:tabs>
                <w:tab w:val="left" w:pos="244"/>
              </w:tabs>
              <w:spacing w:before="60" w:after="60" w:line="480" w:lineRule="auto"/>
              <w:rPr>
                <w:rFonts w:cs="Arial"/>
                <w:iCs/>
              </w:rPr>
            </w:pPr>
            <w:r w:rsidRPr="00084EA9">
              <w:rPr>
                <w:rFonts w:cs="Arial"/>
                <w:iCs/>
              </w:rPr>
              <w:t>Pontos-Chave</w:t>
            </w:r>
          </w:p>
        </w:tc>
        <w:tc>
          <w:tcPr>
            <w:tcW w:w="4140" w:type="dxa"/>
            <w:tcBorders>
              <w:top w:val="single" w:sz="4" w:space="0" w:color="auto"/>
              <w:left w:val="single" w:sz="4" w:space="0" w:color="auto"/>
              <w:bottom w:val="single" w:sz="18" w:space="0" w:color="auto"/>
              <w:right w:val="single" w:sz="4" w:space="0" w:color="auto"/>
            </w:tcBorders>
            <w:shd w:val="clear" w:color="auto" w:fill="D9D9D9"/>
          </w:tcPr>
          <w:p w:rsidR="006E6CB9" w:rsidRPr="00084EA9" w:rsidRDefault="006E6CB9" w:rsidP="007701A8">
            <w:pPr>
              <w:spacing w:before="60" w:after="60" w:line="480" w:lineRule="auto"/>
              <w:ind w:left="-18" w:firstLine="18"/>
              <w:rPr>
                <w:rFonts w:cs="Arial"/>
              </w:rPr>
            </w:pPr>
          </w:p>
        </w:tc>
        <w:tc>
          <w:tcPr>
            <w:tcW w:w="1620" w:type="dxa"/>
            <w:tcBorders>
              <w:top w:val="single" w:sz="4" w:space="0" w:color="auto"/>
              <w:left w:val="single" w:sz="4" w:space="0" w:color="auto"/>
              <w:bottom w:val="single" w:sz="18" w:space="0" w:color="auto"/>
            </w:tcBorders>
            <w:shd w:val="clear" w:color="auto" w:fill="D9D9D9"/>
          </w:tcPr>
          <w:p w:rsidR="006E6CB9" w:rsidRPr="00084EA9" w:rsidRDefault="006E6CB9" w:rsidP="007701A8">
            <w:pPr>
              <w:spacing w:before="60" w:after="60" w:line="480" w:lineRule="auto"/>
              <w:ind w:left="-18" w:firstLine="18"/>
              <w:jc w:val="right"/>
              <w:rPr>
                <w:rFonts w:cs="Arial"/>
              </w:rPr>
            </w:pPr>
          </w:p>
        </w:tc>
      </w:tr>
    </w:tbl>
    <w:p w:rsidR="006E6CB9" w:rsidRPr="00084EA9" w:rsidRDefault="006E6CB9" w:rsidP="006E6CB9">
      <w:pPr>
        <w:tabs>
          <w:tab w:val="left" w:pos="244"/>
        </w:tabs>
        <w:rPr>
          <w:rFonts w:cs="Arial"/>
        </w:rPr>
      </w:pPr>
    </w:p>
    <w:p w:rsidR="007701A8" w:rsidRDefault="007701A8">
      <w:pPr>
        <w:rPr>
          <w:rFonts w:cs="Arial"/>
          <w:b/>
          <w:lang w:val="pt-BR"/>
        </w:rPr>
      </w:pPr>
      <w:r>
        <w:rPr>
          <w:rFonts w:cs="Arial"/>
          <w:b/>
          <w:lang w:val="pt-BR"/>
        </w:rPr>
        <w:br w:type="page"/>
      </w:r>
    </w:p>
    <w:p w:rsidR="00BE2C41" w:rsidRDefault="006E6CB9" w:rsidP="007701A8">
      <w:pPr>
        <w:tabs>
          <w:tab w:val="left" w:pos="424"/>
        </w:tabs>
        <w:spacing w:before="60"/>
        <w:jc w:val="both"/>
        <w:rPr>
          <w:rFonts w:cs="Arial"/>
          <w:b/>
          <w:lang w:val="pt-BR"/>
        </w:rPr>
      </w:pPr>
      <w:r w:rsidRPr="006E6CB9">
        <w:rPr>
          <w:rFonts w:cs="Arial"/>
          <w:b/>
          <w:lang w:val="pt-BR"/>
        </w:rPr>
        <w:lastRenderedPageBreak/>
        <w:t>Equipamentos e meios audiovisuais necessários:</w:t>
      </w:r>
    </w:p>
    <w:p w:rsidR="007701A8" w:rsidRDefault="007701A8" w:rsidP="006E6CB9">
      <w:pPr>
        <w:tabs>
          <w:tab w:val="left" w:pos="424"/>
        </w:tabs>
        <w:jc w:val="both"/>
        <w:rPr>
          <w:rFonts w:cs="Arial"/>
          <w:b/>
          <w:lang w:val="pt-BR"/>
        </w:rPr>
      </w:pPr>
    </w:p>
    <w:p w:rsidR="007701A8" w:rsidRDefault="007701A8" w:rsidP="006E6CB9">
      <w:pPr>
        <w:tabs>
          <w:tab w:val="left" w:pos="424"/>
        </w:tabs>
        <w:jc w:val="both"/>
        <w:rPr>
          <w:rFonts w:cs="Arial"/>
          <w:b/>
          <w:lang w:val="pt-BR"/>
        </w:rPr>
      </w:pPr>
    </w:p>
    <w:p w:rsidR="007701A8" w:rsidRDefault="007701A8" w:rsidP="006E6CB9">
      <w:pPr>
        <w:tabs>
          <w:tab w:val="left" w:pos="424"/>
        </w:tabs>
        <w:jc w:val="both"/>
        <w:rPr>
          <w:rFonts w:cs="Arial"/>
          <w:b/>
          <w:lang w:val="pt-BR"/>
        </w:rPr>
      </w:pPr>
    </w:p>
    <w:p w:rsidR="007701A8" w:rsidRDefault="007701A8" w:rsidP="006E6CB9">
      <w:pPr>
        <w:tabs>
          <w:tab w:val="left" w:pos="424"/>
        </w:tabs>
        <w:jc w:val="both"/>
        <w:rPr>
          <w:rFonts w:cs="Arial"/>
          <w:b/>
          <w:lang w:val="pt-BR"/>
        </w:rPr>
      </w:pPr>
    </w:p>
    <w:p w:rsidR="007701A8" w:rsidRDefault="007701A8" w:rsidP="006E6CB9">
      <w:pPr>
        <w:tabs>
          <w:tab w:val="left" w:pos="424"/>
        </w:tabs>
        <w:jc w:val="both"/>
        <w:rPr>
          <w:rFonts w:cs="Arial"/>
          <w:b/>
          <w:lang w:val="pt-BR"/>
        </w:rPr>
      </w:pPr>
    </w:p>
    <w:p w:rsidR="007701A8" w:rsidRDefault="007701A8" w:rsidP="006E6CB9">
      <w:pPr>
        <w:tabs>
          <w:tab w:val="left" w:pos="424"/>
        </w:tabs>
        <w:jc w:val="both"/>
        <w:rPr>
          <w:rFonts w:cs="Arial"/>
          <w:b/>
          <w:lang w:val="pt-BR"/>
        </w:rPr>
      </w:pPr>
    </w:p>
    <w:p w:rsidR="007701A8" w:rsidRDefault="007701A8" w:rsidP="006E6CB9">
      <w:pPr>
        <w:tabs>
          <w:tab w:val="left" w:pos="424"/>
        </w:tabs>
        <w:jc w:val="both"/>
        <w:rPr>
          <w:rFonts w:cs="Arial"/>
          <w:b/>
          <w:lang w:val="pt-BR"/>
        </w:rPr>
      </w:pPr>
    </w:p>
    <w:p w:rsidR="007701A8" w:rsidRDefault="007701A8" w:rsidP="006E6CB9">
      <w:pPr>
        <w:tabs>
          <w:tab w:val="left" w:pos="424"/>
        </w:tabs>
        <w:jc w:val="both"/>
        <w:rPr>
          <w:rFonts w:cs="Arial"/>
          <w:b/>
          <w:lang w:val="pt-BR"/>
        </w:rPr>
      </w:pPr>
    </w:p>
    <w:p w:rsidR="007701A8" w:rsidRDefault="007701A8" w:rsidP="006E6CB9">
      <w:pPr>
        <w:tabs>
          <w:tab w:val="left" w:pos="424"/>
        </w:tabs>
        <w:jc w:val="both"/>
        <w:rPr>
          <w:rFonts w:cs="Arial"/>
          <w:b/>
          <w:lang w:val="pt-BR"/>
        </w:rPr>
      </w:pPr>
    </w:p>
    <w:p w:rsidR="007701A8" w:rsidRDefault="007701A8" w:rsidP="006E6CB9">
      <w:pPr>
        <w:tabs>
          <w:tab w:val="left" w:pos="424"/>
        </w:tabs>
        <w:jc w:val="both"/>
        <w:rPr>
          <w:rFonts w:cs="Arial"/>
          <w:b/>
          <w:lang w:val="pt-BR"/>
        </w:rPr>
      </w:pPr>
    </w:p>
    <w:p w:rsidR="006E6CB9" w:rsidRPr="006E6CB9" w:rsidRDefault="006E6CB9" w:rsidP="006E6CB9">
      <w:pPr>
        <w:tabs>
          <w:tab w:val="left" w:pos="424"/>
        </w:tabs>
        <w:jc w:val="both"/>
        <w:rPr>
          <w:rFonts w:cs="Arial"/>
          <w:lang w:val="pt-BR"/>
        </w:rPr>
      </w:pPr>
      <w:r w:rsidRPr="006E6CB9">
        <w:rPr>
          <w:rFonts w:cs="Arial"/>
          <w:b/>
          <w:lang w:val="pt-BR"/>
        </w:rPr>
        <w:t>Trabalhos para casa (TPC), exercícios e textos para leitura – incluir data a ser entregue:</w:t>
      </w:r>
      <w:r w:rsidRPr="006E6CB9">
        <w:rPr>
          <w:rFonts w:cs="Arial"/>
          <w:lang w:val="pt-BR"/>
        </w:rPr>
        <w:t xml:space="preserve"> </w:t>
      </w:r>
    </w:p>
    <w:p w:rsidR="006E6CB9" w:rsidRDefault="006E6CB9" w:rsidP="006E6CB9">
      <w:pPr>
        <w:tabs>
          <w:tab w:val="left" w:pos="424"/>
        </w:tabs>
        <w:jc w:val="both"/>
        <w:rPr>
          <w:rFonts w:cs="Arial"/>
          <w:lang w:val="pt-BR"/>
        </w:rPr>
      </w:pPr>
    </w:p>
    <w:p w:rsidR="007701A8" w:rsidRDefault="007701A8" w:rsidP="006E6CB9">
      <w:pPr>
        <w:tabs>
          <w:tab w:val="left" w:pos="424"/>
        </w:tabs>
        <w:jc w:val="both"/>
        <w:rPr>
          <w:rFonts w:cs="Arial"/>
          <w:lang w:val="pt-BR"/>
        </w:rPr>
      </w:pPr>
    </w:p>
    <w:p w:rsidR="007701A8" w:rsidRDefault="007701A8" w:rsidP="006E6CB9">
      <w:pPr>
        <w:tabs>
          <w:tab w:val="left" w:pos="424"/>
        </w:tabs>
        <w:jc w:val="both"/>
        <w:rPr>
          <w:rFonts w:cs="Arial"/>
          <w:lang w:val="pt-BR"/>
        </w:rPr>
      </w:pPr>
    </w:p>
    <w:p w:rsidR="007701A8" w:rsidRDefault="007701A8" w:rsidP="006E6CB9">
      <w:pPr>
        <w:tabs>
          <w:tab w:val="left" w:pos="424"/>
        </w:tabs>
        <w:jc w:val="both"/>
        <w:rPr>
          <w:rFonts w:cs="Arial"/>
          <w:lang w:val="pt-BR"/>
        </w:rPr>
      </w:pPr>
    </w:p>
    <w:p w:rsidR="007701A8" w:rsidRDefault="007701A8" w:rsidP="006E6CB9">
      <w:pPr>
        <w:tabs>
          <w:tab w:val="left" w:pos="424"/>
        </w:tabs>
        <w:jc w:val="both"/>
        <w:rPr>
          <w:rFonts w:cs="Arial"/>
          <w:lang w:val="pt-BR"/>
        </w:rPr>
      </w:pPr>
    </w:p>
    <w:p w:rsidR="007701A8" w:rsidRDefault="007701A8" w:rsidP="006E6CB9">
      <w:pPr>
        <w:tabs>
          <w:tab w:val="left" w:pos="424"/>
        </w:tabs>
        <w:jc w:val="both"/>
        <w:rPr>
          <w:rFonts w:cs="Arial"/>
          <w:lang w:val="pt-BR"/>
        </w:rPr>
      </w:pPr>
    </w:p>
    <w:p w:rsidR="007701A8" w:rsidRDefault="007701A8" w:rsidP="006E6CB9">
      <w:pPr>
        <w:tabs>
          <w:tab w:val="left" w:pos="424"/>
        </w:tabs>
        <w:jc w:val="both"/>
        <w:rPr>
          <w:rFonts w:cs="Arial"/>
          <w:lang w:val="pt-BR"/>
        </w:rPr>
      </w:pPr>
    </w:p>
    <w:p w:rsidR="007701A8" w:rsidRDefault="007701A8" w:rsidP="006E6CB9">
      <w:pPr>
        <w:tabs>
          <w:tab w:val="left" w:pos="424"/>
        </w:tabs>
        <w:jc w:val="both"/>
        <w:rPr>
          <w:rFonts w:cs="Arial"/>
          <w:lang w:val="pt-BR"/>
        </w:rPr>
      </w:pPr>
    </w:p>
    <w:p w:rsidR="007701A8" w:rsidRDefault="007701A8" w:rsidP="006E6CB9">
      <w:pPr>
        <w:tabs>
          <w:tab w:val="left" w:pos="424"/>
        </w:tabs>
        <w:jc w:val="both"/>
        <w:rPr>
          <w:rFonts w:cs="Arial"/>
          <w:lang w:val="pt-BR"/>
        </w:rPr>
      </w:pPr>
    </w:p>
    <w:p w:rsidR="007701A8" w:rsidRDefault="007701A8" w:rsidP="006E6CB9">
      <w:pPr>
        <w:tabs>
          <w:tab w:val="left" w:pos="424"/>
        </w:tabs>
        <w:jc w:val="both"/>
        <w:rPr>
          <w:rFonts w:cs="Arial"/>
          <w:lang w:val="pt-BR"/>
        </w:rPr>
      </w:pPr>
    </w:p>
    <w:p w:rsidR="007701A8" w:rsidRPr="006E6CB9" w:rsidRDefault="007701A8" w:rsidP="006E6CB9">
      <w:pPr>
        <w:tabs>
          <w:tab w:val="left" w:pos="424"/>
        </w:tabs>
        <w:jc w:val="both"/>
        <w:rPr>
          <w:rFonts w:cs="Arial"/>
          <w:lang w:val="pt-BR"/>
        </w:rPr>
      </w:pPr>
    </w:p>
    <w:p w:rsidR="006E6CB9" w:rsidRPr="00927EAF" w:rsidRDefault="006E6CB9" w:rsidP="00927EAF">
      <w:pPr>
        <w:rPr>
          <w:b/>
          <w:lang w:val="pt-BR"/>
        </w:rPr>
      </w:pPr>
      <w:r w:rsidRPr="00927EAF">
        <w:rPr>
          <w:b/>
          <w:lang w:val="pt-BR"/>
        </w:rPr>
        <w:t>Bibliografia (referências usadas para o desenvolvimento do conteúdo):</w:t>
      </w:r>
    </w:p>
    <w:p w:rsidR="006E6CB9" w:rsidRPr="00F47FAF" w:rsidRDefault="006E6CB9" w:rsidP="006E6CB9">
      <w:pPr>
        <w:rPr>
          <w:lang w:val="pt-BR"/>
        </w:rPr>
      </w:pPr>
      <w:r w:rsidRPr="00084EA9">
        <w:rPr>
          <w:lang w:val="en-GB"/>
        </w:rPr>
        <w:t xml:space="preserve">Brunton LL, Lazo JS, Parker KL. </w:t>
      </w:r>
      <w:r w:rsidRPr="006E6CB9">
        <w:rPr>
          <w:lang w:val="pt-BR"/>
        </w:rPr>
        <w:t xml:space="preserve">Goodman e Gilman - As bases farmacológicas da terapêutica. </w:t>
      </w:r>
      <w:r w:rsidRPr="00F47FAF">
        <w:rPr>
          <w:lang w:val="pt-BR"/>
        </w:rPr>
        <w:t>11 Edição. Brasil: Mcgraw-Hill; 2006.</w:t>
      </w:r>
    </w:p>
    <w:p w:rsidR="006E6CB9" w:rsidRPr="00F47FAF" w:rsidRDefault="006E6CB9" w:rsidP="006E6CB9">
      <w:pPr>
        <w:rPr>
          <w:lang w:val="pt-BR"/>
        </w:rPr>
      </w:pPr>
      <w:r w:rsidRPr="006E6CB9">
        <w:rPr>
          <w:lang w:val="pt-BR"/>
        </w:rPr>
        <w:t xml:space="preserve">Katzung B. Farmacologia básica e clínica. </w:t>
      </w:r>
      <w:r w:rsidRPr="00F47FAF">
        <w:rPr>
          <w:lang w:val="pt-BR"/>
        </w:rPr>
        <w:t>9 Edição. Brasil: Guanabara Koogan; 2006.</w:t>
      </w:r>
    </w:p>
    <w:p w:rsidR="006E6CB9" w:rsidRPr="00F47FAF" w:rsidRDefault="006E6CB9" w:rsidP="006E6CB9">
      <w:pPr>
        <w:rPr>
          <w:lang w:val="pt-BR"/>
        </w:rPr>
      </w:pPr>
      <w:r w:rsidRPr="006E6CB9">
        <w:rPr>
          <w:lang w:val="pt-BR"/>
        </w:rPr>
        <w:t xml:space="preserve">MISAU. Formulário Nacional de Medicamentos. </w:t>
      </w:r>
      <w:r w:rsidRPr="00F47FAF">
        <w:rPr>
          <w:lang w:val="pt-BR"/>
        </w:rPr>
        <w:t>5ª edição. Maputo. +</w:t>
      </w:r>
    </w:p>
    <w:p w:rsidR="006E6CB9" w:rsidRPr="00BE2C41" w:rsidRDefault="006E6CB9" w:rsidP="006E6CB9">
      <w:pPr>
        <w:rPr>
          <w:lang w:val="pt-PT"/>
        </w:rPr>
      </w:pPr>
      <w:r w:rsidRPr="006E6CB9">
        <w:rPr>
          <w:lang w:val="pt-BR"/>
        </w:rPr>
        <w:t xml:space="preserve">Nelson DL, Cox MM. Princípios de bioquímica do Lehninger. </w:t>
      </w:r>
      <w:r w:rsidRPr="00BE2C41">
        <w:rPr>
          <w:lang w:val="pt-PT"/>
        </w:rPr>
        <w:t xml:space="preserve">4 edição. W.H. Freeman; 2004. </w:t>
      </w:r>
    </w:p>
    <w:p w:rsidR="001B4CDC" w:rsidRDefault="001B4CDC">
      <w:pPr>
        <w:rPr>
          <w:rFonts w:cs="Arial"/>
          <w:lang w:val="pt-PT"/>
        </w:rPr>
      </w:pPr>
      <w:r>
        <w:rPr>
          <w:rFonts w:cs="Arial"/>
          <w:lang w:val="pt-PT"/>
        </w:rPr>
        <w:br w:type="page"/>
      </w:r>
    </w:p>
    <w:p w:rsidR="006E6CB9" w:rsidRPr="006E6CB9" w:rsidRDefault="00BE2C41" w:rsidP="00BE2C41">
      <w:pPr>
        <w:pStyle w:val="TM-1n"/>
        <w:numPr>
          <w:ilvl w:val="0"/>
          <w:numId w:val="0"/>
        </w:numPr>
        <w:shd w:val="clear" w:color="auto" w:fill="C6D9F1"/>
        <w:tabs>
          <w:tab w:val="clear" w:pos="9072"/>
          <w:tab w:val="left" w:pos="284"/>
        </w:tabs>
        <w:rPr>
          <w:sz w:val="22"/>
          <w:szCs w:val="22"/>
        </w:rPr>
      </w:pPr>
      <w:r>
        <w:rPr>
          <w:sz w:val="22"/>
          <w:szCs w:val="22"/>
        </w:rPr>
        <w:lastRenderedPageBreak/>
        <w:t xml:space="preserve">BLOCO 1: </w:t>
      </w:r>
      <w:r w:rsidR="006E6CB9" w:rsidRPr="006E6CB9">
        <w:rPr>
          <w:sz w:val="22"/>
          <w:szCs w:val="22"/>
        </w:rPr>
        <w:t>INTRODUÇÃO A AULA</w:t>
      </w:r>
    </w:p>
    <w:p w:rsidR="001B4CDC" w:rsidRDefault="006E6CB9" w:rsidP="00C52E09">
      <w:pPr>
        <w:pStyle w:val="TM-2n"/>
        <w:numPr>
          <w:ilvl w:val="1"/>
          <w:numId w:val="260"/>
        </w:numPr>
        <w:spacing w:before="120" w:after="0" w:line="276" w:lineRule="auto"/>
      </w:pPr>
      <w:r w:rsidRPr="00084EA9">
        <w:t>Apresentação do tópico, conteúdos e objectivos de aprendizagem.</w:t>
      </w:r>
    </w:p>
    <w:p w:rsidR="001B4CDC" w:rsidRDefault="006E6CB9" w:rsidP="00C52E09">
      <w:pPr>
        <w:pStyle w:val="TM-2n"/>
        <w:numPr>
          <w:ilvl w:val="1"/>
          <w:numId w:val="260"/>
        </w:numPr>
        <w:spacing w:before="120" w:after="0" w:line="276" w:lineRule="auto"/>
      </w:pPr>
      <w:r w:rsidRPr="00084EA9">
        <w:t>Apresentação da estrutura da aula.</w:t>
      </w:r>
    </w:p>
    <w:p w:rsidR="006E6CB9" w:rsidRDefault="006E6CB9" w:rsidP="00C52E09">
      <w:pPr>
        <w:pStyle w:val="TM-2n"/>
        <w:numPr>
          <w:ilvl w:val="1"/>
          <w:numId w:val="260"/>
        </w:numPr>
        <w:spacing w:before="120" w:after="0" w:line="276" w:lineRule="auto"/>
      </w:pPr>
      <w:r w:rsidRPr="00084EA9">
        <w:t xml:space="preserve">Apresentação da bibliografia que o aluno deverá consultar para ampliar </w:t>
      </w:r>
      <w:r>
        <w:t xml:space="preserve">os </w:t>
      </w:r>
      <w:r w:rsidRPr="00084EA9">
        <w:t>conhecimentos.</w:t>
      </w:r>
    </w:p>
    <w:p w:rsidR="006E6CB9" w:rsidRPr="00084EA9" w:rsidRDefault="006E6CB9" w:rsidP="006E6CB9">
      <w:pPr>
        <w:pStyle w:val="TM-2n"/>
        <w:numPr>
          <w:ilvl w:val="0"/>
          <w:numId w:val="0"/>
        </w:numPr>
        <w:spacing w:before="120" w:after="0" w:line="276" w:lineRule="auto"/>
        <w:ind w:left="446"/>
      </w:pPr>
    </w:p>
    <w:p w:rsidR="006E6CB9" w:rsidRPr="00084EA9" w:rsidRDefault="00BE2C41" w:rsidP="00BE2C41">
      <w:pPr>
        <w:pStyle w:val="TM-1n"/>
        <w:numPr>
          <w:ilvl w:val="0"/>
          <w:numId w:val="0"/>
        </w:numPr>
        <w:shd w:val="clear" w:color="auto" w:fill="C6D9F1"/>
        <w:tabs>
          <w:tab w:val="clear" w:pos="9072"/>
          <w:tab w:val="left" w:pos="284"/>
        </w:tabs>
        <w:rPr>
          <w:sz w:val="22"/>
          <w:szCs w:val="22"/>
        </w:rPr>
      </w:pPr>
      <w:r>
        <w:rPr>
          <w:sz w:val="22"/>
          <w:szCs w:val="22"/>
        </w:rPr>
        <w:t xml:space="preserve">BLOCO 2: </w:t>
      </w:r>
      <w:r w:rsidR="006E6CB9" w:rsidRPr="00084EA9">
        <w:rPr>
          <w:sz w:val="22"/>
          <w:szCs w:val="22"/>
        </w:rPr>
        <w:t>FÁRMACOS ANTI-PARASITÁRIOS</w:t>
      </w:r>
      <w:r w:rsidR="006E6CB9" w:rsidRPr="00084EA9">
        <w:rPr>
          <w:sz w:val="22"/>
          <w:szCs w:val="22"/>
        </w:rPr>
        <w:tab/>
      </w:r>
    </w:p>
    <w:p w:rsidR="006E6CB9" w:rsidRPr="00084EA9" w:rsidRDefault="006E6CB9" w:rsidP="006E6CB9">
      <w:pPr>
        <w:pStyle w:val="TM-2n"/>
        <w:numPr>
          <w:ilvl w:val="0"/>
          <w:numId w:val="0"/>
        </w:numPr>
        <w:spacing w:before="120" w:after="0" w:line="276" w:lineRule="auto"/>
      </w:pPr>
      <w:r w:rsidRPr="00084EA9">
        <w:t>Os fármacos anti-parasitários são um grupo de fármacos que actuam contra parasitas intestinais, extra-intestinais, do tipo helmintos e protozoários. São de uso muito frequente, ta</w:t>
      </w:r>
      <w:r>
        <w:t xml:space="preserve">nto mais que são os usados nas </w:t>
      </w:r>
      <w:r w:rsidRPr="00084EA9">
        <w:t>desparasitações periódicas habitualmente realizadas, particularmente em crianças e em populações no meio rural. Os anti-parasitários mais frequentemente utilizados em Moçambique são os seguintes:</w:t>
      </w:r>
    </w:p>
    <w:p w:rsidR="006E6CB9" w:rsidRPr="00084EA9" w:rsidRDefault="006E6CB9" w:rsidP="001B4CDC">
      <w:pPr>
        <w:pStyle w:val="TM-2n"/>
        <w:numPr>
          <w:ilvl w:val="0"/>
          <w:numId w:val="0"/>
        </w:numPr>
        <w:spacing w:before="120" w:after="0" w:line="276" w:lineRule="auto"/>
        <w:ind w:left="284" w:hanging="284"/>
        <w:rPr>
          <w:b/>
        </w:rPr>
      </w:pPr>
      <w:r w:rsidRPr="00AD66DD">
        <w:rPr>
          <w:b/>
        </w:rPr>
        <w:t>2.1</w:t>
      </w:r>
      <w:r w:rsidRPr="00084EA9">
        <w:t xml:space="preserve"> </w:t>
      </w:r>
      <w:r w:rsidRPr="00084EA9">
        <w:rPr>
          <w:b/>
        </w:rPr>
        <w:t>Mebendazol</w:t>
      </w:r>
    </w:p>
    <w:p w:rsidR="006E6CB9" w:rsidRPr="00084EA9" w:rsidRDefault="006E6CB9" w:rsidP="00C52E09">
      <w:pPr>
        <w:pStyle w:val="TM-2n"/>
        <w:numPr>
          <w:ilvl w:val="0"/>
          <w:numId w:val="211"/>
        </w:numPr>
        <w:spacing w:before="120" w:after="0" w:line="276" w:lineRule="auto"/>
      </w:pPr>
      <w:r w:rsidRPr="00084EA9">
        <w:t>Mecanismo de acção: inibe a síntese do microtúbulo das células dos helmintos</w:t>
      </w:r>
    </w:p>
    <w:p w:rsidR="006E6CB9" w:rsidRPr="00084EA9" w:rsidRDefault="006E6CB9" w:rsidP="00C52E09">
      <w:pPr>
        <w:pStyle w:val="TM-2n"/>
        <w:numPr>
          <w:ilvl w:val="0"/>
          <w:numId w:val="211"/>
        </w:numPr>
        <w:spacing w:before="120" w:after="0" w:line="276" w:lineRule="auto"/>
      </w:pPr>
      <w:r w:rsidRPr="00084EA9">
        <w:t>Forma farmacêutica e via de administração: comprimidos de 100 mg, por via oral</w:t>
      </w:r>
    </w:p>
    <w:p w:rsidR="006E6CB9" w:rsidRPr="00084EA9" w:rsidRDefault="006E6CB9" w:rsidP="00C52E09">
      <w:pPr>
        <w:pStyle w:val="TM-2n"/>
        <w:numPr>
          <w:ilvl w:val="0"/>
          <w:numId w:val="211"/>
        </w:numPr>
        <w:spacing w:before="120" w:after="0" w:line="276" w:lineRule="auto"/>
        <w:rPr>
          <w:i/>
        </w:rPr>
      </w:pPr>
      <w:r w:rsidRPr="00084EA9">
        <w:t xml:space="preserve">Indicações: tratamento de infestações por </w:t>
      </w:r>
      <w:r w:rsidRPr="00084EA9">
        <w:rPr>
          <w:i/>
        </w:rPr>
        <w:t>Ascaris lumbricoides, Enterobius vermicularis, Trichiuris trichiura, Ancylostoma duodenal e Trichinella spiralis</w:t>
      </w:r>
    </w:p>
    <w:p w:rsidR="006E6CB9" w:rsidRPr="00084EA9" w:rsidRDefault="006E6CB9" w:rsidP="00C52E09">
      <w:pPr>
        <w:pStyle w:val="TM-2n"/>
        <w:numPr>
          <w:ilvl w:val="0"/>
          <w:numId w:val="211"/>
        </w:numPr>
        <w:spacing w:before="120" w:after="0" w:line="276" w:lineRule="auto"/>
      </w:pPr>
      <w:r w:rsidRPr="00084EA9">
        <w:t>Doses e dosagem: pacientes com mais de 20 kg – 100 mg de 12 em 12 horas durante 3 dias. Crianças com menos de 20 kg: metade da dose do adulto</w:t>
      </w:r>
    </w:p>
    <w:p w:rsidR="006E6CB9" w:rsidRPr="00084EA9" w:rsidRDefault="006E6CB9" w:rsidP="00C52E09">
      <w:pPr>
        <w:pStyle w:val="TM-2n"/>
        <w:numPr>
          <w:ilvl w:val="0"/>
          <w:numId w:val="211"/>
        </w:numPr>
        <w:spacing w:before="120" w:after="0" w:line="276" w:lineRule="auto"/>
      </w:pPr>
      <w:r w:rsidRPr="00084EA9">
        <w:t>Efeitos secundários: no geral bem tolerado, ocasionalmente distúrbios gastrointestinais transitórios</w:t>
      </w:r>
    </w:p>
    <w:p w:rsidR="006E6CB9" w:rsidRPr="00084EA9" w:rsidRDefault="006E6CB9" w:rsidP="00C52E09">
      <w:pPr>
        <w:pStyle w:val="TM-2n"/>
        <w:numPr>
          <w:ilvl w:val="0"/>
          <w:numId w:val="211"/>
        </w:numPr>
        <w:spacing w:before="120" w:after="0" w:line="276" w:lineRule="auto"/>
      </w:pPr>
      <w:r w:rsidRPr="00084EA9">
        <w:t xml:space="preserve">Contra-indicações: hipersensibilidade ao mebendazol e </w:t>
      </w:r>
      <w:r w:rsidR="001B4CDC">
        <w:rPr>
          <w:b/>
        </w:rPr>
        <w:t>1º</w:t>
      </w:r>
      <w:r w:rsidRPr="00084EA9">
        <w:rPr>
          <w:b/>
        </w:rPr>
        <w:t xml:space="preserve"> trimestre de gravidez</w:t>
      </w:r>
    </w:p>
    <w:p w:rsidR="006E6CB9" w:rsidRPr="00084EA9" w:rsidRDefault="006E6CB9" w:rsidP="00C52E09">
      <w:pPr>
        <w:pStyle w:val="TM-2n"/>
        <w:numPr>
          <w:ilvl w:val="0"/>
          <w:numId w:val="211"/>
        </w:numPr>
        <w:spacing w:before="120" w:after="0" w:line="276" w:lineRule="auto"/>
      </w:pPr>
      <w:r w:rsidRPr="00084EA9">
        <w:t>Notas e precauções: administrar de preferência no intervalo das refeições, evitar o uso em menores de 2 anos e gravidez</w:t>
      </w:r>
    </w:p>
    <w:p w:rsidR="006E6CB9" w:rsidRPr="00084EA9" w:rsidRDefault="006E6CB9" w:rsidP="001B4CDC">
      <w:pPr>
        <w:pStyle w:val="TM-2n"/>
        <w:numPr>
          <w:ilvl w:val="0"/>
          <w:numId w:val="0"/>
        </w:numPr>
        <w:spacing w:before="120" w:after="0" w:line="276" w:lineRule="auto"/>
        <w:ind w:left="284" w:hanging="284"/>
        <w:rPr>
          <w:b/>
        </w:rPr>
      </w:pPr>
      <w:r w:rsidRPr="00AD66DD">
        <w:rPr>
          <w:b/>
        </w:rPr>
        <w:t>2.2</w:t>
      </w:r>
      <w:r w:rsidRPr="00084EA9">
        <w:t xml:space="preserve"> </w:t>
      </w:r>
      <w:r w:rsidRPr="00084EA9">
        <w:rPr>
          <w:b/>
        </w:rPr>
        <w:t>Albendazol</w:t>
      </w:r>
    </w:p>
    <w:p w:rsidR="006E6CB9" w:rsidRPr="00084EA9" w:rsidRDefault="006E6CB9" w:rsidP="00C52E09">
      <w:pPr>
        <w:pStyle w:val="TM-2n"/>
        <w:numPr>
          <w:ilvl w:val="0"/>
          <w:numId w:val="212"/>
        </w:numPr>
        <w:spacing w:before="120" w:after="0" w:line="276" w:lineRule="auto"/>
      </w:pPr>
      <w:r w:rsidRPr="00084EA9">
        <w:t>Mecanismo de acção: semelhante ao mebendazol</w:t>
      </w:r>
    </w:p>
    <w:p w:rsidR="006E6CB9" w:rsidRPr="00084EA9" w:rsidRDefault="006E6CB9" w:rsidP="00C52E09">
      <w:pPr>
        <w:pStyle w:val="TM-2n"/>
        <w:numPr>
          <w:ilvl w:val="0"/>
          <w:numId w:val="212"/>
        </w:numPr>
        <w:spacing w:before="120" w:after="0" w:line="276" w:lineRule="auto"/>
      </w:pPr>
      <w:r w:rsidRPr="00084EA9">
        <w:t>Forma farmacêutica e via de administração: comprimidos de 400mg, por via oral</w:t>
      </w:r>
    </w:p>
    <w:p w:rsidR="006E6CB9" w:rsidRPr="00084EA9" w:rsidRDefault="006E6CB9" w:rsidP="00C52E09">
      <w:pPr>
        <w:pStyle w:val="TM-2n"/>
        <w:numPr>
          <w:ilvl w:val="0"/>
          <w:numId w:val="212"/>
        </w:numPr>
        <w:spacing w:before="120" w:after="0" w:line="276" w:lineRule="auto"/>
      </w:pPr>
      <w:r w:rsidRPr="00084EA9">
        <w:t xml:space="preserve">Indicações: </w:t>
      </w:r>
      <w:r w:rsidRPr="00084EA9">
        <w:rPr>
          <w:i/>
        </w:rPr>
        <w:t xml:space="preserve">Ascaris lumbricoides, Enterobius vermiculares, Trichocephalus trichuris, Trichuris trichiura, Ancylostoma duodenale, Strongyloides stercolaris. </w:t>
      </w:r>
      <w:r w:rsidRPr="00084EA9">
        <w:t>Tratamento da dermatite serpinginosa ou larva migrans cutânea; toxocaríase ou larva migrans visceral (</w:t>
      </w:r>
      <w:r w:rsidRPr="00084EA9">
        <w:rPr>
          <w:i/>
        </w:rPr>
        <w:t>Toxocara canis</w:t>
      </w:r>
      <w:r w:rsidRPr="00084EA9">
        <w:t>); triquiníase (</w:t>
      </w:r>
      <w:r w:rsidRPr="00084EA9">
        <w:rPr>
          <w:i/>
        </w:rPr>
        <w:t>Trichinella spiralis</w:t>
      </w:r>
      <w:r w:rsidRPr="00084EA9">
        <w:t>); teníase intestinal (</w:t>
      </w:r>
      <w:r w:rsidRPr="00084EA9">
        <w:rPr>
          <w:i/>
        </w:rPr>
        <w:t>Taenia solium e Taenia saginata)</w:t>
      </w:r>
    </w:p>
    <w:p w:rsidR="006E6CB9" w:rsidRPr="00084EA9" w:rsidRDefault="006E6CB9" w:rsidP="00C52E09">
      <w:pPr>
        <w:pStyle w:val="TM-2n"/>
        <w:numPr>
          <w:ilvl w:val="0"/>
          <w:numId w:val="212"/>
        </w:numPr>
        <w:spacing w:before="120" w:after="0" w:line="276" w:lineRule="auto"/>
      </w:pPr>
      <w:r w:rsidRPr="00084EA9">
        <w:t>Doses e dosagem: adultos e crianças maiores de 2 anos – 400 mg em dose única. Na estrongiloidíase a dose é de 200 mg de 12 em 12 horas durante 3 dias consecutivos. Na dermatite serpinginosa e teníase a dose é de 400mg/dia, durante 3 dias consecutivos.</w:t>
      </w:r>
    </w:p>
    <w:p w:rsidR="006E6CB9" w:rsidRPr="00084EA9" w:rsidRDefault="006E6CB9" w:rsidP="00C52E09">
      <w:pPr>
        <w:pStyle w:val="TM-2n"/>
        <w:numPr>
          <w:ilvl w:val="0"/>
          <w:numId w:val="212"/>
        </w:numPr>
        <w:spacing w:before="120" w:after="0" w:line="276" w:lineRule="auto"/>
      </w:pPr>
      <w:r w:rsidRPr="00084EA9">
        <w:t>Efeitos secundários: ocasionalmente distúrbios gastrointestinais (náuseas, diarreia, dor abdominal), cefaleia e tontura.</w:t>
      </w:r>
    </w:p>
    <w:p w:rsidR="006E6CB9" w:rsidRPr="00084EA9" w:rsidRDefault="006E6CB9" w:rsidP="00C52E09">
      <w:pPr>
        <w:pStyle w:val="TM-2n"/>
        <w:numPr>
          <w:ilvl w:val="0"/>
          <w:numId w:val="212"/>
        </w:numPr>
        <w:spacing w:before="120" w:after="0" w:line="276" w:lineRule="auto"/>
        <w:rPr>
          <w:b/>
        </w:rPr>
      </w:pPr>
      <w:r w:rsidRPr="00084EA9">
        <w:rPr>
          <w:b/>
        </w:rPr>
        <w:t>Contra-indicações: gravidez</w:t>
      </w:r>
    </w:p>
    <w:p w:rsidR="006E6CB9" w:rsidRDefault="006E6CB9" w:rsidP="00C52E09">
      <w:pPr>
        <w:pStyle w:val="TM-2n"/>
        <w:numPr>
          <w:ilvl w:val="0"/>
          <w:numId w:val="212"/>
        </w:numPr>
        <w:spacing w:before="120" w:after="0" w:line="276" w:lineRule="auto"/>
      </w:pPr>
      <w:r w:rsidRPr="00084EA9">
        <w:t>Notas e precauções: recomenda-se ingerir com alimentos ricos em lípidos. Útil na abordagem dos pacientes com diarreia crónica e SIDA.</w:t>
      </w:r>
    </w:p>
    <w:p w:rsidR="0096537C" w:rsidRDefault="0096537C" w:rsidP="0096537C">
      <w:pPr>
        <w:pStyle w:val="TM-2n"/>
        <w:numPr>
          <w:ilvl w:val="0"/>
          <w:numId w:val="0"/>
        </w:numPr>
        <w:spacing w:before="120" w:after="0" w:line="276" w:lineRule="auto"/>
        <w:ind w:left="1004"/>
      </w:pPr>
    </w:p>
    <w:p w:rsidR="00AD66DD" w:rsidRPr="00084EA9" w:rsidRDefault="00AD66DD" w:rsidP="0096537C">
      <w:pPr>
        <w:pStyle w:val="TM-2n"/>
        <w:numPr>
          <w:ilvl w:val="0"/>
          <w:numId w:val="0"/>
        </w:numPr>
        <w:spacing w:before="120" w:after="0" w:line="276" w:lineRule="auto"/>
        <w:ind w:left="1004"/>
      </w:pPr>
    </w:p>
    <w:p w:rsidR="006E6CB9" w:rsidRPr="00084EA9" w:rsidRDefault="006E6CB9" w:rsidP="001B4CDC">
      <w:pPr>
        <w:pStyle w:val="TM-2n"/>
        <w:numPr>
          <w:ilvl w:val="0"/>
          <w:numId w:val="0"/>
        </w:numPr>
        <w:spacing w:before="120" w:after="0" w:line="276" w:lineRule="auto"/>
        <w:ind w:left="284" w:hanging="284"/>
        <w:rPr>
          <w:b/>
        </w:rPr>
      </w:pPr>
      <w:r w:rsidRPr="00AD66DD">
        <w:rPr>
          <w:b/>
        </w:rPr>
        <w:lastRenderedPageBreak/>
        <w:t>2.3</w:t>
      </w:r>
      <w:r w:rsidRPr="00084EA9">
        <w:t xml:space="preserve"> </w:t>
      </w:r>
      <w:r w:rsidRPr="00084EA9">
        <w:rPr>
          <w:b/>
        </w:rPr>
        <w:t>Tiabendazol</w:t>
      </w:r>
    </w:p>
    <w:p w:rsidR="006E6CB9" w:rsidRPr="00084EA9" w:rsidRDefault="006E6CB9" w:rsidP="00C52E09">
      <w:pPr>
        <w:pStyle w:val="TM-2n"/>
        <w:numPr>
          <w:ilvl w:val="0"/>
          <w:numId w:val="213"/>
        </w:numPr>
        <w:spacing w:before="120" w:after="0" w:line="276" w:lineRule="auto"/>
      </w:pPr>
      <w:r w:rsidRPr="00084EA9">
        <w:t>Mecanismo de acção: semelhante ao do mebendazol</w:t>
      </w:r>
    </w:p>
    <w:p w:rsidR="006E6CB9" w:rsidRPr="00084EA9" w:rsidRDefault="006E6CB9" w:rsidP="00C52E09">
      <w:pPr>
        <w:pStyle w:val="TM-2n"/>
        <w:numPr>
          <w:ilvl w:val="0"/>
          <w:numId w:val="213"/>
        </w:numPr>
        <w:spacing w:before="120" w:after="0" w:line="276" w:lineRule="auto"/>
      </w:pPr>
      <w:r w:rsidRPr="00084EA9">
        <w:t>Forma farmacêutica e via de administração: pomadas, via tópica</w:t>
      </w:r>
    </w:p>
    <w:p w:rsidR="006E6CB9" w:rsidRPr="00084EA9" w:rsidRDefault="006E6CB9" w:rsidP="00C52E09">
      <w:pPr>
        <w:pStyle w:val="TM-2n"/>
        <w:numPr>
          <w:ilvl w:val="0"/>
          <w:numId w:val="213"/>
        </w:numPr>
        <w:spacing w:before="120" w:after="0" w:line="276" w:lineRule="auto"/>
      </w:pPr>
      <w:r w:rsidRPr="00084EA9">
        <w:t>Indicações: larva migrans cutânea (dermatite serpinginosa) por nemátodos parasitas de cães e gatos (</w:t>
      </w:r>
      <w:r w:rsidRPr="00084EA9">
        <w:rPr>
          <w:i/>
        </w:rPr>
        <w:t>Ancylostoma caninum</w:t>
      </w:r>
      <w:r w:rsidRPr="00084EA9">
        <w:t>)</w:t>
      </w:r>
    </w:p>
    <w:p w:rsidR="006E6CB9" w:rsidRPr="00084EA9" w:rsidRDefault="006E6CB9" w:rsidP="00C52E09">
      <w:pPr>
        <w:pStyle w:val="TM-2n"/>
        <w:numPr>
          <w:ilvl w:val="0"/>
          <w:numId w:val="213"/>
        </w:numPr>
        <w:spacing w:before="120" w:after="0" w:line="276" w:lineRule="auto"/>
      </w:pPr>
      <w:r w:rsidRPr="00084EA9">
        <w:t>Doses e dosagem: aplicar com fricção suave sobre os trajectos das larvas e um centímetro à volta, de 6 em 6 horas, até cessar o avanço da larva e mais dois dias</w:t>
      </w:r>
    </w:p>
    <w:p w:rsidR="006E6CB9" w:rsidRPr="00084EA9" w:rsidRDefault="006E6CB9" w:rsidP="001B4CDC">
      <w:pPr>
        <w:pStyle w:val="TM-2n"/>
        <w:numPr>
          <w:ilvl w:val="0"/>
          <w:numId w:val="0"/>
        </w:numPr>
        <w:spacing w:before="120" w:after="0" w:line="276" w:lineRule="auto"/>
        <w:ind w:left="284" w:hanging="284"/>
        <w:rPr>
          <w:b/>
        </w:rPr>
      </w:pPr>
      <w:r w:rsidRPr="00AD66DD">
        <w:rPr>
          <w:b/>
        </w:rPr>
        <w:t>2.4</w:t>
      </w:r>
      <w:r w:rsidRPr="00084EA9">
        <w:t xml:space="preserve"> </w:t>
      </w:r>
      <w:r w:rsidRPr="00084EA9">
        <w:rPr>
          <w:b/>
        </w:rPr>
        <w:t>Praziquantel</w:t>
      </w:r>
    </w:p>
    <w:p w:rsidR="006E6CB9" w:rsidRPr="00084EA9" w:rsidRDefault="006E6CB9" w:rsidP="00C52E09">
      <w:pPr>
        <w:pStyle w:val="TM-2n"/>
        <w:numPr>
          <w:ilvl w:val="0"/>
          <w:numId w:val="214"/>
        </w:numPr>
        <w:spacing w:before="120" w:after="0" w:line="276" w:lineRule="auto"/>
      </w:pPr>
      <w:r w:rsidRPr="00084EA9">
        <w:t>Mecanismo de acção: aumenta a permeabilidade das membranas do tremátode e cestódes ao cálcio, resultando em paralisia, deslocamento e morte.</w:t>
      </w:r>
    </w:p>
    <w:p w:rsidR="006E6CB9" w:rsidRPr="00084EA9" w:rsidRDefault="006E6CB9" w:rsidP="00C52E09">
      <w:pPr>
        <w:pStyle w:val="TM-2n"/>
        <w:numPr>
          <w:ilvl w:val="0"/>
          <w:numId w:val="214"/>
        </w:numPr>
        <w:spacing w:before="120" w:after="0" w:line="276" w:lineRule="auto"/>
      </w:pPr>
      <w:r w:rsidRPr="00084EA9">
        <w:t>Forma farmacêutica e via de administração: comprimidos de 600 mg, por via oral</w:t>
      </w:r>
    </w:p>
    <w:p w:rsidR="006E6CB9" w:rsidRPr="00084EA9" w:rsidRDefault="006E6CB9" w:rsidP="00C52E09">
      <w:pPr>
        <w:pStyle w:val="TM-2n"/>
        <w:numPr>
          <w:ilvl w:val="0"/>
          <w:numId w:val="214"/>
        </w:numPr>
        <w:spacing w:before="120" w:after="0" w:line="276" w:lineRule="auto"/>
        <w:rPr>
          <w:i/>
        </w:rPr>
      </w:pPr>
      <w:r w:rsidRPr="00084EA9">
        <w:t xml:space="preserve">Indicações: tratamento de infestações por </w:t>
      </w:r>
      <w:r w:rsidRPr="00084EA9">
        <w:rPr>
          <w:b/>
          <w:i/>
        </w:rPr>
        <w:t>S. haematobium e S. mansoni</w:t>
      </w:r>
      <w:r w:rsidRPr="00084EA9">
        <w:rPr>
          <w:i/>
        </w:rPr>
        <w:t xml:space="preserve">,  Taenia solium e Taenia saginata. </w:t>
      </w:r>
      <w:r w:rsidRPr="00084EA9">
        <w:t>Tratamento das varias formas de cistercose por</w:t>
      </w:r>
      <w:r w:rsidRPr="00084EA9">
        <w:rPr>
          <w:i/>
        </w:rPr>
        <w:t xml:space="preserve"> Taenia solium.</w:t>
      </w:r>
    </w:p>
    <w:p w:rsidR="006E6CB9" w:rsidRPr="00084EA9" w:rsidRDefault="006E6CB9" w:rsidP="00C52E09">
      <w:pPr>
        <w:pStyle w:val="TM-2n"/>
        <w:numPr>
          <w:ilvl w:val="0"/>
          <w:numId w:val="214"/>
        </w:numPr>
        <w:spacing w:before="120" w:after="0" w:line="276" w:lineRule="auto"/>
      </w:pPr>
      <w:r w:rsidRPr="00084EA9">
        <w:t>Doses e dosagem: 40 mg/kg em dose única</w:t>
      </w:r>
    </w:p>
    <w:p w:rsidR="006E6CB9" w:rsidRPr="00084EA9" w:rsidRDefault="006E6CB9" w:rsidP="00C52E09">
      <w:pPr>
        <w:pStyle w:val="TM-2n"/>
        <w:numPr>
          <w:ilvl w:val="0"/>
          <w:numId w:val="214"/>
        </w:numPr>
        <w:spacing w:before="120" w:after="0" w:line="276" w:lineRule="auto"/>
      </w:pPr>
      <w:r w:rsidRPr="00084EA9">
        <w:t>Efeitos secundários: bem tolerado, ocasionalmente desconforto abdominal, náuseas, cefaleia, vertigens e sonolência.</w:t>
      </w:r>
    </w:p>
    <w:p w:rsidR="006E6CB9" w:rsidRPr="00084EA9" w:rsidRDefault="006E6CB9" w:rsidP="00C52E09">
      <w:pPr>
        <w:pStyle w:val="TM-2n"/>
        <w:numPr>
          <w:ilvl w:val="0"/>
          <w:numId w:val="214"/>
        </w:numPr>
        <w:spacing w:before="120" w:after="0" w:line="276" w:lineRule="auto"/>
      </w:pPr>
      <w:r w:rsidRPr="00084EA9">
        <w:t xml:space="preserve">Notas e precauções: as precauções são quando se usam o fármaco para outras infestações por </w:t>
      </w:r>
      <w:r w:rsidRPr="00084EA9">
        <w:rPr>
          <w:i/>
        </w:rPr>
        <w:t>taenias</w:t>
      </w:r>
      <w:r w:rsidRPr="00084EA9">
        <w:t xml:space="preserve">, como no caso da neurocistecercose, cisticercose ocular ou espinhal – nestes casos consultar o médico. </w:t>
      </w:r>
    </w:p>
    <w:p w:rsidR="006E6CB9" w:rsidRPr="00084EA9" w:rsidRDefault="006E6CB9" w:rsidP="001B4CDC">
      <w:pPr>
        <w:pStyle w:val="TM-2n"/>
        <w:numPr>
          <w:ilvl w:val="0"/>
          <w:numId w:val="0"/>
        </w:numPr>
        <w:spacing w:before="120" w:after="0" w:line="276" w:lineRule="auto"/>
        <w:ind w:left="284" w:hanging="284"/>
        <w:rPr>
          <w:b/>
        </w:rPr>
      </w:pPr>
      <w:r w:rsidRPr="00AD66DD">
        <w:rPr>
          <w:b/>
        </w:rPr>
        <w:t>2.5</w:t>
      </w:r>
      <w:r w:rsidRPr="00084EA9">
        <w:t xml:space="preserve"> </w:t>
      </w:r>
      <w:r w:rsidRPr="00084EA9">
        <w:rPr>
          <w:b/>
        </w:rPr>
        <w:t>Hexacloreto de Benzeno (Lindano)</w:t>
      </w:r>
    </w:p>
    <w:p w:rsidR="006E6CB9" w:rsidRPr="00084EA9" w:rsidRDefault="006E6CB9" w:rsidP="00C52E09">
      <w:pPr>
        <w:pStyle w:val="TM-2n"/>
        <w:numPr>
          <w:ilvl w:val="0"/>
          <w:numId w:val="215"/>
        </w:numPr>
        <w:spacing w:before="120" w:after="0" w:line="276" w:lineRule="auto"/>
      </w:pPr>
      <w:r w:rsidRPr="00084EA9">
        <w:t>Mecanismo de acção: indução da hiperestimulação neuronal e consequente paralisia e morte do parasita</w:t>
      </w:r>
    </w:p>
    <w:p w:rsidR="006E6CB9" w:rsidRPr="00084EA9" w:rsidRDefault="006E6CB9" w:rsidP="00C52E09">
      <w:pPr>
        <w:pStyle w:val="TM-2n"/>
        <w:numPr>
          <w:ilvl w:val="0"/>
          <w:numId w:val="215"/>
        </w:numPr>
        <w:spacing w:before="120" w:after="0" w:line="276" w:lineRule="auto"/>
      </w:pPr>
      <w:r w:rsidRPr="00084EA9">
        <w:t>Forma farmacêutica e via de administração: loção 600 mg/60 ml por via tópica cutânea</w:t>
      </w:r>
    </w:p>
    <w:p w:rsidR="006E6CB9" w:rsidRPr="00084EA9" w:rsidRDefault="006E6CB9" w:rsidP="00C52E09">
      <w:pPr>
        <w:pStyle w:val="TM-2n"/>
        <w:numPr>
          <w:ilvl w:val="0"/>
          <w:numId w:val="215"/>
        </w:numPr>
        <w:spacing w:before="120" w:after="0" w:line="276" w:lineRule="auto"/>
        <w:rPr>
          <w:i/>
        </w:rPr>
      </w:pPr>
      <w:r w:rsidRPr="00084EA9">
        <w:t xml:space="preserve">Indicações: </w:t>
      </w:r>
      <w:r w:rsidRPr="00084EA9">
        <w:rPr>
          <w:b/>
        </w:rPr>
        <w:t>sarna</w:t>
      </w:r>
      <w:r w:rsidRPr="00084EA9">
        <w:t xml:space="preserve"> (</w:t>
      </w:r>
      <w:r w:rsidRPr="00084EA9">
        <w:rPr>
          <w:i/>
        </w:rPr>
        <w:t>sarcoptes scabiei</w:t>
      </w:r>
      <w:r w:rsidRPr="00084EA9">
        <w:t xml:space="preserve">); </w:t>
      </w:r>
      <w:r w:rsidRPr="00084EA9">
        <w:rPr>
          <w:b/>
        </w:rPr>
        <w:t>pediculose</w:t>
      </w:r>
      <w:r w:rsidRPr="00084EA9">
        <w:t xml:space="preserve"> (</w:t>
      </w:r>
      <w:r w:rsidRPr="00084EA9">
        <w:rPr>
          <w:i/>
        </w:rPr>
        <w:t>pediculus humanus, pthirus pubis)</w:t>
      </w:r>
    </w:p>
    <w:p w:rsidR="006E6CB9" w:rsidRPr="00084EA9" w:rsidRDefault="006E6CB9" w:rsidP="00C52E09">
      <w:pPr>
        <w:pStyle w:val="TM-2n"/>
        <w:numPr>
          <w:ilvl w:val="0"/>
          <w:numId w:val="215"/>
        </w:numPr>
        <w:spacing w:before="120" w:after="0" w:line="276" w:lineRule="auto"/>
      </w:pPr>
      <w:r w:rsidRPr="00084EA9">
        <w:t>Doses e dosagem: Sarna – aplicar à noite, depois de um banho com água quente e sabão, do queixo à planta dos pés insistindo onde há lesões ou prurido. Deixar na pele 24 h. Tomar novo banho e mudar de roupa do corpo e da cama, esta roupa deve ser muito bem lavada e passada a ferro. Na pediculose – aplicar nas áreas afectadas. O medicamento é lavado passado 12-24 h, deve se reaplicar depois de 7 dias</w:t>
      </w:r>
    </w:p>
    <w:p w:rsidR="006E6CB9" w:rsidRPr="00084EA9" w:rsidRDefault="006E6CB9" w:rsidP="006E6CB9">
      <w:pPr>
        <w:pStyle w:val="TM-2n"/>
        <w:numPr>
          <w:ilvl w:val="0"/>
          <w:numId w:val="0"/>
        </w:numPr>
        <w:spacing w:before="120" w:after="0" w:line="276" w:lineRule="auto"/>
        <w:ind w:left="284"/>
      </w:pPr>
      <w:r w:rsidRPr="00084EA9">
        <w:t>Tabela resumo de alguns anti-parasitários em uso em Moçambique</w:t>
      </w:r>
    </w:p>
    <w:tbl>
      <w:tblPr>
        <w:tblW w:w="5000" w:type="pct"/>
        <w:jc w:val="center"/>
        <w:tblBorders>
          <w:top w:val="single" w:sz="8" w:space="0" w:color="4BACC6"/>
          <w:bottom w:val="single" w:sz="8" w:space="0" w:color="4BACC6"/>
          <w:insideH w:val="single" w:sz="4" w:space="0" w:color="auto"/>
          <w:insideV w:val="single" w:sz="4" w:space="0" w:color="auto"/>
        </w:tblBorders>
        <w:tblLook w:val="04A0" w:firstRow="1" w:lastRow="0" w:firstColumn="1" w:lastColumn="0" w:noHBand="0" w:noVBand="1"/>
      </w:tblPr>
      <w:tblGrid>
        <w:gridCol w:w="2226"/>
        <w:gridCol w:w="3339"/>
        <w:gridCol w:w="2050"/>
        <w:gridCol w:w="2779"/>
      </w:tblGrid>
      <w:tr w:rsidR="006E6CB9" w:rsidRPr="00084EA9" w:rsidTr="006E6CB9">
        <w:trPr>
          <w:trHeight w:val="144"/>
          <w:jc w:val="center"/>
        </w:trPr>
        <w:tc>
          <w:tcPr>
            <w:tcW w:w="1071" w:type="pct"/>
          </w:tcPr>
          <w:p w:rsidR="006E6CB9" w:rsidRPr="00084EA9" w:rsidRDefault="006E6CB9" w:rsidP="006E6CB9">
            <w:pPr>
              <w:spacing w:line="240" w:lineRule="auto"/>
              <w:jc w:val="center"/>
              <w:rPr>
                <w:rFonts w:cs="Arial"/>
                <w:b/>
                <w:bCs/>
                <w:sz w:val="20"/>
                <w:szCs w:val="20"/>
              </w:rPr>
            </w:pPr>
            <w:r w:rsidRPr="00084EA9">
              <w:rPr>
                <w:rFonts w:cs="Arial"/>
                <w:b/>
                <w:bCs/>
                <w:sz w:val="20"/>
                <w:szCs w:val="20"/>
              </w:rPr>
              <w:t>Fármaco</w:t>
            </w:r>
          </w:p>
        </w:tc>
        <w:tc>
          <w:tcPr>
            <w:tcW w:w="1606" w:type="pct"/>
          </w:tcPr>
          <w:p w:rsidR="006E6CB9" w:rsidRPr="00084EA9" w:rsidRDefault="006E6CB9" w:rsidP="006E6CB9">
            <w:pPr>
              <w:spacing w:line="240" w:lineRule="auto"/>
              <w:jc w:val="center"/>
              <w:rPr>
                <w:rFonts w:cs="Arial"/>
                <w:b/>
                <w:bCs/>
                <w:sz w:val="20"/>
                <w:szCs w:val="20"/>
              </w:rPr>
            </w:pPr>
            <w:r w:rsidRPr="00084EA9">
              <w:rPr>
                <w:rFonts w:cs="Arial"/>
                <w:b/>
                <w:bCs/>
                <w:sz w:val="20"/>
                <w:szCs w:val="20"/>
              </w:rPr>
              <w:t>Indicações</w:t>
            </w:r>
          </w:p>
        </w:tc>
        <w:tc>
          <w:tcPr>
            <w:tcW w:w="986" w:type="pct"/>
          </w:tcPr>
          <w:p w:rsidR="006E6CB9" w:rsidRPr="00084EA9" w:rsidRDefault="006E6CB9" w:rsidP="006E6CB9">
            <w:pPr>
              <w:spacing w:line="240" w:lineRule="auto"/>
              <w:jc w:val="center"/>
              <w:rPr>
                <w:rFonts w:cs="Arial"/>
                <w:b/>
                <w:bCs/>
                <w:sz w:val="20"/>
                <w:szCs w:val="20"/>
              </w:rPr>
            </w:pPr>
            <w:r w:rsidRPr="00084EA9">
              <w:rPr>
                <w:rFonts w:cs="Arial"/>
                <w:b/>
                <w:bCs/>
                <w:sz w:val="20"/>
                <w:szCs w:val="20"/>
              </w:rPr>
              <w:t>Doses</w:t>
            </w:r>
          </w:p>
        </w:tc>
        <w:tc>
          <w:tcPr>
            <w:tcW w:w="1337" w:type="pct"/>
          </w:tcPr>
          <w:p w:rsidR="006E6CB9" w:rsidRPr="00084EA9" w:rsidRDefault="006E6CB9" w:rsidP="006E6CB9">
            <w:pPr>
              <w:spacing w:line="240" w:lineRule="auto"/>
              <w:jc w:val="center"/>
              <w:rPr>
                <w:rFonts w:cs="Arial"/>
                <w:b/>
                <w:bCs/>
                <w:sz w:val="20"/>
                <w:szCs w:val="20"/>
              </w:rPr>
            </w:pPr>
            <w:r w:rsidRPr="00084EA9">
              <w:rPr>
                <w:rFonts w:cs="Arial"/>
                <w:b/>
                <w:bCs/>
                <w:sz w:val="20"/>
                <w:szCs w:val="20"/>
              </w:rPr>
              <w:t>Observações</w:t>
            </w:r>
          </w:p>
        </w:tc>
      </w:tr>
      <w:tr w:rsidR="006E6CB9" w:rsidRPr="00FC6E81" w:rsidTr="006E6CB9">
        <w:trPr>
          <w:trHeight w:val="1485"/>
          <w:jc w:val="center"/>
        </w:trPr>
        <w:tc>
          <w:tcPr>
            <w:tcW w:w="1071" w:type="pct"/>
            <w:shd w:val="clear" w:color="auto" w:fill="D2EAF1"/>
          </w:tcPr>
          <w:p w:rsidR="006E6CB9" w:rsidRPr="00084EA9" w:rsidRDefault="006E6CB9" w:rsidP="006E6CB9">
            <w:pPr>
              <w:spacing w:line="240" w:lineRule="auto"/>
              <w:jc w:val="both"/>
              <w:rPr>
                <w:rFonts w:cs="Arial"/>
                <w:b/>
                <w:bCs/>
                <w:sz w:val="20"/>
                <w:szCs w:val="20"/>
              </w:rPr>
            </w:pPr>
            <w:r w:rsidRPr="00084EA9">
              <w:rPr>
                <w:rFonts w:cs="Arial"/>
                <w:b/>
                <w:bCs/>
                <w:sz w:val="20"/>
                <w:szCs w:val="20"/>
              </w:rPr>
              <w:t>Mebendazol</w:t>
            </w:r>
          </w:p>
        </w:tc>
        <w:tc>
          <w:tcPr>
            <w:tcW w:w="1606" w:type="pct"/>
            <w:vMerge w:val="restart"/>
            <w:shd w:val="clear" w:color="auto" w:fill="D2EAF1"/>
          </w:tcPr>
          <w:p w:rsidR="006E6CB9" w:rsidRPr="006E6CB9" w:rsidRDefault="006E6CB9" w:rsidP="006E6CB9">
            <w:pPr>
              <w:spacing w:line="240" w:lineRule="auto"/>
              <w:jc w:val="both"/>
              <w:rPr>
                <w:rFonts w:cs="Arial"/>
                <w:sz w:val="20"/>
                <w:szCs w:val="20"/>
                <w:lang w:val="pt-BR"/>
              </w:rPr>
            </w:pPr>
            <w:r w:rsidRPr="006E6CB9">
              <w:rPr>
                <w:rFonts w:cs="Arial"/>
                <w:sz w:val="20"/>
                <w:szCs w:val="20"/>
                <w:lang w:val="pt-BR"/>
              </w:rPr>
              <w:t>Desparasitação intestinal</w:t>
            </w:r>
          </w:p>
          <w:p w:rsidR="006E6CB9" w:rsidRPr="006E6CB9" w:rsidRDefault="006E6CB9" w:rsidP="006E6CB9">
            <w:pPr>
              <w:spacing w:line="240" w:lineRule="auto"/>
              <w:jc w:val="both"/>
              <w:rPr>
                <w:rFonts w:cs="Arial"/>
                <w:sz w:val="20"/>
                <w:szCs w:val="20"/>
                <w:lang w:val="pt-BR"/>
              </w:rPr>
            </w:pPr>
            <w:r w:rsidRPr="006E6CB9">
              <w:rPr>
                <w:rFonts w:cs="Arial"/>
                <w:sz w:val="20"/>
                <w:szCs w:val="20"/>
                <w:lang w:val="pt-BR"/>
              </w:rPr>
              <w:t xml:space="preserve">O espectro de Mebendazol é menor que o do albendazol e inclui: </w:t>
            </w:r>
            <w:r w:rsidRPr="006E6CB9">
              <w:rPr>
                <w:rFonts w:cs="Arial"/>
                <w:i/>
                <w:sz w:val="20"/>
                <w:szCs w:val="20"/>
                <w:lang w:val="pt-BR"/>
              </w:rPr>
              <w:t xml:space="preserve">Ascaris lumbricóides, Enterobius vermicularis, Trichiuris trichiura, Ancylostoma duodenal e Trichinella </w:t>
            </w:r>
            <w:r w:rsidRPr="006E6CB9">
              <w:rPr>
                <w:rFonts w:cs="Arial"/>
                <w:sz w:val="20"/>
                <w:szCs w:val="20"/>
                <w:lang w:val="pt-BR"/>
              </w:rPr>
              <w:t xml:space="preserve">spiralis. </w:t>
            </w:r>
          </w:p>
          <w:p w:rsidR="006E6CB9" w:rsidRPr="006E6CB9" w:rsidRDefault="006E6CB9" w:rsidP="006E6CB9">
            <w:pPr>
              <w:spacing w:line="240" w:lineRule="auto"/>
              <w:jc w:val="both"/>
              <w:rPr>
                <w:rFonts w:cs="Arial"/>
                <w:sz w:val="20"/>
                <w:szCs w:val="20"/>
                <w:lang w:val="pt-BR"/>
              </w:rPr>
            </w:pPr>
            <w:r w:rsidRPr="006E6CB9">
              <w:rPr>
                <w:rFonts w:cs="Arial"/>
                <w:sz w:val="20"/>
                <w:szCs w:val="20"/>
                <w:lang w:val="pt-BR"/>
              </w:rPr>
              <w:t xml:space="preserve">O Albendazol inclui todas parasitoses do mebendazol e outras como: larva migrans cutânea e visceral, teníase intestinal, </w:t>
            </w:r>
            <w:r w:rsidRPr="006E6CB9">
              <w:rPr>
                <w:rFonts w:cs="Arial"/>
                <w:i/>
                <w:sz w:val="20"/>
                <w:szCs w:val="20"/>
                <w:lang w:val="pt-BR"/>
              </w:rPr>
              <w:t xml:space="preserve">Strongiloide stercolaris, </w:t>
            </w:r>
            <w:r w:rsidRPr="006E6CB9">
              <w:rPr>
                <w:rFonts w:cs="Arial"/>
                <w:i/>
                <w:sz w:val="20"/>
                <w:szCs w:val="20"/>
                <w:lang w:val="pt-BR"/>
              </w:rPr>
              <w:lastRenderedPageBreak/>
              <w:t>Tricocephalus trichuris</w:t>
            </w:r>
            <w:r w:rsidRPr="006E6CB9">
              <w:rPr>
                <w:rFonts w:cs="Arial"/>
                <w:sz w:val="20"/>
                <w:szCs w:val="20"/>
                <w:lang w:val="pt-BR"/>
              </w:rPr>
              <w:t xml:space="preserve"> </w:t>
            </w:r>
          </w:p>
        </w:tc>
        <w:tc>
          <w:tcPr>
            <w:tcW w:w="986" w:type="pct"/>
            <w:vMerge w:val="restart"/>
            <w:shd w:val="clear" w:color="auto" w:fill="D2EAF1"/>
          </w:tcPr>
          <w:p w:rsidR="006E6CB9" w:rsidRPr="006E6CB9" w:rsidRDefault="006E6CB9" w:rsidP="006E6CB9">
            <w:pPr>
              <w:spacing w:line="240" w:lineRule="auto"/>
              <w:jc w:val="both"/>
              <w:rPr>
                <w:rFonts w:cs="Arial"/>
                <w:sz w:val="20"/>
                <w:szCs w:val="20"/>
                <w:lang w:val="pt-BR"/>
              </w:rPr>
            </w:pPr>
            <w:r w:rsidRPr="006E6CB9">
              <w:rPr>
                <w:rFonts w:cs="Arial"/>
                <w:sz w:val="20"/>
                <w:szCs w:val="20"/>
                <w:lang w:val="pt-BR"/>
              </w:rPr>
              <w:lastRenderedPageBreak/>
              <w:t>Mebendazol: Adultos – 100 mg de 12 em 12 horas por 3 dias; Crianças menores de 20kg – 50 mg de 12/12 horas por 3 dias</w:t>
            </w:r>
          </w:p>
          <w:p w:rsidR="006E6CB9" w:rsidRPr="006E6CB9" w:rsidRDefault="006E6CB9" w:rsidP="006E6CB9">
            <w:pPr>
              <w:spacing w:line="240" w:lineRule="auto"/>
              <w:jc w:val="both"/>
              <w:rPr>
                <w:rFonts w:cs="Arial"/>
                <w:sz w:val="20"/>
                <w:szCs w:val="20"/>
                <w:lang w:val="pt-BR"/>
              </w:rPr>
            </w:pPr>
            <w:r w:rsidRPr="006E6CB9">
              <w:rPr>
                <w:rFonts w:cs="Arial"/>
                <w:sz w:val="20"/>
                <w:szCs w:val="20"/>
                <w:lang w:val="pt-BR"/>
              </w:rPr>
              <w:t xml:space="preserve">Albendazol: Adultos e crianças mais de 2 anos – 400 mg dose única; crianças entre 1 a 2 anos – 200 mg em dose </w:t>
            </w:r>
            <w:r w:rsidRPr="006E6CB9">
              <w:rPr>
                <w:rFonts w:cs="Arial"/>
                <w:sz w:val="20"/>
                <w:szCs w:val="20"/>
                <w:lang w:val="pt-BR"/>
              </w:rPr>
              <w:lastRenderedPageBreak/>
              <w:t>única</w:t>
            </w:r>
          </w:p>
        </w:tc>
        <w:tc>
          <w:tcPr>
            <w:tcW w:w="1337" w:type="pct"/>
            <w:vMerge w:val="restart"/>
            <w:shd w:val="clear" w:color="auto" w:fill="D2EAF1"/>
          </w:tcPr>
          <w:p w:rsidR="006E6CB9" w:rsidRPr="006E6CB9" w:rsidRDefault="006E6CB9" w:rsidP="006E6CB9">
            <w:pPr>
              <w:spacing w:line="240" w:lineRule="auto"/>
              <w:jc w:val="both"/>
              <w:rPr>
                <w:rFonts w:cs="Arial"/>
                <w:sz w:val="20"/>
                <w:szCs w:val="20"/>
                <w:lang w:val="pt-BR"/>
              </w:rPr>
            </w:pPr>
            <w:r w:rsidRPr="006E6CB9">
              <w:rPr>
                <w:rFonts w:cs="Arial"/>
                <w:sz w:val="20"/>
                <w:szCs w:val="20"/>
                <w:lang w:val="pt-BR"/>
              </w:rPr>
              <w:lastRenderedPageBreak/>
              <w:t>Usado na desparasitação massiva em crianças nas campanhas.</w:t>
            </w:r>
          </w:p>
          <w:p w:rsidR="006E6CB9" w:rsidRPr="006E6CB9" w:rsidRDefault="006E6CB9" w:rsidP="006E6CB9">
            <w:pPr>
              <w:spacing w:line="240" w:lineRule="auto"/>
              <w:jc w:val="both"/>
              <w:rPr>
                <w:rFonts w:cs="Arial"/>
                <w:sz w:val="20"/>
                <w:szCs w:val="20"/>
                <w:lang w:val="pt-BR"/>
              </w:rPr>
            </w:pPr>
            <w:r w:rsidRPr="006E6CB9">
              <w:rPr>
                <w:rFonts w:cs="Arial"/>
                <w:sz w:val="20"/>
                <w:szCs w:val="20"/>
                <w:lang w:val="pt-BR"/>
              </w:rPr>
              <w:t>Desparasitação de rotina em crianças menores de 5 anos e maiores de 1 ano, desparasitação da mulher grávida</w:t>
            </w:r>
          </w:p>
          <w:p w:rsidR="006E6CB9" w:rsidRPr="006E6CB9" w:rsidRDefault="006E6CB9" w:rsidP="006E6CB9">
            <w:pPr>
              <w:spacing w:line="240" w:lineRule="auto"/>
              <w:jc w:val="both"/>
              <w:rPr>
                <w:rFonts w:cs="Arial"/>
                <w:sz w:val="20"/>
                <w:szCs w:val="20"/>
                <w:lang w:val="pt-BR"/>
              </w:rPr>
            </w:pPr>
            <w:r w:rsidRPr="006E6CB9">
              <w:rPr>
                <w:rFonts w:cs="Arial"/>
                <w:sz w:val="20"/>
                <w:szCs w:val="20"/>
                <w:lang w:val="pt-BR"/>
              </w:rPr>
              <w:t>O albendazol não deve ser dado na gravidez</w:t>
            </w:r>
          </w:p>
        </w:tc>
      </w:tr>
      <w:tr w:rsidR="006E6CB9" w:rsidRPr="00084EA9" w:rsidTr="006E6CB9">
        <w:trPr>
          <w:trHeight w:val="144"/>
          <w:jc w:val="center"/>
        </w:trPr>
        <w:tc>
          <w:tcPr>
            <w:tcW w:w="1071" w:type="pct"/>
          </w:tcPr>
          <w:p w:rsidR="006E6CB9" w:rsidRPr="00084EA9" w:rsidRDefault="006E6CB9" w:rsidP="006E6CB9">
            <w:pPr>
              <w:spacing w:line="240" w:lineRule="auto"/>
              <w:jc w:val="both"/>
              <w:rPr>
                <w:rFonts w:cs="Arial"/>
                <w:b/>
                <w:bCs/>
                <w:sz w:val="20"/>
                <w:szCs w:val="20"/>
              </w:rPr>
            </w:pPr>
            <w:r w:rsidRPr="00084EA9">
              <w:rPr>
                <w:rFonts w:cs="Arial"/>
                <w:b/>
                <w:bCs/>
                <w:sz w:val="20"/>
                <w:szCs w:val="20"/>
              </w:rPr>
              <w:t>Albendazol</w:t>
            </w:r>
          </w:p>
        </w:tc>
        <w:tc>
          <w:tcPr>
            <w:tcW w:w="1606" w:type="pct"/>
            <w:vMerge/>
          </w:tcPr>
          <w:p w:rsidR="006E6CB9" w:rsidRPr="00084EA9" w:rsidRDefault="006E6CB9" w:rsidP="006E6CB9">
            <w:pPr>
              <w:spacing w:line="240" w:lineRule="auto"/>
              <w:jc w:val="both"/>
              <w:rPr>
                <w:rFonts w:cs="Arial"/>
                <w:sz w:val="20"/>
                <w:szCs w:val="20"/>
              </w:rPr>
            </w:pPr>
          </w:p>
        </w:tc>
        <w:tc>
          <w:tcPr>
            <w:tcW w:w="986" w:type="pct"/>
            <w:vMerge/>
          </w:tcPr>
          <w:p w:rsidR="006E6CB9" w:rsidRPr="00084EA9" w:rsidRDefault="006E6CB9" w:rsidP="006E6CB9">
            <w:pPr>
              <w:spacing w:line="240" w:lineRule="auto"/>
              <w:jc w:val="both"/>
              <w:rPr>
                <w:rFonts w:cs="Arial"/>
                <w:sz w:val="20"/>
                <w:szCs w:val="20"/>
              </w:rPr>
            </w:pPr>
          </w:p>
        </w:tc>
        <w:tc>
          <w:tcPr>
            <w:tcW w:w="1337" w:type="pct"/>
            <w:vMerge/>
          </w:tcPr>
          <w:p w:rsidR="006E6CB9" w:rsidRPr="00084EA9" w:rsidRDefault="006E6CB9" w:rsidP="006E6CB9">
            <w:pPr>
              <w:spacing w:line="240" w:lineRule="auto"/>
              <w:jc w:val="both"/>
              <w:rPr>
                <w:rFonts w:cs="Arial"/>
                <w:sz w:val="20"/>
                <w:szCs w:val="20"/>
              </w:rPr>
            </w:pPr>
          </w:p>
        </w:tc>
      </w:tr>
      <w:tr w:rsidR="006E6CB9" w:rsidRPr="00084EA9" w:rsidTr="006E6CB9">
        <w:trPr>
          <w:trHeight w:val="144"/>
          <w:jc w:val="center"/>
        </w:trPr>
        <w:tc>
          <w:tcPr>
            <w:tcW w:w="1071" w:type="pct"/>
          </w:tcPr>
          <w:p w:rsidR="006E6CB9" w:rsidRPr="00084EA9" w:rsidRDefault="006E6CB9" w:rsidP="006E6CB9">
            <w:pPr>
              <w:spacing w:line="240" w:lineRule="auto"/>
              <w:jc w:val="both"/>
              <w:rPr>
                <w:rFonts w:cs="Arial"/>
                <w:b/>
                <w:bCs/>
                <w:sz w:val="20"/>
                <w:szCs w:val="20"/>
              </w:rPr>
            </w:pPr>
            <w:r w:rsidRPr="00084EA9">
              <w:rPr>
                <w:rFonts w:cs="Arial"/>
                <w:b/>
                <w:bCs/>
                <w:sz w:val="20"/>
                <w:szCs w:val="20"/>
              </w:rPr>
              <w:lastRenderedPageBreak/>
              <w:t xml:space="preserve">Tiabendazol </w:t>
            </w:r>
          </w:p>
        </w:tc>
        <w:tc>
          <w:tcPr>
            <w:tcW w:w="1606" w:type="pct"/>
          </w:tcPr>
          <w:p w:rsidR="006E6CB9" w:rsidRPr="00084EA9" w:rsidRDefault="006E6CB9" w:rsidP="006E6CB9">
            <w:pPr>
              <w:spacing w:line="240" w:lineRule="auto"/>
              <w:jc w:val="both"/>
              <w:rPr>
                <w:rFonts w:cs="Arial"/>
                <w:sz w:val="20"/>
                <w:szCs w:val="20"/>
              </w:rPr>
            </w:pPr>
            <w:r w:rsidRPr="00084EA9">
              <w:rPr>
                <w:rFonts w:cs="Arial"/>
                <w:sz w:val="20"/>
                <w:szCs w:val="20"/>
              </w:rPr>
              <w:t>Tratamento da dermatite serpinginosa</w:t>
            </w:r>
          </w:p>
        </w:tc>
        <w:tc>
          <w:tcPr>
            <w:tcW w:w="986" w:type="pct"/>
          </w:tcPr>
          <w:p w:rsidR="006E6CB9" w:rsidRPr="00084EA9" w:rsidRDefault="006E6CB9" w:rsidP="006E6CB9">
            <w:pPr>
              <w:spacing w:line="240" w:lineRule="auto"/>
              <w:jc w:val="both"/>
              <w:rPr>
                <w:rFonts w:cs="Arial"/>
                <w:sz w:val="20"/>
                <w:szCs w:val="20"/>
                <w:lang w:val="pt-BR"/>
              </w:rPr>
            </w:pPr>
            <w:r w:rsidRPr="00084EA9">
              <w:rPr>
                <w:rFonts w:cs="Arial"/>
                <w:sz w:val="20"/>
                <w:szCs w:val="20"/>
                <w:lang w:val="pt-BR"/>
              </w:rPr>
              <w:t>Administração tópica cutânea, aplicando 4 vezes por dia até a larva morrer e mais 2 dias</w:t>
            </w:r>
          </w:p>
        </w:tc>
        <w:tc>
          <w:tcPr>
            <w:tcW w:w="1337" w:type="pct"/>
          </w:tcPr>
          <w:p w:rsidR="006E6CB9" w:rsidRPr="00084EA9" w:rsidRDefault="006E6CB9" w:rsidP="006E6CB9">
            <w:pPr>
              <w:spacing w:line="240" w:lineRule="auto"/>
              <w:jc w:val="both"/>
              <w:rPr>
                <w:rFonts w:cs="Arial"/>
                <w:sz w:val="20"/>
                <w:szCs w:val="20"/>
              </w:rPr>
            </w:pPr>
            <w:r w:rsidRPr="00084EA9">
              <w:rPr>
                <w:rFonts w:cs="Arial"/>
                <w:sz w:val="20"/>
                <w:szCs w:val="20"/>
              </w:rPr>
              <w:t>----------------------</w:t>
            </w:r>
          </w:p>
        </w:tc>
      </w:tr>
      <w:tr w:rsidR="006E6CB9" w:rsidRPr="00FC6E81" w:rsidTr="006E6CB9">
        <w:trPr>
          <w:trHeight w:val="144"/>
          <w:jc w:val="center"/>
        </w:trPr>
        <w:tc>
          <w:tcPr>
            <w:tcW w:w="1071" w:type="pct"/>
            <w:shd w:val="clear" w:color="auto" w:fill="D2EAF1"/>
          </w:tcPr>
          <w:p w:rsidR="006E6CB9" w:rsidRPr="00084EA9" w:rsidRDefault="006E6CB9" w:rsidP="006E6CB9">
            <w:pPr>
              <w:spacing w:line="240" w:lineRule="auto"/>
              <w:jc w:val="both"/>
              <w:rPr>
                <w:rFonts w:cs="Arial"/>
                <w:b/>
                <w:bCs/>
                <w:sz w:val="20"/>
                <w:szCs w:val="20"/>
              </w:rPr>
            </w:pPr>
            <w:r w:rsidRPr="00084EA9">
              <w:rPr>
                <w:rFonts w:cs="Arial"/>
                <w:b/>
                <w:bCs/>
                <w:sz w:val="20"/>
                <w:szCs w:val="20"/>
              </w:rPr>
              <w:t xml:space="preserve">Praziquantel </w:t>
            </w:r>
          </w:p>
        </w:tc>
        <w:tc>
          <w:tcPr>
            <w:tcW w:w="1606" w:type="pct"/>
            <w:shd w:val="clear" w:color="auto" w:fill="D2EAF1"/>
          </w:tcPr>
          <w:p w:rsidR="006E6CB9" w:rsidRPr="006E6CB9" w:rsidRDefault="006E6CB9" w:rsidP="006E6CB9">
            <w:pPr>
              <w:spacing w:line="240" w:lineRule="auto"/>
              <w:jc w:val="both"/>
              <w:rPr>
                <w:rFonts w:cs="Arial"/>
                <w:sz w:val="20"/>
                <w:szCs w:val="20"/>
                <w:lang w:val="pt-BR"/>
              </w:rPr>
            </w:pPr>
            <w:r w:rsidRPr="006E6CB9">
              <w:rPr>
                <w:rFonts w:cs="Arial"/>
                <w:sz w:val="20"/>
                <w:szCs w:val="20"/>
                <w:lang w:val="pt-BR"/>
              </w:rPr>
              <w:t>Tratamento da schistossomíase vesical e hepática</w:t>
            </w:r>
          </w:p>
        </w:tc>
        <w:tc>
          <w:tcPr>
            <w:tcW w:w="986" w:type="pct"/>
            <w:shd w:val="clear" w:color="auto" w:fill="D2EAF1"/>
          </w:tcPr>
          <w:p w:rsidR="006E6CB9" w:rsidRPr="006E6CB9" w:rsidRDefault="006E6CB9" w:rsidP="006E6CB9">
            <w:pPr>
              <w:spacing w:line="240" w:lineRule="auto"/>
              <w:jc w:val="both"/>
              <w:rPr>
                <w:rFonts w:cs="Arial"/>
                <w:sz w:val="20"/>
                <w:szCs w:val="20"/>
                <w:lang w:val="pt-BR"/>
              </w:rPr>
            </w:pPr>
            <w:r w:rsidRPr="006E6CB9">
              <w:rPr>
                <w:rFonts w:cs="Arial"/>
                <w:sz w:val="20"/>
                <w:szCs w:val="20"/>
                <w:lang w:val="pt-BR"/>
              </w:rPr>
              <w:t>40 mg/kg em dose única</w:t>
            </w:r>
          </w:p>
        </w:tc>
        <w:tc>
          <w:tcPr>
            <w:tcW w:w="1337" w:type="pct"/>
            <w:shd w:val="clear" w:color="auto" w:fill="D2EAF1"/>
          </w:tcPr>
          <w:p w:rsidR="006E6CB9" w:rsidRPr="006E6CB9" w:rsidRDefault="006E6CB9" w:rsidP="006E6CB9">
            <w:pPr>
              <w:spacing w:line="240" w:lineRule="auto"/>
              <w:jc w:val="both"/>
              <w:rPr>
                <w:rFonts w:cs="Arial"/>
                <w:sz w:val="20"/>
                <w:szCs w:val="20"/>
                <w:lang w:val="pt-BR"/>
              </w:rPr>
            </w:pPr>
            <w:r w:rsidRPr="006E6CB9">
              <w:rPr>
                <w:rFonts w:cs="Arial"/>
                <w:sz w:val="20"/>
                <w:szCs w:val="20"/>
                <w:lang w:val="pt-BR"/>
              </w:rPr>
              <w:t>Usada na desparasitação de rotina em crianças em idade escolar</w:t>
            </w:r>
          </w:p>
        </w:tc>
      </w:tr>
      <w:tr w:rsidR="006E6CB9" w:rsidRPr="00FC6E81" w:rsidTr="006E6CB9">
        <w:trPr>
          <w:trHeight w:val="144"/>
          <w:jc w:val="center"/>
        </w:trPr>
        <w:tc>
          <w:tcPr>
            <w:tcW w:w="1071" w:type="pct"/>
          </w:tcPr>
          <w:p w:rsidR="006E6CB9" w:rsidRPr="00084EA9" w:rsidRDefault="006E6CB9" w:rsidP="006E6CB9">
            <w:pPr>
              <w:spacing w:line="240" w:lineRule="auto"/>
              <w:jc w:val="both"/>
              <w:rPr>
                <w:rFonts w:cs="Arial"/>
                <w:b/>
                <w:bCs/>
                <w:sz w:val="20"/>
                <w:szCs w:val="20"/>
              </w:rPr>
            </w:pPr>
            <w:r w:rsidRPr="00084EA9">
              <w:rPr>
                <w:rFonts w:cs="Arial"/>
                <w:b/>
                <w:bCs/>
                <w:sz w:val="20"/>
                <w:szCs w:val="20"/>
              </w:rPr>
              <w:t xml:space="preserve">Ivermerctina </w:t>
            </w:r>
          </w:p>
          <w:p w:rsidR="006E6CB9" w:rsidRPr="00084EA9" w:rsidRDefault="006E6CB9" w:rsidP="006E6CB9">
            <w:pPr>
              <w:spacing w:line="240" w:lineRule="auto"/>
              <w:jc w:val="both"/>
              <w:rPr>
                <w:rFonts w:cs="Arial"/>
                <w:b/>
                <w:bCs/>
                <w:sz w:val="20"/>
                <w:szCs w:val="20"/>
              </w:rPr>
            </w:pPr>
            <w:r w:rsidRPr="00084EA9">
              <w:rPr>
                <w:rFonts w:cs="Arial"/>
                <w:b/>
                <w:bCs/>
                <w:sz w:val="20"/>
                <w:szCs w:val="20"/>
              </w:rPr>
              <w:t>(nível 3)</w:t>
            </w:r>
          </w:p>
        </w:tc>
        <w:tc>
          <w:tcPr>
            <w:tcW w:w="1606" w:type="pct"/>
          </w:tcPr>
          <w:p w:rsidR="006E6CB9" w:rsidRPr="00084EA9" w:rsidRDefault="006E6CB9" w:rsidP="006E6CB9">
            <w:pPr>
              <w:spacing w:line="240" w:lineRule="auto"/>
              <w:jc w:val="both"/>
              <w:rPr>
                <w:rFonts w:cs="Arial"/>
                <w:sz w:val="20"/>
                <w:szCs w:val="20"/>
              </w:rPr>
            </w:pPr>
            <w:r w:rsidRPr="00084EA9">
              <w:rPr>
                <w:rFonts w:cs="Arial"/>
                <w:sz w:val="20"/>
                <w:szCs w:val="20"/>
              </w:rPr>
              <w:t>Tratamento da filaríase linfática</w:t>
            </w:r>
          </w:p>
        </w:tc>
        <w:tc>
          <w:tcPr>
            <w:tcW w:w="986" w:type="pct"/>
          </w:tcPr>
          <w:p w:rsidR="006E6CB9" w:rsidRPr="006E6CB9" w:rsidRDefault="006E6CB9" w:rsidP="006E6CB9">
            <w:pPr>
              <w:spacing w:line="240" w:lineRule="auto"/>
              <w:jc w:val="both"/>
              <w:rPr>
                <w:rFonts w:cs="Arial"/>
                <w:sz w:val="20"/>
                <w:szCs w:val="20"/>
                <w:lang w:val="pt-BR"/>
              </w:rPr>
            </w:pPr>
            <w:r w:rsidRPr="006E6CB9">
              <w:rPr>
                <w:rFonts w:cs="Arial"/>
                <w:sz w:val="20"/>
                <w:szCs w:val="20"/>
                <w:lang w:val="pt-BR"/>
              </w:rPr>
              <w:t>400µg/kg dose única. Será abordado na disciplina de doenças infecciosas</w:t>
            </w:r>
          </w:p>
        </w:tc>
        <w:tc>
          <w:tcPr>
            <w:tcW w:w="1337" w:type="pct"/>
          </w:tcPr>
          <w:p w:rsidR="006E6CB9" w:rsidRPr="006E6CB9" w:rsidRDefault="006E6CB9" w:rsidP="006E6CB9">
            <w:pPr>
              <w:spacing w:line="240" w:lineRule="auto"/>
              <w:jc w:val="both"/>
              <w:rPr>
                <w:rFonts w:cs="Arial"/>
                <w:sz w:val="20"/>
                <w:szCs w:val="20"/>
                <w:lang w:val="pt-BR"/>
              </w:rPr>
            </w:pPr>
            <w:r w:rsidRPr="006E6CB9">
              <w:rPr>
                <w:rFonts w:cs="Arial"/>
                <w:sz w:val="20"/>
                <w:szCs w:val="20"/>
                <w:lang w:val="pt-BR"/>
              </w:rPr>
              <w:t>Usada na campanha de tratamento massivo contra filaríase e oncocercose, associado ao albendazol</w:t>
            </w:r>
          </w:p>
        </w:tc>
      </w:tr>
      <w:tr w:rsidR="006E6CB9" w:rsidRPr="00FC6E81" w:rsidTr="006E6CB9">
        <w:trPr>
          <w:trHeight w:val="617"/>
          <w:jc w:val="center"/>
        </w:trPr>
        <w:tc>
          <w:tcPr>
            <w:tcW w:w="1071" w:type="pct"/>
            <w:shd w:val="clear" w:color="auto" w:fill="D2EAF1"/>
          </w:tcPr>
          <w:p w:rsidR="006E6CB9" w:rsidRPr="00084EA9" w:rsidRDefault="006E6CB9" w:rsidP="006E6CB9">
            <w:pPr>
              <w:spacing w:line="240" w:lineRule="auto"/>
              <w:jc w:val="both"/>
              <w:rPr>
                <w:rFonts w:cs="Arial"/>
                <w:b/>
                <w:bCs/>
                <w:sz w:val="20"/>
                <w:szCs w:val="20"/>
              </w:rPr>
            </w:pPr>
            <w:r w:rsidRPr="00084EA9">
              <w:rPr>
                <w:rFonts w:cs="Arial"/>
                <w:b/>
                <w:bCs/>
                <w:sz w:val="20"/>
                <w:szCs w:val="20"/>
              </w:rPr>
              <w:t>Dietilcarbamazina (nível 3)</w:t>
            </w:r>
          </w:p>
        </w:tc>
        <w:tc>
          <w:tcPr>
            <w:tcW w:w="1606" w:type="pct"/>
            <w:shd w:val="clear" w:color="auto" w:fill="D2EAF1"/>
          </w:tcPr>
          <w:p w:rsidR="006E6CB9" w:rsidRPr="00084EA9" w:rsidRDefault="006E6CB9" w:rsidP="006E6CB9">
            <w:pPr>
              <w:spacing w:line="240" w:lineRule="auto"/>
              <w:jc w:val="both"/>
              <w:rPr>
                <w:rFonts w:cs="Arial"/>
                <w:sz w:val="20"/>
                <w:szCs w:val="20"/>
              </w:rPr>
            </w:pPr>
            <w:r w:rsidRPr="00084EA9">
              <w:rPr>
                <w:rFonts w:cs="Arial"/>
                <w:sz w:val="20"/>
                <w:szCs w:val="20"/>
              </w:rPr>
              <w:t>Tratamento da filaríase linfática</w:t>
            </w:r>
          </w:p>
        </w:tc>
        <w:tc>
          <w:tcPr>
            <w:tcW w:w="986" w:type="pct"/>
            <w:shd w:val="clear" w:color="auto" w:fill="D2EAF1"/>
          </w:tcPr>
          <w:p w:rsidR="006E6CB9" w:rsidRPr="006E6CB9" w:rsidRDefault="006E6CB9" w:rsidP="006E6CB9">
            <w:pPr>
              <w:spacing w:line="240" w:lineRule="auto"/>
              <w:jc w:val="both"/>
              <w:rPr>
                <w:rFonts w:cs="Arial"/>
                <w:sz w:val="20"/>
                <w:szCs w:val="20"/>
                <w:lang w:val="pt-BR"/>
              </w:rPr>
            </w:pPr>
            <w:r w:rsidRPr="006E6CB9">
              <w:rPr>
                <w:rFonts w:cs="Arial"/>
                <w:sz w:val="20"/>
                <w:szCs w:val="20"/>
                <w:lang w:val="pt-BR"/>
              </w:rPr>
              <w:t>Maiores de 10 anos: 6 mg/kg/dia</w:t>
            </w:r>
          </w:p>
          <w:p w:rsidR="006E6CB9" w:rsidRPr="006E6CB9" w:rsidRDefault="006E6CB9" w:rsidP="006E6CB9">
            <w:pPr>
              <w:spacing w:line="240" w:lineRule="auto"/>
              <w:jc w:val="both"/>
              <w:rPr>
                <w:rFonts w:cs="Arial"/>
                <w:sz w:val="20"/>
                <w:szCs w:val="20"/>
                <w:lang w:val="pt-BR"/>
              </w:rPr>
            </w:pPr>
            <w:r w:rsidRPr="006E6CB9">
              <w:rPr>
                <w:rFonts w:cs="Arial"/>
                <w:sz w:val="20"/>
                <w:szCs w:val="20"/>
                <w:lang w:val="pt-BR"/>
              </w:rPr>
              <w:t>Menores de 10 anos: 3 mg/kg/dia</w:t>
            </w:r>
          </w:p>
        </w:tc>
        <w:tc>
          <w:tcPr>
            <w:tcW w:w="1337" w:type="pct"/>
            <w:shd w:val="clear" w:color="auto" w:fill="D2EAF1"/>
          </w:tcPr>
          <w:p w:rsidR="006E6CB9" w:rsidRPr="006E6CB9" w:rsidRDefault="006E6CB9" w:rsidP="006E6CB9">
            <w:pPr>
              <w:spacing w:line="240" w:lineRule="auto"/>
              <w:jc w:val="both"/>
              <w:rPr>
                <w:rFonts w:cs="Arial"/>
                <w:sz w:val="20"/>
                <w:szCs w:val="20"/>
                <w:lang w:val="pt-BR"/>
              </w:rPr>
            </w:pPr>
            <w:r w:rsidRPr="006E6CB9">
              <w:rPr>
                <w:rFonts w:cs="Arial"/>
                <w:sz w:val="20"/>
                <w:szCs w:val="20"/>
                <w:lang w:val="pt-BR"/>
              </w:rPr>
              <w:t>Raramente disponível; tratamento durante 12 dias</w:t>
            </w:r>
          </w:p>
        </w:tc>
      </w:tr>
      <w:tr w:rsidR="006E6CB9" w:rsidRPr="00084EA9" w:rsidTr="006E6CB9">
        <w:trPr>
          <w:trHeight w:val="1007"/>
          <w:jc w:val="center"/>
        </w:trPr>
        <w:tc>
          <w:tcPr>
            <w:tcW w:w="1071" w:type="pct"/>
          </w:tcPr>
          <w:p w:rsidR="006E6CB9" w:rsidRPr="00084EA9" w:rsidRDefault="006E6CB9" w:rsidP="006E6CB9">
            <w:pPr>
              <w:spacing w:line="240" w:lineRule="auto"/>
              <w:jc w:val="both"/>
              <w:rPr>
                <w:rFonts w:cs="Arial"/>
                <w:b/>
                <w:bCs/>
                <w:sz w:val="20"/>
                <w:szCs w:val="20"/>
              </w:rPr>
            </w:pPr>
            <w:r w:rsidRPr="00084EA9">
              <w:rPr>
                <w:rFonts w:cs="Arial"/>
                <w:b/>
                <w:bCs/>
                <w:sz w:val="20"/>
                <w:szCs w:val="20"/>
              </w:rPr>
              <w:t>Metronidazol</w:t>
            </w:r>
          </w:p>
        </w:tc>
        <w:tc>
          <w:tcPr>
            <w:tcW w:w="1606" w:type="pct"/>
          </w:tcPr>
          <w:p w:rsidR="006E6CB9" w:rsidRPr="006E6CB9" w:rsidRDefault="006E6CB9" w:rsidP="006E6CB9">
            <w:pPr>
              <w:spacing w:line="240" w:lineRule="auto"/>
              <w:jc w:val="both"/>
              <w:rPr>
                <w:rFonts w:cs="Arial"/>
                <w:sz w:val="20"/>
                <w:szCs w:val="20"/>
                <w:lang w:val="pt-BR"/>
              </w:rPr>
            </w:pPr>
            <w:r w:rsidRPr="006E6CB9">
              <w:rPr>
                <w:rFonts w:cs="Arial"/>
                <w:sz w:val="20"/>
                <w:szCs w:val="20"/>
                <w:lang w:val="pt-BR"/>
              </w:rPr>
              <w:t>Tratamento da amebíase intestinal e extra-intestinal (abcesso hepático amebiano), giardíase, tricomoníase</w:t>
            </w:r>
          </w:p>
        </w:tc>
        <w:tc>
          <w:tcPr>
            <w:tcW w:w="986" w:type="pct"/>
          </w:tcPr>
          <w:p w:rsidR="006E6CB9" w:rsidRPr="006E6CB9" w:rsidRDefault="006E6CB9" w:rsidP="006E6CB9">
            <w:pPr>
              <w:spacing w:line="240" w:lineRule="auto"/>
              <w:jc w:val="both"/>
              <w:rPr>
                <w:rFonts w:cs="Arial"/>
                <w:sz w:val="20"/>
                <w:szCs w:val="20"/>
                <w:lang w:val="pt-BR"/>
              </w:rPr>
            </w:pPr>
            <w:r w:rsidRPr="006E6CB9">
              <w:rPr>
                <w:rFonts w:cs="Arial"/>
                <w:sz w:val="20"/>
                <w:szCs w:val="20"/>
                <w:lang w:val="pt-BR"/>
              </w:rPr>
              <w:t>Variável. Já discutido nos anti-bacterianos</w:t>
            </w:r>
          </w:p>
        </w:tc>
        <w:tc>
          <w:tcPr>
            <w:tcW w:w="1337" w:type="pct"/>
          </w:tcPr>
          <w:p w:rsidR="006E6CB9" w:rsidRPr="00084EA9" w:rsidRDefault="006E6CB9" w:rsidP="006E6CB9">
            <w:pPr>
              <w:spacing w:line="240" w:lineRule="auto"/>
              <w:jc w:val="both"/>
              <w:rPr>
                <w:rFonts w:cs="Arial"/>
                <w:sz w:val="20"/>
                <w:szCs w:val="20"/>
              </w:rPr>
            </w:pPr>
            <w:r w:rsidRPr="00084EA9">
              <w:rPr>
                <w:rFonts w:cs="Arial"/>
                <w:sz w:val="20"/>
                <w:szCs w:val="20"/>
              </w:rPr>
              <w:t>É anti-bacteriano</w:t>
            </w:r>
          </w:p>
        </w:tc>
      </w:tr>
      <w:tr w:rsidR="006E6CB9" w:rsidRPr="00FC6E81" w:rsidTr="006E6CB9">
        <w:trPr>
          <w:trHeight w:val="882"/>
          <w:jc w:val="center"/>
        </w:trPr>
        <w:tc>
          <w:tcPr>
            <w:tcW w:w="1071" w:type="pct"/>
            <w:shd w:val="clear" w:color="auto" w:fill="D2EAF1"/>
          </w:tcPr>
          <w:p w:rsidR="006E6CB9" w:rsidRPr="00084EA9" w:rsidRDefault="006E6CB9" w:rsidP="006E6CB9">
            <w:pPr>
              <w:spacing w:line="240" w:lineRule="auto"/>
              <w:jc w:val="both"/>
              <w:rPr>
                <w:rFonts w:cs="Arial"/>
                <w:b/>
                <w:bCs/>
                <w:sz w:val="20"/>
                <w:szCs w:val="20"/>
              </w:rPr>
            </w:pPr>
            <w:r w:rsidRPr="00084EA9">
              <w:rPr>
                <w:rFonts w:cs="Arial"/>
                <w:b/>
                <w:bCs/>
                <w:sz w:val="20"/>
                <w:szCs w:val="20"/>
              </w:rPr>
              <w:t>Melarsoprol</w:t>
            </w:r>
          </w:p>
          <w:p w:rsidR="006E6CB9" w:rsidRPr="00084EA9" w:rsidRDefault="006E6CB9" w:rsidP="006E6CB9">
            <w:pPr>
              <w:spacing w:line="240" w:lineRule="auto"/>
              <w:jc w:val="both"/>
              <w:rPr>
                <w:rFonts w:cs="Arial"/>
                <w:b/>
                <w:bCs/>
                <w:sz w:val="20"/>
                <w:szCs w:val="20"/>
              </w:rPr>
            </w:pPr>
            <w:r w:rsidRPr="00084EA9">
              <w:rPr>
                <w:rFonts w:cs="Arial"/>
                <w:b/>
                <w:bCs/>
                <w:sz w:val="20"/>
                <w:szCs w:val="20"/>
              </w:rPr>
              <w:t>(nível 3)</w:t>
            </w:r>
          </w:p>
        </w:tc>
        <w:tc>
          <w:tcPr>
            <w:tcW w:w="1606" w:type="pct"/>
            <w:shd w:val="clear" w:color="auto" w:fill="D2EAF1"/>
          </w:tcPr>
          <w:p w:rsidR="006E6CB9" w:rsidRPr="006E6CB9" w:rsidRDefault="006E6CB9" w:rsidP="006E6CB9">
            <w:pPr>
              <w:spacing w:line="240" w:lineRule="auto"/>
              <w:jc w:val="both"/>
              <w:rPr>
                <w:rFonts w:cs="Arial"/>
                <w:sz w:val="20"/>
                <w:szCs w:val="20"/>
                <w:lang w:val="pt-BR"/>
              </w:rPr>
            </w:pPr>
            <w:r w:rsidRPr="006E6CB9">
              <w:rPr>
                <w:rFonts w:cs="Arial"/>
                <w:sz w:val="20"/>
                <w:szCs w:val="20"/>
                <w:lang w:val="pt-BR"/>
              </w:rPr>
              <w:t>Tratamento da doença do sono (tripanossomíase) fase nervosa</w:t>
            </w:r>
          </w:p>
        </w:tc>
        <w:tc>
          <w:tcPr>
            <w:tcW w:w="986" w:type="pct"/>
            <w:shd w:val="clear" w:color="auto" w:fill="D2EAF1"/>
          </w:tcPr>
          <w:p w:rsidR="006E6CB9" w:rsidRPr="00084EA9" w:rsidRDefault="006E6CB9" w:rsidP="006E6CB9">
            <w:pPr>
              <w:spacing w:line="240" w:lineRule="auto"/>
              <w:jc w:val="both"/>
              <w:rPr>
                <w:rFonts w:cs="Arial"/>
                <w:sz w:val="20"/>
                <w:szCs w:val="20"/>
              </w:rPr>
            </w:pPr>
            <w:r w:rsidRPr="00084EA9">
              <w:rPr>
                <w:rFonts w:cs="Arial"/>
                <w:sz w:val="20"/>
                <w:szCs w:val="20"/>
              </w:rPr>
              <w:t>Solução injectável</w:t>
            </w:r>
          </w:p>
        </w:tc>
        <w:tc>
          <w:tcPr>
            <w:tcW w:w="1337" w:type="pct"/>
            <w:vMerge w:val="restart"/>
            <w:shd w:val="clear" w:color="auto" w:fill="D2EAF1"/>
          </w:tcPr>
          <w:p w:rsidR="006E6CB9" w:rsidRPr="006E6CB9" w:rsidRDefault="006E6CB9" w:rsidP="006E6CB9">
            <w:pPr>
              <w:spacing w:line="240" w:lineRule="auto"/>
              <w:jc w:val="both"/>
              <w:rPr>
                <w:rFonts w:cs="Arial"/>
                <w:sz w:val="20"/>
                <w:szCs w:val="20"/>
                <w:lang w:val="pt-BR"/>
              </w:rPr>
            </w:pPr>
            <w:r w:rsidRPr="006E6CB9">
              <w:rPr>
                <w:rFonts w:cs="Arial"/>
                <w:sz w:val="20"/>
                <w:szCs w:val="20"/>
                <w:lang w:val="pt-BR"/>
              </w:rPr>
              <w:t xml:space="preserve">Uso por médico de clínica geral ou superior a este. </w:t>
            </w:r>
          </w:p>
        </w:tc>
      </w:tr>
      <w:tr w:rsidR="006E6CB9" w:rsidRPr="00084EA9" w:rsidTr="006E6CB9">
        <w:trPr>
          <w:trHeight w:val="809"/>
          <w:jc w:val="center"/>
        </w:trPr>
        <w:tc>
          <w:tcPr>
            <w:tcW w:w="1071" w:type="pct"/>
          </w:tcPr>
          <w:p w:rsidR="006E6CB9" w:rsidRPr="00084EA9" w:rsidRDefault="006E6CB9" w:rsidP="006E6CB9">
            <w:pPr>
              <w:spacing w:line="240" w:lineRule="auto"/>
              <w:jc w:val="both"/>
              <w:rPr>
                <w:rFonts w:cs="Arial"/>
                <w:b/>
                <w:bCs/>
                <w:sz w:val="20"/>
                <w:szCs w:val="20"/>
              </w:rPr>
            </w:pPr>
            <w:r w:rsidRPr="00084EA9">
              <w:rPr>
                <w:rFonts w:cs="Arial"/>
                <w:b/>
                <w:bCs/>
                <w:sz w:val="20"/>
                <w:szCs w:val="20"/>
              </w:rPr>
              <w:t>Suramina</w:t>
            </w:r>
          </w:p>
          <w:p w:rsidR="006E6CB9" w:rsidRPr="00084EA9" w:rsidRDefault="006E6CB9" w:rsidP="006E6CB9">
            <w:pPr>
              <w:spacing w:line="240" w:lineRule="auto"/>
              <w:jc w:val="both"/>
              <w:rPr>
                <w:rFonts w:cs="Arial"/>
                <w:b/>
                <w:bCs/>
                <w:sz w:val="20"/>
                <w:szCs w:val="20"/>
              </w:rPr>
            </w:pPr>
            <w:r w:rsidRPr="00084EA9">
              <w:rPr>
                <w:rFonts w:cs="Arial"/>
                <w:b/>
                <w:bCs/>
                <w:sz w:val="20"/>
                <w:szCs w:val="20"/>
              </w:rPr>
              <w:t>(nível 3)</w:t>
            </w:r>
          </w:p>
        </w:tc>
        <w:tc>
          <w:tcPr>
            <w:tcW w:w="1606" w:type="pct"/>
          </w:tcPr>
          <w:p w:rsidR="006E6CB9" w:rsidRPr="006E6CB9" w:rsidRDefault="006E6CB9" w:rsidP="006E6CB9">
            <w:pPr>
              <w:spacing w:line="240" w:lineRule="auto"/>
              <w:jc w:val="both"/>
              <w:rPr>
                <w:rFonts w:cs="Arial"/>
                <w:sz w:val="20"/>
                <w:szCs w:val="20"/>
                <w:lang w:val="pt-BR"/>
              </w:rPr>
            </w:pPr>
            <w:r w:rsidRPr="006E6CB9">
              <w:rPr>
                <w:rFonts w:cs="Arial"/>
                <w:sz w:val="20"/>
                <w:szCs w:val="20"/>
                <w:lang w:val="pt-BR"/>
              </w:rPr>
              <w:t>Tratamento da doença do sono (tripanossomíase) fase hemolinfática e adjuvante na fase nervosa</w:t>
            </w:r>
          </w:p>
        </w:tc>
        <w:tc>
          <w:tcPr>
            <w:tcW w:w="986" w:type="pct"/>
          </w:tcPr>
          <w:p w:rsidR="006E6CB9" w:rsidRPr="00084EA9" w:rsidRDefault="006E6CB9" w:rsidP="006E6CB9">
            <w:pPr>
              <w:spacing w:line="240" w:lineRule="auto"/>
              <w:jc w:val="both"/>
              <w:rPr>
                <w:rFonts w:cs="Arial"/>
                <w:sz w:val="20"/>
                <w:szCs w:val="20"/>
              </w:rPr>
            </w:pPr>
            <w:r w:rsidRPr="00084EA9">
              <w:rPr>
                <w:rFonts w:cs="Arial"/>
                <w:sz w:val="20"/>
                <w:szCs w:val="20"/>
              </w:rPr>
              <w:t>Solução injectável</w:t>
            </w:r>
          </w:p>
        </w:tc>
        <w:tc>
          <w:tcPr>
            <w:tcW w:w="1337" w:type="pct"/>
            <w:vMerge/>
          </w:tcPr>
          <w:p w:rsidR="006E6CB9" w:rsidRPr="00084EA9" w:rsidRDefault="006E6CB9" w:rsidP="006E6CB9">
            <w:pPr>
              <w:spacing w:line="240" w:lineRule="auto"/>
              <w:jc w:val="both"/>
              <w:rPr>
                <w:rFonts w:cs="Arial"/>
                <w:sz w:val="20"/>
                <w:szCs w:val="20"/>
              </w:rPr>
            </w:pPr>
          </w:p>
        </w:tc>
      </w:tr>
      <w:tr w:rsidR="006E6CB9" w:rsidRPr="00084EA9" w:rsidTr="006E6CB9">
        <w:trPr>
          <w:trHeight w:val="809"/>
          <w:jc w:val="center"/>
        </w:trPr>
        <w:tc>
          <w:tcPr>
            <w:tcW w:w="1071" w:type="pct"/>
          </w:tcPr>
          <w:p w:rsidR="006E6CB9" w:rsidRPr="00084EA9" w:rsidRDefault="006E6CB9" w:rsidP="006E6CB9">
            <w:pPr>
              <w:spacing w:line="240" w:lineRule="auto"/>
              <w:jc w:val="both"/>
              <w:rPr>
                <w:rFonts w:cs="Arial"/>
                <w:b/>
                <w:bCs/>
                <w:sz w:val="20"/>
                <w:szCs w:val="20"/>
              </w:rPr>
            </w:pPr>
            <w:r w:rsidRPr="00084EA9">
              <w:rPr>
                <w:rFonts w:cs="Arial"/>
                <w:b/>
                <w:bCs/>
                <w:sz w:val="20"/>
                <w:szCs w:val="20"/>
              </w:rPr>
              <w:t>Hexacloreto de benzeno</w:t>
            </w:r>
          </w:p>
        </w:tc>
        <w:tc>
          <w:tcPr>
            <w:tcW w:w="1606" w:type="pct"/>
          </w:tcPr>
          <w:p w:rsidR="006E6CB9" w:rsidRPr="00084EA9" w:rsidRDefault="006E6CB9" w:rsidP="006E6CB9">
            <w:pPr>
              <w:spacing w:line="240" w:lineRule="auto"/>
              <w:jc w:val="both"/>
              <w:rPr>
                <w:rFonts w:cs="Arial"/>
                <w:sz w:val="20"/>
                <w:szCs w:val="20"/>
              </w:rPr>
            </w:pPr>
            <w:r w:rsidRPr="00084EA9">
              <w:rPr>
                <w:rFonts w:cs="Arial"/>
                <w:sz w:val="20"/>
                <w:szCs w:val="20"/>
              </w:rPr>
              <w:t>Sarna, pediculose</w:t>
            </w:r>
          </w:p>
        </w:tc>
        <w:tc>
          <w:tcPr>
            <w:tcW w:w="986" w:type="pct"/>
          </w:tcPr>
          <w:p w:rsidR="006E6CB9" w:rsidRPr="00084EA9" w:rsidRDefault="006E6CB9" w:rsidP="006E6CB9">
            <w:pPr>
              <w:spacing w:line="240" w:lineRule="auto"/>
              <w:jc w:val="both"/>
              <w:rPr>
                <w:rFonts w:cs="Arial"/>
                <w:sz w:val="20"/>
                <w:szCs w:val="20"/>
              </w:rPr>
            </w:pPr>
            <w:r w:rsidRPr="00084EA9">
              <w:rPr>
                <w:rFonts w:cs="Arial"/>
                <w:sz w:val="20"/>
                <w:szCs w:val="20"/>
              </w:rPr>
              <w:t>Aplicação nas áreas afectadas</w:t>
            </w:r>
          </w:p>
        </w:tc>
        <w:tc>
          <w:tcPr>
            <w:tcW w:w="1337" w:type="pct"/>
          </w:tcPr>
          <w:p w:rsidR="006E6CB9" w:rsidRPr="00084EA9" w:rsidRDefault="006E6CB9" w:rsidP="006E6CB9">
            <w:pPr>
              <w:spacing w:line="240" w:lineRule="auto"/>
              <w:jc w:val="both"/>
              <w:rPr>
                <w:rFonts w:cs="Arial"/>
                <w:sz w:val="20"/>
                <w:szCs w:val="20"/>
              </w:rPr>
            </w:pPr>
            <w:r w:rsidRPr="00084EA9">
              <w:rPr>
                <w:rFonts w:cs="Arial"/>
                <w:sz w:val="20"/>
                <w:szCs w:val="20"/>
              </w:rPr>
              <w:t>--------------------</w:t>
            </w:r>
          </w:p>
        </w:tc>
      </w:tr>
    </w:tbl>
    <w:p w:rsidR="006E6CB9" w:rsidRPr="00084EA9" w:rsidRDefault="006E6CB9" w:rsidP="001B4CDC">
      <w:pPr>
        <w:pStyle w:val="TM-2n"/>
        <w:numPr>
          <w:ilvl w:val="0"/>
          <w:numId w:val="0"/>
        </w:numPr>
        <w:spacing w:before="120" w:after="0" w:line="276" w:lineRule="auto"/>
        <w:rPr>
          <w:b/>
        </w:rPr>
      </w:pPr>
      <w:r w:rsidRPr="00AD66DD">
        <w:rPr>
          <w:b/>
        </w:rPr>
        <w:t>2.6</w:t>
      </w:r>
      <w:r w:rsidRPr="00084EA9">
        <w:t xml:space="preserve"> </w:t>
      </w:r>
      <w:r w:rsidRPr="00084EA9">
        <w:rPr>
          <w:b/>
        </w:rPr>
        <w:t>Anti-maláricos</w:t>
      </w:r>
    </w:p>
    <w:p w:rsidR="006E6CB9" w:rsidRPr="00084EA9" w:rsidRDefault="006E6CB9" w:rsidP="00AD66DD">
      <w:pPr>
        <w:pStyle w:val="TM-2n"/>
        <w:numPr>
          <w:ilvl w:val="0"/>
          <w:numId w:val="0"/>
        </w:numPr>
        <w:spacing w:before="120" w:after="0" w:line="276" w:lineRule="auto"/>
      </w:pPr>
      <w:r w:rsidRPr="00084EA9">
        <w:t xml:space="preserve">Os anti-maláricos são fármacos usados no tratamento da malária (infecções por </w:t>
      </w:r>
      <w:r w:rsidRPr="00084EA9">
        <w:rPr>
          <w:i/>
        </w:rPr>
        <w:t>plasmodium spp</w:t>
      </w:r>
      <w:r w:rsidRPr="00084EA9">
        <w:t xml:space="preserve">). Em Moçambique a espécie mais frequente que causa malária é o </w:t>
      </w:r>
      <w:r w:rsidRPr="00084EA9">
        <w:rPr>
          <w:i/>
        </w:rPr>
        <w:t>Plasmodium falciparum (</w:t>
      </w:r>
      <w:r w:rsidRPr="00084EA9">
        <w:t>cerca de 90% das infecções).</w:t>
      </w:r>
    </w:p>
    <w:p w:rsidR="006E6CB9" w:rsidRPr="006E6CB9" w:rsidRDefault="006E6CB9" w:rsidP="006E6CB9">
      <w:pPr>
        <w:spacing w:before="120"/>
        <w:jc w:val="both"/>
        <w:rPr>
          <w:rFonts w:cs="Arial"/>
          <w:lang w:val="pt-BR"/>
        </w:rPr>
      </w:pPr>
      <w:r w:rsidRPr="006E6CB9">
        <w:rPr>
          <w:rFonts w:cs="Arial"/>
          <w:lang w:val="pt-BR"/>
        </w:rPr>
        <w:t>Os fármacos anti-maláricos disponíveis em Moçambique são:</w:t>
      </w:r>
    </w:p>
    <w:p w:rsidR="006E6CB9" w:rsidRPr="006E6CB9" w:rsidRDefault="006E6CB9" w:rsidP="00C52E09">
      <w:pPr>
        <w:numPr>
          <w:ilvl w:val="0"/>
          <w:numId w:val="207"/>
        </w:numPr>
        <w:spacing w:before="120" w:after="0"/>
        <w:jc w:val="both"/>
        <w:rPr>
          <w:rFonts w:cs="Arial"/>
          <w:lang w:val="pt-BR"/>
        </w:rPr>
      </w:pPr>
      <w:r w:rsidRPr="006E6CB9">
        <w:rPr>
          <w:rFonts w:cs="Arial"/>
          <w:lang w:val="pt-BR"/>
        </w:rPr>
        <w:t>Amodiaquina (isolada ou associado ao artesunato – ASAQ)</w:t>
      </w:r>
    </w:p>
    <w:p w:rsidR="006E6CB9" w:rsidRPr="006E6CB9" w:rsidRDefault="006E6CB9" w:rsidP="00C52E09">
      <w:pPr>
        <w:numPr>
          <w:ilvl w:val="0"/>
          <w:numId w:val="207"/>
        </w:numPr>
        <w:spacing w:before="120" w:after="0"/>
        <w:jc w:val="both"/>
        <w:rPr>
          <w:rFonts w:cs="Arial"/>
          <w:lang w:val="pt-BR"/>
        </w:rPr>
      </w:pPr>
      <w:r w:rsidRPr="006E6CB9">
        <w:rPr>
          <w:rFonts w:cs="Arial"/>
          <w:lang w:val="pt-BR"/>
        </w:rPr>
        <w:t>Derivados de artemisina (arteméter, artesunato) associados à lumefantrina (arteméter-lumefantrina - coartem)</w:t>
      </w:r>
    </w:p>
    <w:p w:rsidR="006E6CB9" w:rsidRPr="00084EA9" w:rsidRDefault="006E6CB9" w:rsidP="00C52E09">
      <w:pPr>
        <w:numPr>
          <w:ilvl w:val="0"/>
          <w:numId w:val="207"/>
        </w:numPr>
        <w:spacing w:before="120" w:after="0"/>
        <w:jc w:val="both"/>
        <w:rPr>
          <w:rFonts w:cs="Arial"/>
        </w:rPr>
      </w:pPr>
      <w:r w:rsidRPr="00084EA9">
        <w:rPr>
          <w:rFonts w:cs="Arial"/>
        </w:rPr>
        <w:t>Quinina</w:t>
      </w:r>
    </w:p>
    <w:p w:rsidR="006E6CB9" w:rsidRPr="006E6CB9" w:rsidRDefault="006E6CB9" w:rsidP="00C52E09">
      <w:pPr>
        <w:numPr>
          <w:ilvl w:val="0"/>
          <w:numId w:val="207"/>
        </w:numPr>
        <w:spacing w:before="120" w:after="0"/>
        <w:jc w:val="both"/>
        <w:rPr>
          <w:rFonts w:cs="Arial"/>
          <w:lang w:val="pt-BR"/>
        </w:rPr>
      </w:pPr>
      <w:r w:rsidRPr="006E6CB9">
        <w:rPr>
          <w:rFonts w:cs="Arial"/>
          <w:lang w:val="pt-BR"/>
        </w:rPr>
        <w:t>Sufdadoxina-pirimetamina (SP - Fansidar) – usada para a prevenção da malária na mulher grávida. Já não faz parte da política nacional de tratamento da malária</w:t>
      </w:r>
    </w:p>
    <w:p w:rsidR="006E6CB9" w:rsidRDefault="006E6CB9" w:rsidP="00AD66DD">
      <w:pPr>
        <w:pStyle w:val="TM-2n"/>
        <w:numPr>
          <w:ilvl w:val="0"/>
          <w:numId w:val="0"/>
        </w:numPr>
        <w:spacing w:before="120" w:after="0" w:line="276" w:lineRule="auto"/>
      </w:pPr>
      <w:r w:rsidRPr="00084EA9">
        <w:t>Estes fármacos, geralmente estão e são administrados como terapia combinada (coartem, ASAQ). Podem ser combinados com certos antibióticos que têm propriedades anti-maláricas (doxiciclina, tetraciclina)</w:t>
      </w:r>
    </w:p>
    <w:p w:rsidR="001B4CDC" w:rsidRDefault="001B4CDC" w:rsidP="006E6CB9">
      <w:pPr>
        <w:pStyle w:val="TM-2n"/>
        <w:numPr>
          <w:ilvl w:val="0"/>
          <w:numId w:val="0"/>
        </w:numPr>
        <w:spacing w:before="120" w:after="0" w:line="276" w:lineRule="auto"/>
        <w:ind w:left="284" w:hanging="284"/>
      </w:pPr>
    </w:p>
    <w:p w:rsidR="006E6CB9" w:rsidRPr="00084EA9" w:rsidRDefault="006E6CB9" w:rsidP="006E6CB9">
      <w:pPr>
        <w:pStyle w:val="TM-2n"/>
        <w:numPr>
          <w:ilvl w:val="0"/>
          <w:numId w:val="0"/>
        </w:numPr>
        <w:spacing w:before="120" w:after="0" w:line="276" w:lineRule="auto"/>
        <w:ind w:left="284" w:hanging="284"/>
      </w:pPr>
    </w:p>
    <w:tbl>
      <w:tblPr>
        <w:tblW w:w="5000" w:type="pct"/>
        <w:tblBorders>
          <w:top w:val="single" w:sz="8" w:space="0" w:color="4BACC6"/>
          <w:bottom w:val="single" w:sz="4" w:space="0" w:color="auto"/>
          <w:insideH w:val="single" w:sz="4" w:space="0" w:color="auto"/>
          <w:insideV w:val="single" w:sz="4" w:space="0" w:color="auto"/>
        </w:tblBorders>
        <w:tblLook w:val="0420" w:firstRow="1" w:lastRow="0" w:firstColumn="0" w:lastColumn="0" w:noHBand="0" w:noVBand="1"/>
      </w:tblPr>
      <w:tblGrid>
        <w:gridCol w:w="1728"/>
        <w:gridCol w:w="2083"/>
        <w:gridCol w:w="2399"/>
        <w:gridCol w:w="2457"/>
        <w:gridCol w:w="1727"/>
      </w:tblGrid>
      <w:tr w:rsidR="006E6CB9" w:rsidRPr="00084EA9" w:rsidTr="006E6CB9">
        <w:tc>
          <w:tcPr>
            <w:tcW w:w="831" w:type="pct"/>
          </w:tcPr>
          <w:p w:rsidR="006E6CB9" w:rsidRPr="00084EA9" w:rsidRDefault="006E6CB9" w:rsidP="006E6CB9">
            <w:pPr>
              <w:spacing w:line="240" w:lineRule="auto"/>
              <w:jc w:val="center"/>
              <w:rPr>
                <w:rFonts w:cs="Arial"/>
                <w:b/>
                <w:bCs/>
                <w:sz w:val="20"/>
                <w:szCs w:val="20"/>
              </w:rPr>
            </w:pPr>
            <w:r w:rsidRPr="00084EA9">
              <w:rPr>
                <w:rFonts w:cs="Arial"/>
                <w:b/>
                <w:bCs/>
                <w:sz w:val="20"/>
                <w:szCs w:val="20"/>
              </w:rPr>
              <w:t>Fármaco</w:t>
            </w:r>
          </w:p>
        </w:tc>
        <w:tc>
          <w:tcPr>
            <w:tcW w:w="1002" w:type="pct"/>
          </w:tcPr>
          <w:p w:rsidR="006E6CB9" w:rsidRPr="00084EA9" w:rsidRDefault="006E6CB9" w:rsidP="006E6CB9">
            <w:pPr>
              <w:spacing w:line="240" w:lineRule="auto"/>
              <w:jc w:val="center"/>
              <w:rPr>
                <w:rFonts w:cs="Arial"/>
                <w:b/>
                <w:bCs/>
                <w:sz w:val="20"/>
                <w:szCs w:val="20"/>
              </w:rPr>
            </w:pPr>
            <w:r w:rsidRPr="00084EA9">
              <w:rPr>
                <w:rFonts w:cs="Arial"/>
                <w:b/>
                <w:bCs/>
                <w:sz w:val="20"/>
                <w:szCs w:val="20"/>
              </w:rPr>
              <w:t>Indicações</w:t>
            </w:r>
          </w:p>
        </w:tc>
        <w:tc>
          <w:tcPr>
            <w:tcW w:w="1154" w:type="pct"/>
          </w:tcPr>
          <w:p w:rsidR="006E6CB9" w:rsidRPr="00084EA9" w:rsidRDefault="006E6CB9" w:rsidP="006E6CB9">
            <w:pPr>
              <w:spacing w:line="240" w:lineRule="auto"/>
              <w:jc w:val="center"/>
              <w:rPr>
                <w:rFonts w:cs="Arial"/>
                <w:b/>
                <w:bCs/>
                <w:sz w:val="20"/>
                <w:szCs w:val="20"/>
              </w:rPr>
            </w:pPr>
            <w:r w:rsidRPr="00084EA9">
              <w:rPr>
                <w:rFonts w:cs="Arial"/>
                <w:b/>
                <w:bCs/>
                <w:sz w:val="20"/>
                <w:szCs w:val="20"/>
              </w:rPr>
              <w:t>Contra-indicações</w:t>
            </w:r>
          </w:p>
        </w:tc>
        <w:tc>
          <w:tcPr>
            <w:tcW w:w="1182" w:type="pct"/>
          </w:tcPr>
          <w:p w:rsidR="006E6CB9" w:rsidRPr="00084EA9" w:rsidRDefault="006E6CB9" w:rsidP="006E6CB9">
            <w:pPr>
              <w:spacing w:line="240" w:lineRule="auto"/>
              <w:jc w:val="center"/>
              <w:rPr>
                <w:rFonts w:cs="Arial"/>
                <w:b/>
                <w:bCs/>
                <w:sz w:val="20"/>
                <w:szCs w:val="20"/>
              </w:rPr>
            </w:pPr>
            <w:r w:rsidRPr="00084EA9">
              <w:rPr>
                <w:rFonts w:cs="Arial"/>
                <w:b/>
                <w:bCs/>
                <w:sz w:val="20"/>
                <w:szCs w:val="20"/>
              </w:rPr>
              <w:t>Efeitos secundários</w:t>
            </w:r>
          </w:p>
        </w:tc>
        <w:tc>
          <w:tcPr>
            <w:tcW w:w="831" w:type="pct"/>
          </w:tcPr>
          <w:p w:rsidR="006E6CB9" w:rsidRPr="00084EA9" w:rsidRDefault="006E6CB9" w:rsidP="006E6CB9">
            <w:pPr>
              <w:spacing w:line="240" w:lineRule="auto"/>
              <w:jc w:val="center"/>
              <w:rPr>
                <w:rFonts w:cs="Arial"/>
                <w:b/>
                <w:bCs/>
                <w:sz w:val="20"/>
                <w:szCs w:val="20"/>
              </w:rPr>
            </w:pPr>
            <w:r w:rsidRPr="00084EA9">
              <w:rPr>
                <w:rFonts w:cs="Arial"/>
                <w:b/>
                <w:bCs/>
                <w:sz w:val="20"/>
                <w:szCs w:val="20"/>
              </w:rPr>
              <w:t>Via de administração</w:t>
            </w:r>
          </w:p>
        </w:tc>
      </w:tr>
      <w:tr w:rsidR="006E6CB9" w:rsidRPr="00084EA9" w:rsidTr="006E6CB9">
        <w:tc>
          <w:tcPr>
            <w:tcW w:w="831" w:type="pct"/>
            <w:shd w:val="clear" w:color="auto" w:fill="D2EAF1"/>
          </w:tcPr>
          <w:p w:rsidR="006E6CB9" w:rsidRPr="00084EA9" w:rsidRDefault="006E6CB9" w:rsidP="006E6CB9">
            <w:pPr>
              <w:spacing w:before="60" w:after="60" w:line="240" w:lineRule="auto"/>
              <w:rPr>
                <w:rFonts w:cs="Arial"/>
                <w:sz w:val="20"/>
                <w:szCs w:val="20"/>
              </w:rPr>
            </w:pPr>
            <w:r w:rsidRPr="00084EA9">
              <w:rPr>
                <w:rFonts w:cs="Arial"/>
                <w:sz w:val="20"/>
                <w:szCs w:val="20"/>
              </w:rPr>
              <w:t>Amodiaquina</w:t>
            </w:r>
          </w:p>
        </w:tc>
        <w:tc>
          <w:tcPr>
            <w:tcW w:w="1002" w:type="pct"/>
            <w:shd w:val="clear" w:color="auto" w:fill="D2EAF1"/>
          </w:tcPr>
          <w:p w:rsidR="006E6CB9" w:rsidRPr="006E6CB9" w:rsidRDefault="006E6CB9" w:rsidP="006E6CB9">
            <w:pPr>
              <w:spacing w:before="60" w:after="60" w:line="240" w:lineRule="auto"/>
              <w:rPr>
                <w:rFonts w:cs="Arial"/>
                <w:sz w:val="20"/>
                <w:szCs w:val="20"/>
                <w:lang w:val="pt-BR"/>
              </w:rPr>
            </w:pPr>
            <w:r w:rsidRPr="006E6CB9">
              <w:rPr>
                <w:rFonts w:cs="Arial"/>
                <w:sz w:val="20"/>
                <w:szCs w:val="20"/>
                <w:lang w:val="pt-BR"/>
              </w:rPr>
              <w:t xml:space="preserve">Tratamento da malária não complicada por </w:t>
            </w:r>
            <w:r w:rsidRPr="006E6CB9">
              <w:rPr>
                <w:rFonts w:cs="Arial"/>
                <w:i/>
                <w:sz w:val="20"/>
                <w:szCs w:val="20"/>
                <w:lang w:val="pt-BR"/>
              </w:rPr>
              <w:t xml:space="preserve">P. falciparum </w:t>
            </w:r>
            <w:r w:rsidRPr="006E6CB9">
              <w:rPr>
                <w:rFonts w:cs="Arial"/>
                <w:sz w:val="20"/>
                <w:szCs w:val="20"/>
                <w:lang w:val="pt-BR"/>
              </w:rPr>
              <w:t>em associação com outros anti-maláricos (artesunato)</w:t>
            </w:r>
          </w:p>
        </w:tc>
        <w:tc>
          <w:tcPr>
            <w:tcW w:w="1154" w:type="pct"/>
            <w:shd w:val="clear" w:color="auto" w:fill="D2EAF1"/>
          </w:tcPr>
          <w:p w:rsidR="006E6CB9" w:rsidRPr="006E6CB9" w:rsidRDefault="006E6CB9" w:rsidP="006E6CB9">
            <w:pPr>
              <w:spacing w:before="60" w:after="60" w:line="240" w:lineRule="auto"/>
              <w:rPr>
                <w:rFonts w:cs="Arial"/>
                <w:sz w:val="20"/>
                <w:szCs w:val="20"/>
                <w:lang w:val="pt-BR"/>
              </w:rPr>
            </w:pPr>
            <w:r w:rsidRPr="006E6CB9">
              <w:rPr>
                <w:rFonts w:cs="Arial"/>
                <w:sz w:val="20"/>
                <w:szCs w:val="20"/>
                <w:lang w:val="pt-BR"/>
              </w:rPr>
              <w:t>Hipersensibilidade conhecida à amodiaquina, crianças menores de 4.5 kg, insuficiência hepática, distúrbios sanguíneos e retinopatia, malária grave.</w:t>
            </w:r>
          </w:p>
        </w:tc>
        <w:tc>
          <w:tcPr>
            <w:tcW w:w="1182" w:type="pct"/>
            <w:shd w:val="clear" w:color="auto" w:fill="D2EAF1"/>
          </w:tcPr>
          <w:p w:rsidR="006E6CB9" w:rsidRPr="00084EA9" w:rsidRDefault="006E6CB9" w:rsidP="006E6CB9">
            <w:pPr>
              <w:spacing w:before="60" w:after="60" w:line="240" w:lineRule="auto"/>
              <w:rPr>
                <w:rFonts w:cs="Arial"/>
                <w:sz w:val="20"/>
                <w:szCs w:val="20"/>
              </w:rPr>
            </w:pPr>
            <w:r w:rsidRPr="006E6CB9">
              <w:rPr>
                <w:rFonts w:cs="Arial"/>
                <w:sz w:val="20"/>
                <w:szCs w:val="20"/>
                <w:lang w:val="pt-BR"/>
              </w:rPr>
              <w:t xml:space="preserve">Em geral bem tolerado. Pode causar anorexia, náuseas, vómitos, dores abdominais, diarreia e prurido (palmo-plantar). </w:t>
            </w:r>
            <w:r w:rsidRPr="00084EA9">
              <w:rPr>
                <w:rFonts w:cs="Arial"/>
                <w:sz w:val="20"/>
                <w:szCs w:val="20"/>
              </w:rPr>
              <w:t>Bradicardia, hipotensão arterial, hepatite, distúrbios de visão</w:t>
            </w:r>
          </w:p>
        </w:tc>
        <w:tc>
          <w:tcPr>
            <w:tcW w:w="831" w:type="pct"/>
            <w:shd w:val="clear" w:color="auto" w:fill="D2EAF1"/>
          </w:tcPr>
          <w:p w:rsidR="006E6CB9" w:rsidRPr="00084EA9" w:rsidRDefault="006E6CB9" w:rsidP="006E6CB9">
            <w:pPr>
              <w:spacing w:line="240" w:lineRule="auto"/>
              <w:rPr>
                <w:rFonts w:cs="Arial"/>
                <w:sz w:val="20"/>
                <w:szCs w:val="20"/>
              </w:rPr>
            </w:pPr>
            <w:r w:rsidRPr="00084EA9">
              <w:rPr>
                <w:rFonts w:cs="Arial"/>
                <w:sz w:val="20"/>
                <w:szCs w:val="20"/>
              </w:rPr>
              <w:t>Oral</w:t>
            </w:r>
          </w:p>
        </w:tc>
      </w:tr>
      <w:tr w:rsidR="006E6CB9" w:rsidRPr="00084EA9" w:rsidTr="006E6CB9">
        <w:tc>
          <w:tcPr>
            <w:tcW w:w="831" w:type="pct"/>
          </w:tcPr>
          <w:p w:rsidR="006E6CB9" w:rsidRPr="006E6CB9" w:rsidRDefault="006E6CB9" w:rsidP="006E6CB9">
            <w:pPr>
              <w:spacing w:before="60" w:after="60" w:line="240" w:lineRule="auto"/>
              <w:rPr>
                <w:rFonts w:cs="Arial"/>
                <w:sz w:val="20"/>
                <w:szCs w:val="20"/>
                <w:lang w:val="pt-BR"/>
              </w:rPr>
            </w:pPr>
            <w:r w:rsidRPr="006E6CB9">
              <w:rPr>
                <w:rFonts w:cs="Arial"/>
                <w:sz w:val="20"/>
                <w:szCs w:val="20"/>
                <w:lang w:val="pt-BR"/>
              </w:rPr>
              <w:t>Derivados de artemisina (arteméter e artesunato) associado à lumefantrina</w:t>
            </w:r>
          </w:p>
          <w:p w:rsidR="006E6CB9" w:rsidRPr="00084EA9" w:rsidRDefault="006E6CB9" w:rsidP="006E6CB9">
            <w:pPr>
              <w:spacing w:before="60" w:after="60" w:line="240" w:lineRule="auto"/>
              <w:rPr>
                <w:rFonts w:cs="Arial"/>
                <w:sz w:val="20"/>
                <w:szCs w:val="20"/>
              </w:rPr>
            </w:pPr>
            <w:r w:rsidRPr="00084EA9">
              <w:rPr>
                <w:rFonts w:cs="Arial"/>
                <w:sz w:val="20"/>
                <w:szCs w:val="20"/>
              </w:rPr>
              <w:t>(coartem)</w:t>
            </w:r>
          </w:p>
        </w:tc>
        <w:tc>
          <w:tcPr>
            <w:tcW w:w="1002" w:type="pct"/>
          </w:tcPr>
          <w:p w:rsidR="006E6CB9" w:rsidRPr="006E6CB9" w:rsidRDefault="006E6CB9" w:rsidP="006E6CB9">
            <w:pPr>
              <w:spacing w:before="60" w:after="60" w:line="240" w:lineRule="auto"/>
              <w:rPr>
                <w:rFonts w:cs="Arial"/>
                <w:sz w:val="20"/>
                <w:szCs w:val="20"/>
                <w:lang w:val="pt-BR"/>
              </w:rPr>
            </w:pPr>
            <w:r w:rsidRPr="006E6CB9">
              <w:rPr>
                <w:rFonts w:cs="Arial"/>
                <w:sz w:val="20"/>
                <w:szCs w:val="20"/>
                <w:lang w:val="pt-BR"/>
              </w:rPr>
              <w:t xml:space="preserve">Tratamento da malária não complicada ou complicada/grave por todas formas de </w:t>
            </w:r>
            <w:r w:rsidRPr="006E6CB9">
              <w:rPr>
                <w:rFonts w:cs="Arial"/>
                <w:i/>
                <w:sz w:val="20"/>
                <w:szCs w:val="20"/>
                <w:lang w:val="pt-BR"/>
              </w:rPr>
              <w:t xml:space="preserve">P. falciparum, </w:t>
            </w:r>
            <w:r w:rsidRPr="006E6CB9">
              <w:rPr>
                <w:rFonts w:cs="Arial"/>
                <w:sz w:val="20"/>
                <w:szCs w:val="20"/>
                <w:lang w:val="pt-BR"/>
              </w:rPr>
              <w:t>incluindo as formas multirresistentes</w:t>
            </w:r>
            <w:r w:rsidRPr="006E6CB9">
              <w:rPr>
                <w:rFonts w:cs="Arial"/>
                <w:i/>
                <w:sz w:val="20"/>
                <w:szCs w:val="20"/>
                <w:lang w:val="pt-BR"/>
              </w:rPr>
              <w:t xml:space="preserve"> </w:t>
            </w:r>
            <w:r w:rsidRPr="006E6CB9">
              <w:rPr>
                <w:rFonts w:cs="Arial"/>
                <w:sz w:val="20"/>
                <w:szCs w:val="20"/>
                <w:lang w:val="pt-BR"/>
              </w:rPr>
              <w:t xml:space="preserve"> </w:t>
            </w:r>
          </w:p>
        </w:tc>
        <w:tc>
          <w:tcPr>
            <w:tcW w:w="1154" w:type="pct"/>
          </w:tcPr>
          <w:p w:rsidR="006E6CB9" w:rsidRPr="006E6CB9" w:rsidRDefault="006E6CB9" w:rsidP="006E6CB9">
            <w:pPr>
              <w:spacing w:before="60" w:after="60" w:line="240" w:lineRule="auto"/>
              <w:rPr>
                <w:rFonts w:cs="Arial"/>
                <w:sz w:val="20"/>
                <w:szCs w:val="20"/>
                <w:lang w:val="pt-BR"/>
              </w:rPr>
            </w:pPr>
            <w:r w:rsidRPr="006E6CB9">
              <w:rPr>
                <w:rFonts w:cs="Arial"/>
                <w:sz w:val="20"/>
                <w:szCs w:val="20"/>
                <w:lang w:val="pt-BR"/>
              </w:rPr>
              <w:t>Primeiro trimestre da gravidez, hipersensibilidade conhecida aos derivados de artemisina, malária grave, crianças com peso &lt; 5 kg, história familiar de morte súbita ou prolongamento congénito do intervalo QT do electrocardiograma (ECG) por risco de paragem cardíaca</w:t>
            </w:r>
          </w:p>
        </w:tc>
        <w:tc>
          <w:tcPr>
            <w:tcW w:w="1182" w:type="pct"/>
          </w:tcPr>
          <w:p w:rsidR="006E6CB9" w:rsidRPr="006E6CB9" w:rsidRDefault="006E6CB9" w:rsidP="006E6CB9">
            <w:pPr>
              <w:spacing w:before="60" w:after="60" w:line="240" w:lineRule="auto"/>
              <w:rPr>
                <w:rFonts w:cs="Arial"/>
                <w:sz w:val="20"/>
                <w:szCs w:val="20"/>
                <w:lang w:val="pt-BR"/>
              </w:rPr>
            </w:pPr>
            <w:r w:rsidRPr="006E6CB9">
              <w:rPr>
                <w:rFonts w:cs="Arial"/>
                <w:sz w:val="20"/>
                <w:szCs w:val="20"/>
                <w:lang w:val="pt-BR"/>
              </w:rPr>
              <w:t>Em geral bem tolerado. Pode provocar efeitos gastrointestinais como a amodiaquina, erupção cutânea, zumbidos, tonturas distúrbios do sono, elevação das enzimas hepáticas, prolongamento do intervalo QT do ECG</w:t>
            </w:r>
          </w:p>
        </w:tc>
        <w:tc>
          <w:tcPr>
            <w:tcW w:w="831" w:type="pct"/>
          </w:tcPr>
          <w:p w:rsidR="006E6CB9" w:rsidRPr="00084EA9" w:rsidRDefault="006E6CB9" w:rsidP="006E6CB9">
            <w:pPr>
              <w:spacing w:line="240" w:lineRule="auto"/>
              <w:rPr>
                <w:rFonts w:cs="Arial"/>
                <w:sz w:val="20"/>
                <w:szCs w:val="20"/>
              </w:rPr>
            </w:pPr>
            <w:r w:rsidRPr="00084EA9">
              <w:rPr>
                <w:rFonts w:cs="Arial"/>
                <w:sz w:val="20"/>
                <w:szCs w:val="20"/>
              </w:rPr>
              <w:t>Oral, IM e rectal</w:t>
            </w:r>
          </w:p>
        </w:tc>
      </w:tr>
      <w:tr w:rsidR="006E6CB9" w:rsidRPr="00084EA9" w:rsidTr="006E6CB9">
        <w:tc>
          <w:tcPr>
            <w:tcW w:w="831" w:type="pct"/>
            <w:shd w:val="clear" w:color="auto" w:fill="D2EAF1"/>
          </w:tcPr>
          <w:p w:rsidR="006E6CB9" w:rsidRPr="00084EA9" w:rsidRDefault="006E6CB9" w:rsidP="006E6CB9">
            <w:pPr>
              <w:spacing w:before="60" w:after="60" w:line="240" w:lineRule="auto"/>
              <w:rPr>
                <w:rFonts w:cs="Arial"/>
                <w:sz w:val="20"/>
                <w:szCs w:val="20"/>
              </w:rPr>
            </w:pPr>
            <w:r w:rsidRPr="00084EA9">
              <w:rPr>
                <w:rFonts w:cs="Arial"/>
                <w:sz w:val="20"/>
                <w:szCs w:val="20"/>
              </w:rPr>
              <w:t>Quinina</w:t>
            </w:r>
          </w:p>
        </w:tc>
        <w:tc>
          <w:tcPr>
            <w:tcW w:w="1002" w:type="pct"/>
            <w:shd w:val="clear" w:color="auto" w:fill="D2EAF1"/>
          </w:tcPr>
          <w:p w:rsidR="006E6CB9" w:rsidRPr="006E6CB9" w:rsidRDefault="006E6CB9" w:rsidP="006E6CB9">
            <w:pPr>
              <w:spacing w:before="60" w:after="60" w:line="240" w:lineRule="auto"/>
              <w:rPr>
                <w:rFonts w:cs="Arial"/>
                <w:sz w:val="20"/>
                <w:szCs w:val="20"/>
                <w:lang w:val="pt-BR"/>
              </w:rPr>
            </w:pPr>
            <w:r w:rsidRPr="006E6CB9">
              <w:rPr>
                <w:rFonts w:cs="Arial"/>
                <w:sz w:val="20"/>
                <w:szCs w:val="20"/>
                <w:lang w:val="pt-BR"/>
              </w:rPr>
              <w:t>Tratamento de malária complicada ou grave. Tratamento de formas ligeiras quando não há disponibilidade de outros fármacos (coartem ou ASAQ)</w:t>
            </w:r>
          </w:p>
          <w:p w:rsidR="006E6CB9" w:rsidRPr="006E6CB9" w:rsidRDefault="006E6CB9" w:rsidP="006E6CB9">
            <w:pPr>
              <w:spacing w:before="60" w:after="60" w:line="240" w:lineRule="auto"/>
              <w:rPr>
                <w:rFonts w:cs="Arial"/>
                <w:sz w:val="20"/>
                <w:szCs w:val="20"/>
                <w:lang w:val="pt-BR"/>
              </w:rPr>
            </w:pPr>
            <w:r w:rsidRPr="006E6CB9">
              <w:rPr>
                <w:rFonts w:cs="Arial"/>
                <w:sz w:val="20"/>
                <w:szCs w:val="20"/>
                <w:lang w:val="pt-BR"/>
              </w:rPr>
              <w:t>Tratamento da malária na gravidez</w:t>
            </w:r>
          </w:p>
        </w:tc>
        <w:tc>
          <w:tcPr>
            <w:tcW w:w="1154" w:type="pct"/>
            <w:shd w:val="clear" w:color="auto" w:fill="D2EAF1"/>
          </w:tcPr>
          <w:p w:rsidR="006E6CB9" w:rsidRPr="006E6CB9" w:rsidRDefault="006E6CB9" w:rsidP="006E6CB9">
            <w:pPr>
              <w:spacing w:before="60" w:after="60" w:line="240" w:lineRule="auto"/>
              <w:rPr>
                <w:rFonts w:cs="Arial"/>
                <w:sz w:val="20"/>
                <w:szCs w:val="20"/>
                <w:lang w:val="pt-BR"/>
              </w:rPr>
            </w:pPr>
            <w:r w:rsidRPr="006E6CB9">
              <w:rPr>
                <w:rFonts w:cs="Arial"/>
                <w:sz w:val="20"/>
                <w:szCs w:val="20"/>
                <w:lang w:val="pt-BR"/>
              </w:rPr>
              <w:t>Hipersensibilidade conhecida à quinina. Evitar o uso em pacientes com arritmias cardíacas e mistenia gravis (risco de apneia)</w:t>
            </w:r>
          </w:p>
        </w:tc>
        <w:tc>
          <w:tcPr>
            <w:tcW w:w="1182" w:type="pct"/>
            <w:shd w:val="clear" w:color="auto" w:fill="D2EAF1"/>
          </w:tcPr>
          <w:p w:rsidR="006E6CB9" w:rsidRPr="006E6CB9" w:rsidRDefault="006E6CB9" w:rsidP="006E6CB9">
            <w:pPr>
              <w:spacing w:before="60" w:after="60" w:line="240" w:lineRule="auto"/>
              <w:rPr>
                <w:rFonts w:cs="Arial"/>
                <w:sz w:val="20"/>
                <w:szCs w:val="20"/>
                <w:lang w:val="pt-BR"/>
              </w:rPr>
            </w:pPr>
            <w:r w:rsidRPr="006E6CB9">
              <w:rPr>
                <w:rFonts w:cs="Arial"/>
                <w:sz w:val="20"/>
                <w:szCs w:val="20"/>
                <w:lang w:val="pt-BR"/>
              </w:rPr>
              <w:t xml:space="preserve">Cefaleia, zumbidos, náuseas, vómitos, distúrbios visuais (visão turva, cegueira transitória). Hipoglicémia. Em doses tóxicas ou perfusão rápida pode ocorrer: surdez irreversível, redução ou perca da visão (ambliopia), convulsões, hipotensão arterial, arritmias e paragem cardíaca  </w:t>
            </w:r>
          </w:p>
        </w:tc>
        <w:tc>
          <w:tcPr>
            <w:tcW w:w="831" w:type="pct"/>
            <w:shd w:val="clear" w:color="auto" w:fill="D2EAF1"/>
          </w:tcPr>
          <w:p w:rsidR="006E6CB9" w:rsidRPr="00084EA9" w:rsidRDefault="006E6CB9" w:rsidP="006E6CB9">
            <w:pPr>
              <w:spacing w:line="240" w:lineRule="auto"/>
              <w:rPr>
                <w:rFonts w:cs="Arial"/>
                <w:sz w:val="20"/>
                <w:szCs w:val="20"/>
              </w:rPr>
            </w:pPr>
            <w:r w:rsidRPr="00084EA9">
              <w:rPr>
                <w:rFonts w:cs="Arial"/>
                <w:sz w:val="20"/>
                <w:szCs w:val="20"/>
              </w:rPr>
              <w:t>Oral, parenteral</w:t>
            </w:r>
          </w:p>
        </w:tc>
      </w:tr>
      <w:tr w:rsidR="006E6CB9" w:rsidRPr="00084EA9" w:rsidTr="006E6CB9">
        <w:tc>
          <w:tcPr>
            <w:tcW w:w="831" w:type="pct"/>
            <w:shd w:val="clear" w:color="auto" w:fill="D2EAF1"/>
          </w:tcPr>
          <w:p w:rsidR="006E6CB9" w:rsidRPr="006E6CB9" w:rsidRDefault="006E6CB9" w:rsidP="006E6CB9">
            <w:pPr>
              <w:spacing w:before="60" w:after="60" w:line="240" w:lineRule="auto"/>
              <w:rPr>
                <w:rFonts w:cs="Arial"/>
                <w:sz w:val="20"/>
                <w:szCs w:val="20"/>
                <w:lang w:val="pt-BR"/>
              </w:rPr>
            </w:pPr>
            <w:r w:rsidRPr="006E6CB9">
              <w:rPr>
                <w:rFonts w:cs="Arial"/>
                <w:sz w:val="20"/>
                <w:szCs w:val="20"/>
                <w:lang w:val="pt-BR"/>
              </w:rPr>
              <w:t>Sulfadoxina-pirimetamina (SP ou Fansidar)</w:t>
            </w:r>
          </w:p>
        </w:tc>
        <w:tc>
          <w:tcPr>
            <w:tcW w:w="1002" w:type="pct"/>
            <w:shd w:val="clear" w:color="auto" w:fill="D2EAF1"/>
          </w:tcPr>
          <w:p w:rsidR="006E6CB9" w:rsidRPr="006E6CB9" w:rsidRDefault="006E6CB9" w:rsidP="006E6CB9">
            <w:pPr>
              <w:spacing w:before="60" w:after="60" w:line="240" w:lineRule="auto"/>
              <w:rPr>
                <w:rFonts w:cs="Arial"/>
                <w:b/>
                <w:sz w:val="20"/>
                <w:szCs w:val="20"/>
                <w:lang w:val="pt-BR"/>
              </w:rPr>
            </w:pPr>
            <w:r w:rsidRPr="006E6CB9">
              <w:rPr>
                <w:rFonts w:cs="Arial"/>
                <w:sz w:val="20"/>
                <w:szCs w:val="20"/>
                <w:lang w:val="pt-BR"/>
              </w:rPr>
              <w:t xml:space="preserve">Útil no tratamento de malária não complicada por </w:t>
            </w:r>
            <w:r w:rsidRPr="006E6CB9">
              <w:rPr>
                <w:rFonts w:cs="Arial"/>
                <w:i/>
                <w:sz w:val="20"/>
                <w:szCs w:val="20"/>
                <w:lang w:val="pt-BR"/>
              </w:rPr>
              <w:t>P. falciparum</w:t>
            </w:r>
            <w:r w:rsidRPr="006E6CB9">
              <w:rPr>
                <w:rFonts w:cs="Arial"/>
                <w:sz w:val="20"/>
                <w:szCs w:val="20"/>
                <w:lang w:val="pt-BR"/>
              </w:rPr>
              <w:t xml:space="preserve">, porém </w:t>
            </w:r>
            <w:r w:rsidRPr="006E6CB9">
              <w:rPr>
                <w:rFonts w:cs="Arial"/>
                <w:b/>
                <w:sz w:val="20"/>
                <w:szCs w:val="20"/>
                <w:lang w:val="pt-BR"/>
              </w:rPr>
              <w:t>actualmente está reservada para a prevenção da malária na gravidez</w:t>
            </w:r>
          </w:p>
        </w:tc>
        <w:tc>
          <w:tcPr>
            <w:tcW w:w="1154" w:type="pct"/>
            <w:shd w:val="clear" w:color="auto" w:fill="D2EAF1"/>
          </w:tcPr>
          <w:p w:rsidR="006E6CB9" w:rsidRPr="006E6CB9" w:rsidRDefault="006E6CB9" w:rsidP="006E6CB9">
            <w:pPr>
              <w:spacing w:before="60" w:after="60" w:line="240" w:lineRule="auto"/>
              <w:rPr>
                <w:rFonts w:cs="Arial"/>
                <w:sz w:val="20"/>
                <w:szCs w:val="20"/>
                <w:lang w:val="pt-BR"/>
              </w:rPr>
            </w:pPr>
            <w:r w:rsidRPr="006E6CB9">
              <w:rPr>
                <w:rFonts w:cs="Arial"/>
                <w:sz w:val="20"/>
                <w:szCs w:val="20"/>
                <w:lang w:val="pt-BR"/>
              </w:rPr>
              <w:t>Antecedentes de alergia as sulfamidas. Insuficiência hepática ou renal. Antes das 20 semanas de gestação, lactação e menores de 2 meses. Tratamento concomitante com co-trimoxazol e tratamento com SP nos últimos 2 meses)</w:t>
            </w:r>
          </w:p>
        </w:tc>
        <w:tc>
          <w:tcPr>
            <w:tcW w:w="1182" w:type="pct"/>
            <w:shd w:val="clear" w:color="auto" w:fill="D2EAF1"/>
          </w:tcPr>
          <w:p w:rsidR="006E6CB9" w:rsidRPr="00084EA9" w:rsidRDefault="006E6CB9" w:rsidP="006E6CB9">
            <w:pPr>
              <w:spacing w:before="60" w:after="60" w:line="240" w:lineRule="auto"/>
              <w:rPr>
                <w:rFonts w:cs="Arial"/>
                <w:sz w:val="20"/>
                <w:szCs w:val="20"/>
              </w:rPr>
            </w:pPr>
            <w:r w:rsidRPr="006E6CB9">
              <w:rPr>
                <w:rFonts w:cs="Arial"/>
                <w:sz w:val="20"/>
                <w:szCs w:val="20"/>
                <w:lang w:val="pt-BR"/>
              </w:rPr>
              <w:t xml:space="preserve">Reacções alérgicas (erupção cutânea, urticária, síndrome de Stevens-Johnson, febre, artralgia, eritama nodoso). </w:t>
            </w:r>
            <w:r w:rsidRPr="00084EA9">
              <w:rPr>
                <w:rFonts w:cs="Arial"/>
                <w:sz w:val="20"/>
                <w:szCs w:val="20"/>
              </w:rPr>
              <w:t xml:space="preserve">Fotossensibilidade, anafilaxia. </w:t>
            </w:r>
          </w:p>
        </w:tc>
        <w:tc>
          <w:tcPr>
            <w:tcW w:w="831" w:type="pct"/>
            <w:shd w:val="clear" w:color="auto" w:fill="D2EAF1"/>
          </w:tcPr>
          <w:p w:rsidR="006E6CB9" w:rsidRPr="00084EA9" w:rsidRDefault="006E6CB9" w:rsidP="006E6CB9">
            <w:pPr>
              <w:spacing w:line="240" w:lineRule="auto"/>
              <w:rPr>
                <w:rFonts w:cs="Arial"/>
                <w:sz w:val="20"/>
                <w:szCs w:val="20"/>
              </w:rPr>
            </w:pPr>
            <w:r w:rsidRPr="00084EA9">
              <w:rPr>
                <w:rFonts w:cs="Arial"/>
                <w:sz w:val="20"/>
                <w:szCs w:val="20"/>
              </w:rPr>
              <w:t>Oral, parenteral</w:t>
            </w:r>
          </w:p>
        </w:tc>
      </w:tr>
    </w:tbl>
    <w:p w:rsidR="006E6CB9" w:rsidRPr="00084EA9" w:rsidRDefault="006E6CB9" w:rsidP="006E6CB9">
      <w:pPr>
        <w:spacing w:before="120"/>
        <w:jc w:val="both"/>
        <w:rPr>
          <w:rFonts w:cs="Arial"/>
          <w:b/>
        </w:rPr>
      </w:pPr>
      <w:r w:rsidRPr="00084EA9">
        <w:rPr>
          <w:rFonts w:cs="Arial"/>
          <w:b/>
        </w:rPr>
        <w:t>2.7 Regimes de Tratamento da Malária</w:t>
      </w:r>
    </w:p>
    <w:p w:rsidR="006E6CB9" w:rsidRDefault="006E6CB9" w:rsidP="006E6CB9">
      <w:pPr>
        <w:spacing w:before="120"/>
        <w:jc w:val="both"/>
        <w:rPr>
          <w:rFonts w:cs="Arial"/>
          <w:lang w:val="pt-BR"/>
        </w:rPr>
      </w:pPr>
      <w:r w:rsidRPr="006E6CB9">
        <w:rPr>
          <w:rFonts w:cs="Arial"/>
          <w:lang w:val="pt-BR"/>
        </w:rPr>
        <w:t>Moçambique apresenta 3 linhas de tratamento da malária, sendo a 1ª e a 2ª linha, usados no tratamento da malária não complicada.</w:t>
      </w:r>
    </w:p>
    <w:p w:rsidR="0096537C" w:rsidRPr="006E6CB9" w:rsidRDefault="0096537C" w:rsidP="006E6CB9">
      <w:pPr>
        <w:spacing w:before="120"/>
        <w:jc w:val="both"/>
        <w:rPr>
          <w:rFonts w:cs="Arial"/>
          <w:lang w:val="pt-BR"/>
        </w:rPr>
      </w:pPr>
    </w:p>
    <w:p w:rsidR="006E6CB9" w:rsidRPr="0096537C" w:rsidRDefault="006E6CB9" w:rsidP="001B4CDC">
      <w:pPr>
        <w:spacing w:before="120"/>
        <w:ind w:left="360"/>
        <w:jc w:val="both"/>
        <w:rPr>
          <w:rFonts w:cs="Arial"/>
          <w:b/>
          <w:lang w:val="pt-PT"/>
        </w:rPr>
      </w:pPr>
      <w:r w:rsidRPr="0096537C">
        <w:rPr>
          <w:rFonts w:cs="Arial"/>
          <w:b/>
          <w:lang w:val="pt-PT"/>
        </w:rPr>
        <w:lastRenderedPageBreak/>
        <w:t>2.7.1 Tratamento da malária não complicada</w:t>
      </w:r>
    </w:p>
    <w:p w:rsidR="006E6CB9" w:rsidRPr="006E6CB9" w:rsidRDefault="006E6CB9" w:rsidP="00C52E09">
      <w:pPr>
        <w:numPr>
          <w:ilvl w:val="0"/>
          <w:numId w:val="208"/>
        </w:numPr>
        <w:spacing w:before="120" w:after="0" w:line="240" w:lineRule="auto"/>
        <w:jc w:val="both"/>
        <w:rPr>
          <w:rFonts w:cs="Arial"/>
          <w:lang w:val="pt-BR"/>
        </w:rPr>
      </w:pPr>
      <w:r w:rsidRPr="006E6CB9">
        <w:rPr>
          <w:rFonts w:cs="Arial"/>
          <w:lang w:val="pt-BR"/>
        </w:rPr>
        <w:t xml:space="preserve">A 1ª linha de tratamento – </w:t>
      </w:r>
      <w:r w:rsidRPr="006E6CB9">
        <w:rPr>
          <w:rFonts w:cs="Arial"/>
          <w:b/>
          <w:lang w:val="pt-BR"/>
        </w:rPr>
        <w:t>arteméter e lumefantrina</w:t>
      </w:r>
      <w:r w:rsidRPr="006E6CB9">
        <w:rPr>
          <w:rFonts w:cs="Arial"/>
          <w:lang w:val="pt-BR"/>
        </w:rPr>
        <w:t xml:space="preserve"> (AL ou coartem). Está disponível sob a forma de comprimidos de 20 mg de arteméter e 120 mg de lumefantrina.</w:t>
      </w:r>
    </w:p>
    <w:p w:rsidR="006E6CB9" w:rsidRPr="00084EA9" w:rsidRDefault="006E6CB9" w:rsidP="00C52E09">
      <w:pPr>
        <w:numPr>
          <w:ilvl w:val="0"/>
          <w:numId w:val="208"/>
        </w:numPr>
        <w:spacing w:before="120" w:after="0" w:line="240" w:lineRule="auto"/>
        <w:jc w:val="both"/>
        <w:rPr>
          <w:rFonts w:cs="Arial"/>
        </w:rPr>
      </w:pPr>
      <w:r w:rsidRPr="00084EA9">
        <w:rPr>
          <w:rFonts w:cs="Arial"/>
        </w:rPr>
        <w:t xml:space="preserve">Dose e dosagem: </w:t>
      </w:r>
    </w:p>
    <w:p w:rsidR="006E6CB9" w:rsidRPr="006E6CB9" w:rsidRDefault="006E6CB9" w:rsidP="006E6CB9">
      <w:pPr>
        <w:spacing w:before="120"/>
        <w:jc w:val="both"/>
        <w:rPr>
          <w:rFonts w:cs="Arial"/>
          <w:lang w:val="pt-BR"/>
        </w:rPr>
      </w:pPr>
      <w:r w:rsidRPr="006E6CB9">
        <w:rPr>
          <w:rFonts w:cs="Arial"/>
          <w:lang w:val="pt-BR"/>
        </w:rPr>
        <w:t>A primeira dose deve ser administrada na altura do diagnóstico e repetida 8 horas depois. As restantes doses são administradas em duas tomas diárias (de 12 em 12 horas) nos dois dias subsequentes, num total de 6 doses, durante 3 dias.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98"/>
        <w:gridCol w:w="2598"/>
        <w:gridCol w:w="2599"/>
        <w:gridCol w:w="2599"/>
      </w:tblGrid>
      <w:tr w:rsidR="006E6CB9" w:rsidRPr="00061064" w:rsidTr="006E6CB9">
        <w:trPr>
          <w:jc w:val="center"/>
        </w:trPr>
        <w:tc>
          <w:tcPr>
            <w:tcW w:w="1250" w:type="pct"/>
          </w:tcPr>
          <w:p w:rsidR="006E6CB9" w:rsidRPr="00061064" w:rsidRDefault="006E6CB9" w:rsidP="006E6CB9">
            <w:pPr>
              <w:spacing w:before="120" w:line="240" w:lineRule="auto"/>
              <w:jc w:val="center"/>
              <w:rPr>
                <w:rFonts w:cs="Arial"/>
                <w:b/>
                <w:sz w:val="20"/>
                <w:szCs w:val="20"/>
              </w:rPr>
            </w:pPr>
            <w:r w:rsidRPr="00061064">
              <w:rPr>
                <w:rFonts w:cs="Arial"/>
                <w:b/>
                <w:sz w:val="20"/>
                <w:szCs w:val="20"/>
              </w:rPr>
              <w:t>Peso (kg)</w:t>
            </w:r>
          </w:p>
        </w:tc>
        <w:tc>
          <w:tcPr>
            <w:tcW w:w="1250" w:type="pct"/>
          </w:tcPr>
          <w:p w:rsidR="006E6CB9" w:rsidRPr="00061064" w:rsidRDefault="006E6CB9" w:rsidP="006E6CB9">
            <w:pPr>
              <w:spacing w:before="120" w:line="240" w:lineRule="auto"/>
              <w:jc w:val="center"/>
              <w:rPr>
                <w:rFonts w:cs="Arial"/>
                <w:b/>
                <w:sz w:val="20"/>
                <w:szCs w:val="20"/>
              </w:rPr>
            </w:pPr>
            <w:r w:rsidRPr="00061064">
              <w:rPr>
                <w:rFonts w:cs="Arial"/>
                <w:b/>
                <w:sz w:val="20"/>
                <w:szCs w:val="20"/>
              </w:rPr>
              <w:t>Idade (anos)</w:t>
            </w:r>
          </w:p>
        </w:tc>
        <w:tc>
          <w:tcPr>
            <w:tcW w:w="1250" w:type="pct"/>
          </w:tcPr>
          <w:p w:rsidR="006E6CB9" w:rsidRPr="006E6CB9" w:rsidRDefault="006E6CB9" w:rsidP="006E6CB9">
            <w:pPr>
              <w:spacing w:before="120" w:line="240" w:lineRule="auto"/>
              <w:jc w:val="center"/>
              <w:rPr>
                <w:rFonts w:cs="Arial"/>
                <w:b/>
                <w:sz w:val="20"/>
                <w:szCs w:val="20"/>
                <w:lang w:val="pt-BR"/>
              </w:rPr>
            </w:pPr>
            <w:r w:rsidRPr="006E6CB9">
              <w:rPr>
                <w:rFonts w:cs="Arial"/>
                <w:b/>
                <w:sz w:val="20"/>
                <w:szCs w:val="20"/>
                <w:lang w:val="pt-BR"/>
              </w:rPr>
              <w:t>No de comprimidos por dose</w:t>
            </w:r>
          </w:p>
        </w:tc>
        <w:tc>
          <w:tcPr>
            <w:tcW w:w="1250" w:type="pct"/>
          </w:tcPr>
          <w:p w:rsidR="006E6CB9" w:rsidRPr="00061064" w:rsidRDefault="006E6CB9" w:rsidP="006E6CB9">
            <w:pPr>
              <w:spacing w:before="120" w:line="240" w:lineRule="auto"/>
              <w:jc w:val="center"/>
              <w:rPr>
                <w:rFonts w:cs="Arial"/>
                <w:b/>
                <w:sz w:val="20"/>
                <w:szCs w:val="20"/>
              </w:rPr>
            </w:pPr>
            <w:r w:rsidRPr="00061064">
              <w:rPr>
                <w:rFonts w:cs="Arial"/>
                <w:b/>
                <w:sz w:val="20"/>
                <w:szCs w:val="20"/>
              </w:rPr>
              <w:t>No total de comprimidos</w:t>
            </w:r>
          </w:p>
        </w:tc>
      </w:tr>
      <w:tr w:rsidR="006E6CB9" w:rsidRPr="00061064" w:rsidTr="006E6CB9">
        <w:trPr>
          <w:jc w:val="center"/>
        </w:trPr>
        <w:tc>
          <w:tcPr>
            <w:tcW w:w="1250" w:type="pct"/>
          </w:tcPr>
          <w:p w:rsidR="006E6CB9" w:rsidRPr="00061064" w:rsidRDefault="006E6CB9" w:rsidP="006E6CB9">
            <w:pPr>
              <w:spacing w:before="120" w:line="240" w:lineRule="auto"/>
              <w:jc w:val="center"/>
              <w:rPr>
                <w:rFonts w:cs="Arial"/>
                <w:sz w:val="20"/>
                <w:szCs w:val="20"/>
              </w:rPr>
            </w:pPr>
            <w:r w:rsidRPr="00061064">
              <w:rPr>
                <w:rFonts w:cs="Arial"/>
                <w:sz w:val="20"/>
                <w:szCs w:val="20"/>
              </w:rPr>
              <w:t>&lt; 5</w:t>
            </w:r>
          </w:p>
        </w:tc>
        <w:tc>
          <w:tcPr>
            <w:tcW w:w="1250" w:type="pct"/>
          </w:tcPr>
          <w:p w:rsidR="006E6CB9" w:rsidRPr="00061064" w:rsidRDefault="006E6CB9" w:rsidP="006E6CB9">
            <w:pPr>
              <w:spacing w:before="120" w:line="240" w:lineRule="auto"/>
              <w:jc w:val="center"/>
              <w:rPr>
                <w:rFonts w:cs="Arial"/>
                <w:sz w:val="20"/>
                <w:szCs w:val="20"/>
              </w:rPr>
            </w:pPr>
            <w:r w:rsidRPr="00061064">
              <w:rPr>
                <w:rFonts w:cs="Arial"/>
                <w:sz w:val="20"/>
                <w:szCs w:val="20"/>
              </w:rPr>
              <w:t>&lt; 1</w:t>
            </w:r>
          </w:p>
        </w:tc>
        <w:tc>
          <w:tcPr>
            <w:tcW w:w="2500" w:type="pct"/>
            <w:gridSpan w:val="2"/>
          </w:tcPr>
          <w:p w:rsidR="006E6CB9" w:rsidRPr="00061064" w:rsidRDefault="006E6CB9" w:rsidP="006E6CB9">
            <w:pPr>
              <w:spacing w:before="120" w:line="240" w:lineRule="auto"/>
              <w:jc w:val="center"/>
              <w:rPr>
                <w:rFonts w:cs="Arial"/>
                <w:b/>
                <w:sz w:val="20"/>
                <w:szCs w:val="20"/>
              </w:rPr>
            </w:pPr>
            <w:r w:rsidRPr="00061064">
              <w:rPr>
                <w:rFonts w:cs="Arial"/>
                <w:b/>
                <w:sz w:val="20"/>
                <w:szCs w:val="20"/>
              </w:rPr>
              <w:t>Não recomendado</w:t>
            </w:r>
          </w:p>
        </w:tc>
      </w:tr>
      <w:tr w:rsidR="006E6CB9" w:rsidRPr="00061064" w:rsidTr="006E6CB9">
        <w:trPr>
          <w:jc w:val="center"/>
        </w:trPr>
        <w:tc>
          <w:tcPr>
            <w:tcW w:w="1250" w:type="pct"/>
          </w:tcPr>
          <w:p w:rsidR="006E6CB9" w:rsidRPr="00061064" w:rsidRDefault="006E6CB9" w:rsidP="006E6CB9">
            <w:pPr>
              <w:spacing w:before="120" w:line="240" w:lineRule="auto"/>
              <w:jc w:val="center"/>
              <w:rPr>
                <w:rFonts w:cs="Arial"/>
                <w:sz w:val="20"/>
                <w:szCs w:val="20"/>
              </w:rPr>
            </w:pPr>
            <w:r w:rsidRPr="00061064">
              <w:rPr>
                <w:rFonts w:cs="Arial"/>
                <w:sz w:val="20"/>
                <w:szCs w:val="20"/>
              </w:rPr>
              <w:t>5 a 15</w:t>
            </w:r>
          </w:p>
        </w:tc>
        <w:tc>
          <w:tcPr>
            <w:tcW w:w="1250" w:type="pct"/>
          </w:tcPr>
          <w:p w:rsidR="006E6CB9" w:rsidRPr="00061064" w:rsidRDefault="006E6CB9" w:rsidP="006E6CB9">
            <w:pPr>
              <w:spacing w:before="120" w:line="240" w:lineRule="auto"/>
              <w:jc w:val="center"/>
              <w:rPr>
                <w:rFonts w:cs="Arial"/>
                <w:sz w:val="20"/>
                <w:szCs w:val="20"/>
              </w:rPr>
            </w:pPr>
            <w:r w:rsidRPr="00061064">
              <w:rPr>
                <w:rFonts w:cs="Arial"/>
                <w:sz w:val="20"/>
                <w:szCs w:val="20"/>
              </w:rPr>
              <w:t>1 – 5</w:t>
            </w:r>
          </w:p>
        </w:tc>
        <w:tc>
          <w:tcPr>
            <w:tcW w:w="1250" w:type="pct"/>
          </w:tcPr>
          <w:p w:rsidR="006E6CB9" w:rsidRPr="00061064" w:rsidRDefault="006E6CB9" w:rsidP="006E6CB9">
            <w:pPr>
              <w:spacing w:before="120" w:line="240" w:lineRule="auto"/>
              <w:jc w:val="center"/>
              <w:rPr>
                <w:rFonts w:cs="Arial"/>
                <w:sz w:val="20"/>
                <w:szCs w:val="20"/>
              </w:rPr>
            </w:pPr>
            <w:r w:rsidRPr="00061064">
              <w:rPr>
                <w:rFonts w:cs="Arial"/>
                <w:sz w:val="20"/>
                <w:szCs w:val="20"/>
              </w:rPr>
              <w:t>1</w:t>
            </w:r>
          </w:p>
        </w:tc>
        <w:tc>
          <w:tcPr>
            <w:tcW w:w="1250" w:type="pct"/>
          </w:tcPr>
          <w:p w:rsidR="006E6CB9" w:rsidRPr="00061064" w:rsidRDefault="006E6CB9" w:rsidP="006E6CB9">
            <w:pPr>
              <w:spacing w:before="120" w:line="240" w:lineRule="auto"/>
              <w:jc w:val="center"/>
              <w:rPr>
                <w:rFonts w:cs="Arial"/>
                <w:sz w:val="20"/>
                <w:szCs w:val="20"/>
              </w:rPr>
            </w:pPr>
            <w:r w:rsidRPr="00061064">
              <w:rPr>
                <w:rFonts w:cs="Arial"/>
                <w:sz w:val="20"/>
                <w:szCs w:val="20"/>
              </w:rPr>
              <w:t>6</w:t>
            </w:r>
          </w:p>
        </w:tc>
      </w:tr>
      <w:tr w:rsidR="006E6CB9" w:rsidRPr="00061064" w:rsidTr="006E6CB9">
        <w:trPr>
          <w:jc w:val="center"/>
        </w:trPr>
        <w:tc>
          <w:tcPr>
            <w:tcW w:w="1250" w:type="pct"/>
          </w:tcPr>
          <w:p w:rsidR="006E6CB9" w:rsidRPr="00061064" w:rsidRDefault="006E6CB9" w:rsidP="006E6CB9">
            <w:pPr>
              <w:spacing w:before="120" w:line="240" w:lineRule="auto"/>
              <w:jc w:val="center"/>
              <w:rPr>
                <w:rFonts w:cs="Arial"/>
                <w:sz w:val="20"/>
                <w:szCs w:val="20"/>
              </w:rPr>
            </w:pPr>
            <w:r w:rsidRPr="00061064">
              <w:rPr>
                <w:rFonts w:cs="Arial"/>
                <w:sz w:val="20"/>
                <w:szCs w:val="20"/>
              </w:rPr>
              <w:t>16 a 25</w:t>
            </w:r>
          </w:p>
        </w:tc>
        <w:tc>
          <w:tcPr>
            <w:tcW w:w="1250" w:type="pct"/>
          </w:tcPr>
          <w:p w:rsidR="006E6CB9" w:rsidRPr="00061064" w:rsidRDefault="006E6CB9" w:rsidP="006E6CB9">
            <w:pPr>
              <w:spacing w:before="120" w:line="240" w:lineRule="auto"/>
              <w:jc w:val="center"/>
              <w:rPr>
                <w:rFonts w:cs="Arial"/>
                <w:sz w:val="20"/>
                <w:szCs w:val="20"/>
              </w:rPr>
            </w:pPr>
            <w:r w:rsidRPr="00061064">
              <w:rPr>
                <w:rFonts w:cs="Arial"/>
                <w:sz w:val="20"/>
                <w:szCs w:val="20"/>
              </w:rPr>
              <w:t>6 – 8</w:t>
            </w:r>
          </w:p>
        </w:tc>
        <w:tc>
          <w:tcPr>
            <w:tcW w:w="1250" w:type="pct"/>
          </w:tcPr>
          <w:p w:rsidR="006E6CB9" w:rsidRPr="00061064" w:rsidRDefault="006E6CB9" w:rsidP="006E6CB9">
            <w:pPr>
              <w:spacing w:before="120" w:line="240" w:lineRule="auto"/>
              <w:jc w:val="center"/>
              <w:rPr>
                <w:rFonts w:cs="Arial"/>
                <w:sz w:val="20"/>
                <w:szCs w:val="20"/>
              </w:rPr>
            </w:pPr>
            <w:r w:rsidRPr="00061064">
              <w:rPr>
                <w:rFonts w:cs="Arial"/>
                <w:sz w:val="20"/>
                <w:szCs w:val="20"/>
              </w:rPr>
              <w:t>2</w:t>
            </w:r>
          </w:p>
        </w:tc>
        <w:tc>
          <w:tcPr>
            <w:tcW w:w="1250" w:type="pct"/>
          </w:tcPr>
          <w:p w:rsidR="006E6CB9" w:rsidRPr="00061064" w:rsidRDefault="006E6CB9" w:rsidP="006E6CB9">
            <w:pPr>
              <w:spacing w:before="120" w:line="240" w:lineRule="auto"/>
              <w:jc w:val="center"/>
              <w:rPr>
                <w:rFonts w:cs="Arial"/>
                <w:sz w:val="20"/>
                <w:szCs w:val="20"/>
              </w:rPr>
            </w:pPr>
            <w:r w:rsidRPr="00061064">
              <w:rPr>
                <w:rFonts w:cs="Arial"/>
                <w:sz w:val="20"/>
                <w:szCs w:val="20"/>
              </w:rPr>
              <w:t>12</w:t>
            </w:r>
          </w:p>
        </w:tc>
      </w:tr>
      <w:tr w:rsidR="006E6CB9" w:rsidRPr="00061064" w:rsidTr="006E6CB9">
        <w:trPr>
          <w:jc w:val="center"/>
        </w:trPr>
        <w:tc>
          <w:tcPr>
            <w:tcW w:w="1250" w:type="pct"/>
          </w:tcPr>
          <w:p w:rsidR="006E6CB9" w:rsidRPr="00061064" w:rsidRDefault="006E6CB9" w:rsidP="006E6CB9">
            <w:pPr>
              <w:spacing w:before="120" w:line="240" w:lineRule="auto"/>
              <w:jc w:val="center"/>
              <w:rPr>
                <w:rFonts w:cs="Arial"/>
                <w:sz w:val="20"/>
                <w:szCs w:val="20"/>
              </w:rPr>
            </w:pPr>
            <w:r w:rsidRPr="00061064">
              <w:rPr>
                <w:rFonts w:cs="Arial"/>
                <w:sz w:val="20"/>
                <w:szCs w:val="20"/>
              </w:rPr>
              <w:t>26 a 35</w:t>
            </w:r>
          </w:p>
        </w:tc>
        <w:tc>
          <w:tcPr>
            <w:tcW w:w="1250" w:type="pct"/>
          </w:tcPr>
          <w:p w:rsidR="006E6CB9" w:rsidRPr="00061064" w:rsidRDefault="006E6CB9" w:rsidP="006E6CB9">
            <w:pPr>
              <w:spacing w:before="120" w:line="240" w:lineRule="auto"/>
              <w:jc w:val="center"/>
              <w:rPr>
                <w:rFonts w:cs="Arial"/>
                <w:sz w:val="20"/>
                <w:szCs w:val="20"/>
              </w:rPr>
            </w:pPr>
            <w:r w:rsidRPr="00061064">
              <w:rPr>
                <w:rFonts w:cs="Arial"/>
                <w:sz w:val="20"/>
                <w:szCs w:val="20"/>
              </w:rPr>
              <w:t>9 – 12</w:t>
            </w:r>
          </w:p>
        </w:tc>
        <w:tc>
          <w:tcPr>
            <w:tcW w:w="1250" w:type="pct"/>
          </w:tcPr>
          <w:p w:rsidR="006E6CB9" w:rsidRPr="00061064" w:rsidRDefault="006E6CB9" w:rsidP="006E6CB9">
            <w:pPr>
              <w:spacing w:before="120" w:line="240" w:lineRule="auto"/>
              <w:jc w:val="center"/>
              <w:rPr>
                <w:rFonts w:cs="Arial"/>
                <w:sz w:val="20"/>
                <w:szCs w:val="20"/>
              </w:rPr>
            </w:pPr>
            <w:r w:rsidRPr="00061064">
              <w:rPr>
                <w:rFonts w:cs="Arial"/>
                <w:sz w:val="20"/>
                <w:szCs w:val="20"/>
              </w:rPr>
              <w:t>3</w:t>
            </w:r>
          </w:p>
        </w:tc>
        <w:tc>
          <w:tcPr>
            <w:tcW w:w="1250" w:type="pct"/>
          </w:tcPr>
          <w:p w:rsidR="006E6CB9" w:rsidRPr="00061064" w:rsidRDefault="006E6CB9" w:rsidP="006E6CB9">
            <w:pPr>
              <w:spacing w:before="120" w:line="240" w:lineRule="auto"/>
              <w:jc w:val="center"/>
              <w:rPr>
                <w:rFonts w:cs="Arial"/>
                <w:sz w:val="20"/>
                <w:szCs w:val="20"/>
              </w:rPr>
            </w:pPr>
            <w:r w:rsidRPr="00061064">
              <w:rPr>
                <w:rFonts w:cs="Arial"/>
                <w:sz w:val="20"/>
                <w:szCs w:val="20"/>
              </w:rPr>
              <w:t>18</w:t>
            </w:r>
          </w:p>
        </w:tc>
      </w:tr>
      <w:tr w:rsidR="006E6CB9" w:rsidRPr="00061064" w:rsidTr="006E6CB9">
        <w:trPr>
          <w:jc w:val="center"/>
        </w:trPr>
        <w:tc>
          <w:tcPr>
            <w:tcW w:w="1250" w:type="pct"/>
          </w:tcPr>
          <w:p w:rsidR="006E6CB9" w:rsidRPr="00061064" w:rsidRDefault="006E6CB9" w:rsidP="006E6CB9">
            <w:pPr>
              <w:spacing w:before="120" w:line="240" w:lineRule="auto"/>
              <w:jc w:val="center"/>
              <w:rPr>
                <w:rFonts w:cs="Arial"/>
                <w:sz w:val="20"/>
                <w:szCs w:val="20"/>
              </w:rPr>
            </w:pPr>
            <w:r w:rsidRPr="00061064">
              <w:rPr>
                <w:rFonts w:cs="Arial"/>
                <w:sz w:val="20"/>
                <w:szCs w:val="20"/>
              </w:rPr>
              <w:t>&gt; 35</w:t>
            </w:r>
          </w:p>
        </w:tc>
        <w:tc>
          <w:tcPr>
            <w:tcW w:w="1250" w:type="pct"/>
          </w:tcPr>
          <w:p w:rsidR="006E6CB9" w:rsidRPr="00061064" w:rsidRDefault="006E6CB9" w:rsidP="006E6CB9">
            <w:pPr>
              <w:spacing w:before="120" w:line="240" w:lineRule="auto"/>
              <w:jc w:val="center"/>
              <w:rPr>
                <w:rFonts w:cs="Arial"/>
                <w:sz w:val="20"/>
                <w:szCs w:val="20"/>
              </w:rPr>
            </w:pPr>
            <w:r w:rsidRPr="00061064">
              <w:rPr>
                <w:rFonts w:cs="Arial"/>
                <w:sz w:val="20"/>
                <w:szCs w:val="20"/>
              </w:rPr>
              <w:t>&gt; 12</w:t>
            </w:r>
          </w:p>
        </w:tc>
        <w:tc>
          <w:tcPr>
            <w:tcW w:w="1250" w:type="pct"/>
          </w:tcPr>
          <w:p w:rsidR="006E6CB9" w:rsidRPr="00061064" w:rsidRDefault="006E6CB9" w:rsidP="006E6CB9">
            <w:pPr>
              <w:spacing w:before="120" w:line="240" w:lineRule="auto"/>
              <w:jc w:val="center"/>
              <w:rPr>
                <w:rFonts w:cs="Arial"/>
                <w:sz w:val="20"/>
                <w:szCs w:val="20"/>
              </w:rPr>
            </w:pPr>
            <w:r w:rsidRPr="00061064">
              <w:rPr>
                <w:rFonts w:cs="Arial"/>
                <w:sz w:val="20"/>
                <w:szCs w:val="20"/>
              </w:rPr>
              <w:t>4</w:t>
            </w:r>
          </w:p>
        </w:tc>
        <w:tc>
          <w:tcPr>
            <w:tcW w:w="1250" w:type="pct"/>
          </w:tcPr>
          <w:p w:rsidR="006E6CB9" w:rsidRPr="00061064" w:rsidRDefault="006E6CB9" w:rsidP="006E6CB9">
            <w:pPr>
              <w:spacing w:before="120" w:line="240" w:lineRule="auto"/>
              <w:jc w:val="center"/>
              <w:rPr>
                <w:rFonts w:cs="Arial"/>
                <w:sz w:val="20"/>
                <w:szCs w:val="20"/>
              </w:rPr>
            </w:pPr>
            <w:r w:rsidRPr="00061064">
              <w:rPr>
                <w:rFonts w:cs="Arial"/>
                <w:sz w:val="20"/>
                <w:szCs w:val="20"/>
              </w:rPr>
              <w:t>24</w:t>
            </w:r>
          </w:p>
        </w:tc>
      </w:tr>
    </w:tbl>
    <w:p w:rsidR="006E6CB9" w:rsidRPr="006E6CB9" w:rsidRDefault="006E6CB9" w:rsidP="006E6CB9">
      <w:pPr>
        <w:spacing w:before="120"/>
        <w:jc w:val="both"/>
        <w:rPr>
          <w:rFonts w:cs="Arial"/>
          <w:lang w:val="pt-BR"/>
        </w:rPr>
      </w:pPr>
      <w:r w:rsidRPr="006E6CB9">
        <w:rPr>
          <w:rFonts w:cs="Arial"/>
          <w:lang w:val="pt-BR"/>
        </w:rPr>
        <w:t>Fonte: Formulário Nacional de Medicamentos, 5ª Edição</w:t>
      </w:r>
    </w:p>
    <w:p w:rsidR="006E6CB9" w:rsidRPr="006E6CB9" w:rsidRDefault="006E6CB9" w:rsidP="00C52E09">
      <w:pPr>
        <w:numPr>
          <w:ilvl w:val="0"/>
          <w:numId w:val="209"/>
        </w:numPr>
        <w:spacing w:before="120" w:after="0" w:line="240" w:lineRule="auto"/>
        <w:jc w:val="both"/>
        <w:rPr>
          <w:rFonts w:cs="Arial"/>
          <w:lang w:val="pt-BR"/>
        </w:rPr>
      </w:pPr>
      <w:r w:rsidRPr="006E6CB9">
        <w:rPr>
          <w:rFonts w:cs="Arial"/>
          <w:lang w:val="pt-BR"/>
        </w:rPr>
        <w:t xml:space="preserve">A 2ª linha de tratamento – </w:t>
      </w:r>
      <w:r w:rsidRPr="006E6CB9">
        <w:rPr>
          <w:rFonts w:cs="Arial"/>
          <w:b/>
          <w:lang w:val="pt-BR"/>
        </w:rPr>
        <w:t>artesunato e amodiaquina</w:t>
      </w:r>
      <w:r w:rsidRPr="006E6CB9">
        <w:rPr>
          <w:rFonts w:cs="Arial"/>
          <w:lang w:val="pt-BR"/>
        </w:rPr>
        <w:t xml:space="preserve"> (AS+AQ ou ASAC). Está disponível sob a forma de comprimidos com 200 mg de amodiaquina (153 mg de amodiaquina base) e 50 ou 100 mg de artesunato. Também existem em combinações fixas contendo: 25/67.5 mg (crianças), 50/135 mg (adolescentes) e 100/270 mg (adultos), de artesunato e amodiaquina-base em cada comprimido, respectivamente.</w:t>
      </w:r>
    </w:p>
    <w:p w:rsidR="006E6CB9" w:rsidRDefault="006E6CB9" w:rsidP="00C52E09">
      <w:pPr>
        <w:numPr>
          <w:ilvl w:val="0"/>
          <w:numId w:val="209"/>
        </w:numPr>
        <w:spacing w:before="120" w:after="0" w:line="240" w:lineRule="auto"/>
        <w:jc w:val="both"/>
        <w:rPr>
          <w:rFonts w:cs="Arial"/>
        </w:rPr>
      </w:pPr>
      <w:r w:rsidRPr="006E6CB9">
        <w:rPr>
          <w:rFonts w:cs="Arial"/>
          <w:lang w:val="pt-BR"/>
        </w:rPr>
        <w:t xml:space="preserve">Dose e dosagem: a dose de amodiaquina é de 10 mg/kg de peso de amodiaquina-base no 1º e 2º dia, e 5 mg/kg de peso no 3º dia. A dose do artesunato é de 4 mg/kg de peso por dia durante os 3 dias. </w:t>
      </w:r>
      <w:r w:rsidRPr="00084EA9">
        <w:rPr>
          <w:rFonts w:cs="Arial"/>
        </w:rPr>
        <w:t xml:space="preserve">A duração total do tratamento é de 3 </w:t>
      </w:r>
      <w:proofErr w:type="gramStart"/>
      <w:r w:rsidRPr="00084EA9">
        <w:rPr>
          <w:rFonts w:cs="Arial"/>
        </w:rPr>
        <w:t>dias</w:t>
      </w:r>
      <w:proofErr w:type="gramEnd"/>
      <w:r w:rsidRPr="00084EA9">
        <w:rPr>
          <w:rFonts w:cs="Arial"/>
        </w:rPr>
        <w:t>.</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46"/>
        <w:gridCol w:w="1823"/>
        <w:gridCol w:w="2391"/>
        <w:gridCol w:w="1434"/>
        <w:gridCol w:w="1468"/>
        <w:gridCol w:w="1632"/>
      </w:tblGrid>
      <w:tr w:rsidR="006E6CB9" w:rsidRPr="00084EA9" w:rsidTr="006E6CB9">
        <w:trPr>
          <w:jc w:val="center"/>
        </w:trPr>
        <w:tc>
          <w:tcPr>
            <w:tcW w:w="792" w:type="pct"/>
            <w:vMerge w:val="restart"/>
          </w:tcPr>
          <w:p w:rsidR="006E6CB9" w:rsidRPr="00084EA9" w:rsidRDefault="006E6CB9" w:rsidP="0096537C">
            <w:pPr>
              <w:spacing w:after="0"/>
              <w:jc w:val="center"/>
              <w:rPr>
                <w:rFonts w:cs="Arial"/>
              </w:rPr>
            </w:pPr>
            <w:r w:rsidRPr="00084EA9">
              <w:rPr>
                <w:rFonts w:cs="Arial"/>
              </w:rPr>
              <w:t>Peso (kg)</w:t>
            </w:r>
          </w:p>
        </w:tc>
        <w:tc>
          <w:tcPr>
            <w:tcW w:w="877" w:type="pct"/>
            <w:vMerge w:val="restart"/>
          </w:tcPr>
          <w:p w:rsidR="006E6CB9" w:rsidRPr="00084EA9" w:rsidRDefault="006E6CB9" w:rsidP="0096537C">
            <w:pPr>
              <w:spacing w:after="0"/>
              <w:jc w:val="center"/>
              <w:rPr>
                <w:rFonts w:cs="Arial"/>
              </w:rPr>
            </w:pPr>
            <w:r w:rsidRPr="00084EA9">
              <w:rPr>
                <w:rFonts w:cs="Arial"/>
              </w:rPr>
              <w:t>Idade</w:t>
            </w:r>
          </w:p>
        </w:tc>
        <w:tc>
          <w:tcPr>
            <w:tcW w:w="1150" w:type="pct"/>
            <w:vMerge w:val="restart"/>
          </w:tcPr>
          <w:p w:rsidR="006E6CB9" w:rsidRPr="00084EA9" w:rsidRDefault="006E6CB9" w:rsidP="0096537C">
            <w:pPr>
              <w:spacing w:after="0"/>
              <w:jc w:val="center"/>
              <w:rPr>
                <w:rFonts w:cs="Arial"/>
              </w:rPr>
            </w:pPr>
            <w:r w:rsidRPr="00084EA9">
              <w:rPr>
                <w:rFonts w:cs="Arial"/>
              </w:rPr>
              <w:t>Medicamento (AS+AQ)</w:t>
            </w:r>
          </w:p>
        </w:tc>
        <w:tc>
          <w:tcPr>
            <w:tcW w:w="2181" w:type="pct"/>
            <w:gridSpan w:val="3"/>
          </w:tcPr>
          <w:p w:rsidR="006E6CB9" w:rsidRPr="00084EA9" w:rsidRDefault="006E6CB9" w:rsidP="0096537C">
            <w:pPr>
              <w:spacing w:after="0"/>
              <w:jc w:val="center"/>
              <w:rPr>
                <w:rFonts w:cs="Arial"/>
              </w:rPr>
            </w:pPr>
            <w:r w:rsidRPr="00084EA9">
              <w:rPr>
                <w:rFonts w:cs="Arial"/>
              </w:rPr>
              <w:t>Comprimidos/dia</w:t>
            </w:r>
          </w:p>
        </w:tc>
      </w:tr>
      <w:tr w:rsidR="006E6CB9" w:rsidRPr="00084EA9" w:rsidTr="006E6CB9">
        <w:trPr>
          <w:jc w:val="center"/>
        </w:trPr>
        <w:tc>
          <w:tcPr>
            <w:tcW w:w="792" w:type="pct"/>
            <w:vMerge/>
          </w:tcPr>
          <w:p w:rsidR="006E6CB9" w:rsidRPr="00084EA9" w:rsidRDefault="006E6CB9" w:rsidP="0096537C">
            <w:pPr>
              <w:spacing w:after="0"/>
              <w:jc w:val="center"/>
              <w:rPr>
                <w:rFonts w:cs="Arial"/>
              </w:rPr>
            </w:pPr>
          </w:p>
        </w:tc>
        <w:tc>
          <w:tcPr>
            <w:tcW w:w="877" w:type="pct"/>
            <w:vMerge/>
          </w:tcPr>
          <w:p w:rsidR="006E6CB9" w:rsidRPr="00084EA9" w:rsidRDefault="006E6CB9" w:rsidP="0096537C">
            <w:pPr>
              <w:spacing w:after="0"/>
              <w:jc w:val="center"/>
              <w:rPr>
                <w:rFonts w:cs="Arial"/>
              </w:rPr>
            </w:pPr>
          </w:p>
        </w:tc>
        <w:tc>
          <w:tcPr>
            <w:tcW w:w="1150" w:type="pct"/>
            <w:vMerge/>
          </w:tcPr>
          <w:p w:rsidR="006E6CB9" w:rsidRPr="00084EA9" w:rsidRDefault="006E6CB9" w:rsidP="0096537C">
            <w:pPr>
              <w:spacing w:after="0"/>
              <w:jc w:val="center"/>
              <w:rPr>
                <w:rFonts w:cs="Arial"/>
              </w:rPr>
            </w:pPr>
          </w:p>
        </w:tc>
        <w:tc>
          <w:tcPr>
            <w:tcW w:w="690" w:type="pct"/>
          </w:tcPr>
          <w:p w:rsidR="006E6CB9" w:rsidRPr="00084EA9" w:rsidRDefault="006E6CB9" w:rsidP="0096537C">
            <w:pPr>
              <w:spacing w:after="0"/>
              <w:jc w:val="center"/>
              <w:rPr>
                <w:rFonts w:cs="Arial"/>
              </w:rPr>
            </w:pPr>
            <w:r w:rsidRPr="00084EA9">
              <w:rPr>
                <w:rFonts w:cs="Arial"/>
              </w:rPr>
              <w:t>Dia 1</w:t>
            </w:r>
          </w:p>
        </w:tc>
        <w:tc>
          <w:tcPr>
            <w:tcW w:w="706" w:type="pct"/>
          </w:tcPr>
          <w:p w:rsidR="006E6CB9" w:rsidRPr="00084EA9" w:rsidRDefault="006E6CB9" w:rsidP="0096537C">
            <w:pPr>
              <w:spacing w:after="0"/>
              <w:jc w:val="center"/>
              <w:rPr>
                <w:rFonts w:cs="Arial"/>
              </w:rPr>
            </w:pPr>
            <w:r w:rsidRPr="00084EA9">
              <w:rPr>
                <w:rFonts w:cs="Arial"/>
              </w:rPr>
              <w:t>Dia 2</w:t>
            </w:r>
          </w:p>
        </w:tc>
        <w:tc>
          <w:tcPr>
            <w:tcW w:w="785" w:type="pct"/>
          </w:tcPr>
          <w:p w:rsidR="006E6CB9" w:rsidRPr="00084EA9" w:rsidRDefault="006E6CB9" w:rsidP="0096537C">
            <w:pPr>
              <w:spacing w:after="0"/>
              <w:jc w:val="center"/>
              <w:rPr>
                <w:rFonts w:cs="Arial"/>
              </w:rPr>
            </w:pPr>
            <w:r w:rsidRPr="00084EA9">
              <w:rPr>
                <w:rFonts w:cs="Arial"/>
              </w:rPr>
              <w:t>Dia 3</w:t>
            </w:r>
          </w:p>
        </w:tc>
      </w:tr>
      <w:tr w:rsidR="006E6CB9" w:rsidRPr="00084EA9" w:rsidTr="006E6CB9">
        <w:trPr>
          <w:jc w:val="center"/>
        </w:trPr>
        <w:tc>
          <w:tcPr>
            <w:tcW w:w="792" w:type="pct"/>
          </w:tcPr>
          <w:p w:rsidR="006E6CB9" w:rsidRPr="00084EA9" w:rsidRDefault="006E6CB9" w:rsidP="0096537C">
            <w:pPr>
              <w:spacing w:after="0"/>
              <w:jc w:val="center"/>
              <w:rPr>
                <w:rFonts w:cs="Arial"/>
              </w:rPr>
            </w:pPr>
            <w:r w:rsidRPr="00084EA9">
              <w:rPr>
                <w:rFonts w:cs="Arial"/>
              </w:rPr>
              <w:t xml:space="preserve">&lt; 5 </w:t>
            </w:r>
          </w:p>
        </w:tc>
        <w:tc>
          <w:tcPr>
            <w:tcW w:w="4208" w:type="pct"/>
            <w:gridSpan w:val="5"/>
          </w:tcPr>
          <w:p w:rsidR="006E6CB9" w:rsidRPr="00084EA9" w:rsidRDefault="006E6CB9" w:rsidP="0096537C">
            <w:pPr>
              <w:spacing w:after="0"/>
              <w:jc w:val="center"/>
              <w:rPr>
                <w:rFonts w:cs="Arial"/>
              </w:rPr>
            </w:pPr>
            <w:r w:rsidRPr="00084EA9">
              <w:rPr>
                <w:rFonts w:cs="Arial"/>
              </w:rPr>
              <w:t>Não recomendado</w:t>
            </w:r>
          </w:p>
        </w:tc>
      </w:tr>
      <w:tr w:rsidR="006E6CB9" w:rsidRPr="00084EA9" w:rsidTr="006E6CB9">
        <w:trPr>
          <w:jc w:val="center"/>
        </w:trPr>
        <w:tc>
          <w:tcPr>
            <w:tcW w:w="792" w:type="pct"/>
          </w:tcPr>
          <w:p w:rsidR="006E6CB9" w:rsidRPr="00084EA9" w:rsidRDefault="006E6CB9" w:rsidP="0096537C">
            <w:pPr>
              <w:spacing w:after="0"/>
              <w:jc w:val="both"/>
              <w:rPr>
                <w:rFonts w:cs="Arial"/>
              </w:rPr>
            </w:pPr>
            <w:r w:rsidRPr="00084EA9">
              <w:rPr>
                <w:rFonts w:cs="Arial"/>
              </w:rPr>
              <w:t>.5  e &lt; 9</w:t>
            </w:r>
          </w:p>
        </w:tc>
        <w:tc>
          <w:tcPr>
            <w:tcW w:w="877" w:type="pct"/>
          </w:tcPr>
          <w:p w:rsidR="006E6CB9" w:rsidRPr="00084EA9" w:rsidRDefault="006E6CB9" w:rsidP="0096537C">
            <w:pPr>
              <w:spacing w:after="0"/>
              <w:jc w:val="center"/>
              <w:rPr>
                <w:rFonts w:cs="Arial"/>
              </w:rPr>
            </w:pPr>
            <w:r w:rsidRPr="00084EA9">
              <w:rPr>
                <w:rFonts w:cs="Arial"/>
              </w:rPr>
              <w:t>2 a 11 meses</w:t>
            </w:r>
          </w:p>
        </w:tc>
        <w:tc>
          <w:tcPr>
            <w:tcW w:w="1150" w:type="pct"/>
          </w:tcPr>
          <w:p w:rsidR="006E6CB9" w:rsidRPr="00084EA9" w:rsidRDefault="006E6CB9" w:rsidP="0096537C">
            <w:pPr>
              <w:spacing w:after="0"/>
              <w:jc w:val="center"/>
              <w:rPr>
                <w:rFonts w:cs="Arial"/>
              </w:rPr>
            </w:pPr>
            <w:r w:rsidRPr="00084EA9">
              <w:rPr>
                <w:rFonts w:cs="Arial"/>
              </w:rPr>
              <w:t>25mg/67.5mg</w:t>
            </w:r>
          </w:p>
        </w:tc>
        <w:tc>
          <w:tcPr>
            <w:tcW w:w="690" w:type="pct"/>
          </w:tcPr>
          <w:p w:rsidR="006E6CB9" w:rsidRPr="00084EA9" w:rsidRDefault="006E6CB9" w:rsidP="0096537C">
            <w:pPr>
              <w:spacing w:after="0"/>
              <w:jc w:val="center"/>
              <w:rPr>
                <w:rFonts w:cs="Arial"/>
              </w:rPr>
            </w:pPr>
            <w:r w:rsidRPr="00084EA9">
              <w:rPr>
                <w:rFonts w:cs="Arial"/>
              </w:rPr>
              <w:t>1</w:t>
            </w:r>
          </w:p>
        </w:tc>
        <w:tc>
          <w:tcPr>
            <w:tcW w:w="706" w:type="pct"/>
          </w:tcPr>
          <w:p w:rsidR="006E6CB9" w:rsidRPr="00084EA9" w:rsidRDefault="006E6CB9" w:rsidP="0096537C">
            <w:pPr>
              <w:spacing w:after="0"/>
              <w:jc w:val="center"/>
              <w:rPr>
                <w:rFonts w:cs="Arial"/>
              </w:rPr>
            </w:pPr>
            <w:r w:rsidRPr="00084EA9">
              <w:rPr>
                <w:rFonts w:cs="Arial"/>
              </w:rPr>
              <w:t>1</w:t>
            </w:r>
          </w:p>
        </w:tc>
        <w:tc>
          <w:tcPr>
            <w:tcW w:w="785" w:type="pct"/>
          </w:tcPr>
          <w:p w:rsidR="006E6CB9" w:rsidRPr="00084EA9" w:rsidRDefault="006E6CB9" w:rsidP="0096537C">
            <w:pPr>
              <w:spacing w:after="0"/>
              <w:jc w:val="center"/>
              <w:rPr>
                <w:rFonts w:cs="Arial"/>
              </w:rPr>
            </w:pPr>
            <w:r w:rsidRPr="00084EA9">
              <w:rPr>
                <w:rFonts w:cs="Arial"/>
              </w:rPr>
              <w:t>1</w:t>
            </w:r>
          </w:p>
        </w:tc>
      </w:tr>
      <w:tr w:rsidR="006E6CB9" w:rsidRPr="00084EA9" w:rsidTr="006E6CB9">
        <w:trPr>
          <w:jc w:val="center"/>
        </w:trPr>
        <w:tc>
          <w:tcPr>
            <w:tcW w:w="792" w:type="pct"/>
          </w:tcPr>
          <w:p w:rsidR="006E6CB9" w:rsidRPr="00084EA9" w:rsidRDefault="006E6CB9" w:rsidP="0096537C">
            <w:pPr>
              <w:spacing w:after="0"/>
              <w:rPr>
                <w:rFonts w:cs="Arial"/>
              </w:rPr>
            </w:pPr>
            <w:r w:rsidRPr="00084EA9">
              <w:rPr>
                <w:rFonts w:cs="Arial"/>
              </w:rPr>
              <w:t xml:space="preserve"> 9  e &lt; 18</w:t>
            </w:r>
          </w:p>
        </w:tc>
        <w:tc>
          <w:tcPr>
            <w:tcW w:w="877" w:type="pct"/>
          </w:tcPr>
          <w:p w:rsidR="006E6CB9" w:rsidRPr="00084EA9" w:rsidRDefault="006E6CB9" w:rsidP="0096537C">
            <w:pPr>
              <w:spacing w:after="0"/>
              <w:jc w:val="center"/>
              <w:rPr>
                <w:rFonts w:cs="Arial"/>
              </w:rPr>
            </w:pPr>
            <w:r w:rsidRPr="00084EA9">
              <w:rPr>
                <w:rFonts w:cs="Arial"/>
              </w:rPr>
              <w:t>1 a 5 anos</w:t>
            </w:r>
          </w:p>
        </w:tc>
        <w:tc>
          <w:tcPr>
            <w:tcW w:w="1150" w:type="pct"/>
          </w:tcPr>
          <w:p w:rsidR="006E6CB9" w:rsidRPr="00084EA9" w:rsidRDefault="006E6CB9" w:rsidP="0096537C">
            <w:pPr>
              <w:spacing w:after="0"/>
              <w:jc w:val="center"/>
              <w:rPr>
                <w:rFonts w:cs="Arial"/>
              </w:rPr>
            </w:pPr>
            <w:r w:rsidRPr="00084EA9">
              <w:rPr>
                <w:rFonts w:cs="Arial"/>
              </w:rPr>
              <w:t>50mg/135mg</w:t>
            </w:r>
          </w:p>
        </w:tc>
        <w:tc>
          <w:tcPr>
            <w:tcW w:w="690" w:type="pct"/>
          </w:tcPr>
          <w:p w:rsidR="006E6CB9" w:rsidRPr="00084EA9" w:rsidRDefault="006E6CB9" w:rsidP="0096537C">
            <w:pPr>
              <w:spacing w:after="0"/>
              <w:jc w:val="center"/>
              <w:rPr>
                <w:rFonts w:cs="Arial"/>
              </w:rPr>
            </w:pPr>
            <w:r w:rsidRPr="00084EA9">
              <w:rPr>
                <w:rFonts w:cs="Arial"/>
              </w:rPr>
              <w:t>1</w:t>
            </w:r>
          </w:p>
        </w:tc>
        <w:tc>
          <w:tcPr>
            <w:tcW w:w="706" w:type="pct"/>
          </w:tcPr>
          <w:p w:rsidR="006E6CB9" w:rsidRPr="00084EA9" w:rsidRDefault="006E6CB9" w:rsidP="0096537C">
            <w:pPr>
              <w:spacing w:after="0"/>
              <w:jc w:val="center"/>
              <w:rPr>
                <w:rFonts w:cs="Arial"/>
              </w:rPr>
            </w:pPr>
            <w:r w:rsidRPr="00084EA9">
              <w:rPr>
                <w:rFonts w:cs="Arial"/>
              </w:rPr>
              <w:t>1</w:t>
            </w:r>
          </w:p>
        </w:tc>
        <w:tc>
          <w:tcPr>
            <w:tcW w:w="785" w:type="pct"/>
          </w:tcPr>
          <w:p w:rsidR="006E6CB9" w:rsidRPr="00084EA9" w:rsidRDefault="006E6CB9" w:rsidP="0096537C">
            <w:pPr>
              <w:spacing w:after="0"/>
              <w:jc w:val="center"/>
              <w:rPr>
                <w:rFonts w:cs="Arial"/>
              </w:rPr>
            </w:pPr>
            <w:r w:rsidRPr="00084EA9">
              <w:rPr>
                <w:rFonts w:cs="Arial"/>
              </w:rPr>
              <w:t>1</w:t>
            </w:r>
          </w:p>
        </w:tc>
      </w:tr>
      <w:tr w:rsidR="006E6CB9" w:rsidRPr="00084EA9" w:rsidTr="006E6CB9">
        <w:trPr>
          <w:jc w:val="center"/>
        </w:trPr>
        <w:tc>
          <w:tcPr>
            <w:tcW w:w="792" w:type="pct"/>
          </w:tcPr>
          <w:p w:rsidR="006E6CB9" w:rsidRPr="00084EA9" w:rsidRDefault="006E6CB9" w:rsidP="0096537C">
            <w:pPr>
              <w:spacing w:after="0"/>
              <w:rPr>
                <w:rFonts w:cs="Arial"/>
              </w:rPr>
            </w:pPr>
            <w:r w:rsidRPr="00084EA9">
              <w:rPr>
                <w:rFonts w:cs="Arial"/>
              </w:rPr>
              <w:t>18  e &lt; 35</w:t>
            </w:r>
          </w:p>
        </w:tc>
        <w:tc>
          <w:tcPr>
            <w:tcW w:w="877" w:type="pct"/>
          </w:tcPr>
          <w:p w:rsidR="006E6CB9" w:rsidRPr="00084EA9" w:rsidRDefault="006E6CB9" w:rsidP="0096537C">
            <w:pPr>
              <w:spacing w:after="0"/>
              <w:jc w:val="center"/>
              <w:rPr>
                <w:rFonts w:cs="Arial"/>
              </w:rPr>
            </w:pPr>
            <w:r w:rsidRPr="00084EA9">
              <w:rPr>
                <w:rFonts w:cs="Arial"/>
              </w:rPr>
              <w:t>6 a 13 anos</w:t>
            </w:r>
          </w:p>
        </w:tc>
        <w:tc>
          <w:tcPr>
            <w:tcW w:w="1150" w:type="pct"/>
          </w:tcPr>
          <w:p w:rsidR="006E6CB9" w:rsidRPr="00084EA9" w:rsidRDefault="006E6CB9" w:rsidP="0096537C">
            <w:pPr>
              <w:spacing w:after="0"/>
              <w:jc w:val="center"/>
              <w:rPr>
                <w:rFonts w:cs="Arial"/>
              </w:rPr>
            </w:pPr>
            <w:r w:rsidRPr="00084EA9">
              <w:rPr>
                <w:rFonts w:cs="Arial"/>
              </w:rPr>
              <w:t>100mg/270mg</w:t>
            </w:r>
          </w:p>
        </w:tc>
        <w:tc>
          <w:tcPr>
            <w:tcW w:w="690" w:type="pct"/>
          </w:tcPr>
          <w:p w:rsidR="006E6CB9" w:rsidRPr="00084EA9" w:rsidRDefault="006E6CB9" w:rsidP="0096537C">
            <w:pPr>
              <w:spacing w:after="0"/>
              <w:jc w:val="center"/>
              <w:rPr>
                <w:rFonts w:cs="Arial"/>
              </w:rPr>
            </w:pPr>
            <w:r w:rsidRPr="00084EA9">
              <w:rPr>
                <w:rFonts w:cs="Arial"/>
              </w:rPr>
              <w:t>1</w:t>
            </w:r>
          </w:p>
        </w:tc>
        <w:tc>
          <w:tcPr>
            <w:tcW w:w="706" w:type="pct"/>
          </w:tcPr>
          <w:p w:rsidR="006E6CB9" w:rsidRPr="00084EA9" w:rsidRDefault="006E6CB9" w:rsidP="0096537C">
            <w:pPr>
              <w:spacing w:after="0"/>
              <w:jc w:val="center"/>
              <w:rPr>
                <w:rFonts w:cs="Arial"/>
              </w:rPr>
            </w:pPr>
            <w:r w:rsidRPr="00084EA9">
              <w:rPr>
                <w:rFonts w:cs="Arial"/>
              </w:rPr>
              <w:t>1</w:t>
            </w:r>
          </w:p>
        </w:tc>
        <w:tc>
          <w:tcPr>
            <w:tcW w:w="785" w:type="pct"/>
          </w:tcPr>
          <w:p w:rsidR="006E6CB9" w:rsidRPr="00084EA9" w:rsidRDefault="006E6CB9" w:rsidP="0096537C">
            <w:pPr>
              <w:spacing w:after="0"/>
              <w:jc w:val="center"/>
              <w:rPr>
                <w:rFonts w:cs="Arial"/>
              </w:rPr>
            </w:pPr>
            <w:r w:rsidRPr="00084EA9">
              <w:rPr>
                <w:rFonts w:cs="Arial"/>
              </w:rPr>
              <w:t>1</w:t>
            </w:r>
          </w:p>
        </w:tc>
      </w:tr>
      <w:tr w:rsidR="006E6CB9" w:rsidRPr="00084EA9" w:rsidTr="006E6CB9">
        <w:trPr>
          <w:jc w:val="center"/>
        </w:trPr>
        <w:tc>
          <w:tcPr>
            <w:tcW w:w="792" w:type="pct"/>
          </w:tcPr>
          <w:p w:rsidR="006E6CB9" w:rsidRPr="00084EA9" w:rsidRDefault="006E6CB9" w:rsidP="0096537C">
            <w:pPr>
              <w:spacing w:after="0"/>
              <w:jc w:val="center"/>
              <w:rPr>
                <w:rFonts w:cs="Arial"/>
              </w:rPr>
            </w:pPr>
            <w:r w:rsidRPr="00084EA9">
              <w:rPr>
                <w:rFonts w:cs="Arial"/>
              </w:rPr>
              <w:t>≥ 35</w:t>
            </w:r>
          </w:p>
        </w:tc>
        <w:tc>
          <w:tcPr>
            <w:tcW w:w="877" w:type="pct"/>
          </w:tcPr>
          <w:p w:rsidR="006E6CB9" w:rsidRPr="00084EA9" w:rsidRDefault="006E6CB9" w:rsidP="0096537C">
            <w:pPr>
              <w:spacing w:after="0"/>
              <w:jc w:val="center"/>
              <w:rPr>
                <w:rFonts w:cs="Arial"/>
              </w:rPr>
            </w:pPr>
            <w:r w:rsidRPr="00084EA9">
              <w:rPr>
                <w:rFonts w:cs="Arial"/>
              </w:rPr>
              <w:t>≥ 14 anos</w:t>
            </w:r>
          </w:p>
        </w:tc>
        <w:tc>
          <w:tcPr>
            <w:tcW w:w="1150" w:type="pct"/>
          </w:tcPr>
          <w:p w:rsidR="006E6CB9" w:rsidRPr="00084EA9" w:rsidRDefault="006E6CB9" w:rsidP="0096537C">
            <w:pPr>
              <w:spacing w:after="0"/>
              <w:jc w:val="center"/>
              <w:rPr>
                <w:rFonts w:cs="Arial"/>
              </w:rPr>
            </w:pPr>
            <w:r w:rsidRPr="00084EA9">
              <w:rPr>
                <w:rFonts w:cs="Arial"/>
              </w:rPr>
              <w:t>100mg/270mg</w:t>
            </w:r>
          </w:p>
        </w:tc>
        <w:tc>
          <w:tcPr>
            <w:tcW w:w="690" w:type="pct"/>
          </w:tcPr>
          <w:p w:rsidR="006E6CB9" w:rsidRPr="00084EA9" w:rsidRDefault="006E6CB9" w:rsidP="0096537C">
            <w:pPr>
              <w:spacing w:after="0"/>
              <w:jc w:val="center"/>
              <w:rPr>
                <w:rFonts w:cs="Arial"/>
              </w:rPr>
            </w:pPr>
            <w:r w:rsidRPr="00084EA9">
              <w:rPr>
                <w:rFonts w:cs="Arial"/>
              </w:rPr>
              <w:t>2</w:t>
            </w:r>
          </w:p>
        </w:tc>
        <w:tc>
          <w:tcPr>
            <w:tcW w:w="706" w:type="pct"/>
          </w:tcPr>
          <w:p w:rsidR="006E6CB9" w:rsidRPr="00084EA9" w:rsidRDefault="006E6CB9" w:rsidP="0096537C">
            <w:pPr>
              <w:spacing w:after="0"/>
              <w:jc w:val="center"/>
              <w:rPr>
                <w:rFonts w:cs="Arial"/>
              </w:rPr>
            </w:pPr>
            <w:r w:rsidRPr="00084EA9">
              <w:rPr>
                <w:rFonts w:cs="Arial"/>
              </w:rPr>
              <w:t>2</w:t>
            </w:r>
          </w:p>
        </w:tc>
        <w:tc>
          <w:tcPr>
            <w:tcW w:w="785" w:type="pct"/>
          </w:tcPr>
          <w:p w:rsidR="006E6CB9" w:rsidRPr="00084EA9" w:rsidRDefault="006E6CB9" w:rsidP="0096537C">
            <w:pPr>
              <w:spacing w:after="0"/>
              <w:jc w:val="center"/>
              <w:rPr>
                <w:rFonts w:cs="Arial"/>
              </w:rPr>
            </w:pPr>
            <w:r w:rsidRPr="00084EA9">
              <w:rPr>
                <w:rFonts w:cs="Arial"/>
              </w:rPr>
              <w:t>2</w:t>
            </w:r>
          </w:p>
        </w:tc>
      </w:tr>
    </w:tbl>
    <w:p w:rsidR="006E6CB9" w:rsidRPr="006E6CB9" w:rsidRDefault="006E6CB9" w:rsidP="0096537C">
      <w:pPr>
        <w:spacing w:after="0"/>
        <w:jc w:val="both"/>
        <w:rPr>
          <w:rFonts w:cs="Arial"/>
          <w:lang w:val="pt-BR"/>
        </w:rPr>
      </w:pPr>
      <w:r w:rsidRPr="006E6CB9">
        <w:rPr>
          <w:rFonts w:cs="Arial"/>
          <w:lang w:val="pt-BR"/>
        </w:rPr>
        <w:t>Fonte: Normas de Tratamento de Malária em Moçambique, 2011</w:t>
      </w:r>
    </w:p>
    <w:p w:rsidR="006E6CB9" w:rsidRPr="00084EA9" w:rsidRDefault="006E6CB9" w:rsidP="001B4CDC">
      <w:pPr>
        <w:spacing w:before="120"/>
        <w:ind w:left="360"/>
        <w:jc w:val="both"/>
        <w:rPr>
          <w:rFonts w:cs="Arial"/>
          <w:b/>
        </w:rPr>
      </w:pPr>
      <w:r w:rsidRPr="00084EA9">
        <w:rPr>
          <w:rFonts w:cs="Arial"/>
          <w:b/>
        </w:rPr>
        <w:t>2.7.2 Tratamento da Malária Complicada/grave</w:t>
      </w:r>
    </w:p>
    <w:p w:rsidR="006E6CB9" w:rsidRPr="006E6CB9" w:rsidRDefault="006E6CB9" w:rsidP="00C52E09">
      <w:pPr>
        <w:numPr>
          <w:ilvl w:val="0"/>
          <w:numId w:val="210"/>
        </w:numPr>
        <w:spacing w:before="120" w:after="0" w:line="240" w:lineRule="auto"/>
        <w:jc w:val="both"/>
        <w:rPr>
          <w:rFonts w:cs="Arial"/>
          <w:lang w:val="pt-BR"/>
        </w:rPr>
      </w:pPr>
      <w:r w:rsidRPr="006E6CB9">
        <w:rPr>
          <w:rFonts w:cs="Arial"/>
          <w:lang w:val="pt-BR"/>
        </w:rPr>
        <w:t xml:space="preserve">A 3ª linha de tratamento – </w:t>
      </w:r>
      <w:r w:rsidRPr="006E6CB9">
        <w:rPr>
          <w:rFonts w:cs="Arial"/>
          <w:b/>
          <w:lang w:val="pt-BR"/>
        </w:rPr>
        <w:t>quinina</w:t>
      </w:r>
      <w:r w:rsidRPr="006E6CB9">
        <w:rPr>
          <w:rFonts w:cs="Arial"/>
          <w:lang w:val="pt-BR"/>
        </w:rPr>
        <w:t xml:space="preserve"> que está disponível sob a forma de comprimidos de 300mg ou ampolas de 300mg/ml ou 600mg/2ml. A quinina deve, preferencialmente, ser administrada pela via intravenosa. Porém, também pode ser administrada pela via intramuscular.</w:t>
      </w:r>
    </w:p>
    <w:p w:rsidR="006E6CB9" w:rsidRPr="00084EA9" w:rsidRDefault="006E6CB9" w:rsidP="00C52E09">
      <w:pPr>
        <w:numPr>
          <w:ilvl w:val="0"/>
          <w:numId w:val="210"/>
        </w:numPr>
        <w:spacing w:before="120" w:after="0" w:line="240" w:lineRule="auto"/>
        <w:jc w:val="both"/>
        <w:rPr>
          <w:rFonts w:cs="Arial"/>
        </w:rPr>
      </w:pPr>
      <w:r w:rsidRPr="00084EA9">
        <w:rPr>
          <w:rFonts w:cs="Arial"/>
        </w:rPr>
        <w:t xml:space="preserve">Dose e dosagem: </w:t>
      </w:r>
    </w:p>
    <w:p w:rsidR="006E6CB9" w:rsidRPr="006E6CB9" w:rsidRDefault="006E6CB9" w:rsidP="00C52E09">
      <w:pPr>
        <w:numPr>
          <w:ilvl w:val="1"/>
          <w:numId w:val="210"/>
        </w:numPr>
        <w:spacing w:before="120" w:after="0" w:line="240" w:lineRule="auto"/>
        <w:jc w:val="both"/>
        <w:rPr>
          <w:rFonts w:cs="Arial"/>
          <w:lang w:val="pt-BR"/>
        </w:rPr>
      </w:pPr>
      <w:r w:rsidRPr="006E6CB9">
        <w:rPr>
          <w:rFonts w:cs="Arial"/>
          <w:lang w:val="pt-BR"/>
        </w:rPr>
        <w:t>Dose de ataque – 20 mg/kg diluído em 10 ml/kg de dextrose a 5% por via intravenosa, durante 4 horas (não ultrapassar a dose máxima de 1200 mg)</w:t>
      </w:r>
    </w:p>
    <w:p w:rsidR="006E6CB9" w:rsidRPr="006E6CB9" w:rsidRDefault="006E6CB9" w:rsidP="00C52E09">
      <w:pPr>
        <w:numPr>
          <w:ilvl w:val="1"/>
          <w:numId w:val="210"/>
        </w:numPr>
        <w:spacing w:before="120" w:after="0" w:line="240" w:lineRule="auto"/>
        <w:jc w:val="both"/>
        <w:rPr>
          <w:rFonts w:cs="Arial"/>
          <w:lang w:val="pt-BR"/>
        </w:rPr>
      </w:pPr>
      <w:r w:rsidRPr="006E6CB9">
        <w:rPr>
          <w:rFonts w:cs="Arial"/>
          <w:lang w:val="pt-BR"/>
        </w:rPr>
        <w:t xml:space="preserve">Dose de manutenção – 10 mg/kg (máximo de 600 mg) diluído em 10 ml/kg de dextrose a 5% durante 4 horas, a iniciar 8 horas depois da dose de ataque e repetida de 8 em 8 horas até o paciente tomar a medicação por via oral. Se o tratamento continuar por mais </w:t>
      </w:r>
      <w:r w:rsidRPr="006E6CB9">
        <w:rPr>
          <w:rFonts w:cs="Arial"/>
          <w:lang w:val="pt-BR"/>
        </w:rPr>
        <w:lastRenderedPageBreak/>
        <w:t>de 48 horas, deve-se reduzir a dose de quinina para 5 a 7 mg/kg, para evitar toxicidade. Logo que o paciente melhore e possa tomar medicação por via oral, complete o tratamento com medicamento de 1ª ou 2ª linha. Se houver, contra-indicação aos medicamentos de 1ª ou 2ª linha, passe para quinina oral, na dose de 10 mg/kg de 8 em 8 horas, até completar 7 dias de tratamento (21 doses).</w:t>
      </w:r>
    </w:p>
    <w:p w:rsidR="006E6CB9" w:rsidRPr="006E6CB9" w:rsidRDefault="006E6CB9" w:rsidP="00C52E09">
      <w:pPr>
        <w:numPr>
          <w:ilvl w:val="1"/>
          <w:numId w:val="210"/>
        </w:numPr>
        <w:spacing w:before="120" w:after="0" w:line="240" w:lineRule="auto"/>
        <w:jc w:val="both"/>
        <w:rPr>
          <w:rFonts w:cs="Arial"/>
          <w:lang w:val="pt-BR"/>
        </w:rPr>
      </w:pPr>
      <w:r w:rsidRPr="006E6CB9">
        <w:rPr>
          <w:rFonts w:cs="Arial"/>
          <w:lang w:val="pt-BR"/>
        </w:rPr>
        <w:t>Em crianças, o tratamento será abordado na disciplina de pediatria.</w:t>
      </w:r>
    </w:p>
    <w:p w:rsidR="006E6CB9" w:rsidRPr="006E6CB9" w:rsidRDefault="006E6CB9" w:rsidP="001B4CDC">
      <w:pPr>
        <w:spacing w:before="120"/>
        <w:ind w:left="180"/>
        <w:jc w:val="both"/>
        <w:rPr>
          <w:rFonts w:cs="Arial"/>
          <w:b/>
          <w:lang w:val="pt-BR"/>
        </w:rPr>
      </w:pPr>
      <w:r w:rsidRPr="006E6CB9">
        <w:rPr>
          <w:rFonts w:cs="Arial"/>
          <w:b/>
          <w:lang w:val="pt-BR"/>
        </w:rPr>
        <w:t>2.7.3 Tratamento da Malária na Gravidez</w:t>
      </w:r>
    </w:p>
    <w:p w:rsidR="006E6CB9" w:rsidRPr="006E6CB9" w:rsidRDefault="006E6CB9" w:rsidP="006E6CB9">
      <w:pPr>
        <w:spacing w:before="120"/>
        <w:jc w:val="both"/>
        <w:rPr>
          <w:rFonts w:cs="Arial"/>
          <w:lang w:val="pt-BR"/>
        </w:rPr>
      </w:pPr>
      <w:r w:rsidRPr="006E6CB9">
        <w:rPr>
          <w:rFonts w:cs="Arial"/>
          <w:lang w:val="pt-BR"/>
        </w:rPr>
        <w:t>O tratamento da malária na gravidez é uma emergência, sendo necessário abordá-la percebendo que estão em risco a mãe e o feto.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7"/>
        <w:gridCol w:w="2632"/>
        <w:gridCol w:w="1950"/>
        <w:gridCol w:w="3505"/>
      </w:tblGrid>
      <w:tr w:rsidR="006E6CB9" w:rsidRPr="00084EA9" w:rsidTr="00BE2C41">
        <w:trPr>
          <w:trHeight w:val="375"/>
          <w:jc w:val="center"/>
        </w:trPr>
        <w:tc>
          <w:tcPr>
            <w:tcW w:w="1110" w:type="pct"/>
          </w:tcPr>
          <w:p w:rsidR="006E6CB9" w:rsidRPr="00084EA9" w:rsidRDefault="006E6CB9" w:rsidP="008E3E9B">
            <w:pPr>
              <w:spacing w:after="0" w:line="240" w:lineRule="auto"/>
              <w:jc w:val="both"/>
              <w:rPr>
                <w:rFonts w:cs="Arial"/>
              </w:rPr>
            </w:pPr>
            <w:r w:rsidRPr="00084EA9">
              <w:rPr>
                <w:rFonts w:cs="Arial"/>
              </w:rPr>
              <w:t>Tipo de malária</w:t>
            </w:r>
          </w:p>
        </w:tc>
        <w:tc>
          <w:tcPr>
            <w:tcW w:w="1266" w:type="pct"/>
          </w:tcPr>
          <w:p w:rsidR="006E6CB9" w:rsidRPr="00084EA9" w:rsidRDefault="006E6CB9" w:rsidP="008E3E9B">
            <w:pPr>
              <w:spacing w:after="0" w:line="240" w:lineRule="auto"/>
              <w:jc w:val="both"/>
              <w:rPr>
                <w:rFonts w:cs="Arial"/>
              </w:rPr>
            </w:pPr>
            <w:r w:rsidRPr="00084EA9">
              <w:rPr>
                <w:rFonts w:cs="Arial"/>
              </w:rPr>
              <w:t>Idade gestacional</w:t>
            </w:r>
          </w:p>
        </w:tc>
        <w:tc>
          <w:tcPr>
            <w:tcW w:w="938" w:type="pct"/>
          </w:tcPr>
          <w:p w:rsidR="006E6CB9" w:rsidRPr="00084EA9" w:rsidRDefault="006E6CB9" w:rsidP="008E3E9B">
            <w:pPr>
              <w:spacing w:after="0" w:line="240" w:lineRule="auto"/>
              <w:jc w:val="both"/>
              <w:rPr>
                <w:rFonts w:cs="Arial"/>
              </w:rPr>
            </w:pPr>
            <w:r w:rsidRPr="00084EA9">
              <w:rPr>
                <w:rFonts w:cs="Arial"/>
              </w:rPr>
              <w:t>Medicamento</w:t>
            </w:r>
          </w:p>
        </w:tc>
        <w:tc>
          <w:tcPr>
            <w:tcW w:w="1686" w:type="pct"/>
          </w:tcPr>
          <w:p w:rsidR="006E6CB9" w:rsidRPr="00084EA9" w:rsidRDefault="006E6CB9" w:rsidP="008E3E9B">
            <w:pPr>
              <w:spacing w:after="0" w:line="240" w:lineRule="auto"/>
              <w:jc w:val="both"/>
              <w:rPr>
                <w:rFonts w:cs="Arial"/>
              </w:rPr>
            </w:pPr>
            <w:r w:rsidRPr="00084EA9">
              <w:rPr>
                <w:rFonts w:cs="Arial"/>
              </w:rPr>
              <w:t>Posologia</w:t>
            </w:r>
          </w:p>
        </w:tc>
      </w:tr>
      <w:tr w:rsidR="006E6CB9" w:rsidRPr="00FC6E81" w:rsidTr="00BE2C41">
        <w:trPr>
          <w:trHeight w:val="900"/>
          <w:jc w:val="center"/>
        </w:trPr>
        <w:tc>
          <w:tcPr>
            <w:tcW w:w="1110" w:type="pct"/>
            <w:vMerge w:val="restart"/>
          </w:tcPr>
          <w:p w:rsidR="006E6CB9" w:rsidRPr="00084EA9" w:rsidRDefault="006E6CB9" w:rsidP="008E3E9B">
            <w:pPr>
              <w:spacing w:after="0" w:line="240" w:lineRule="auto"/>
              <w:jc w:val="both"/>
              <w:rPr>
                <w:rFonts w:cs="Arial"/>
              </w:rPr>
            </w:pPr>
            <w:r w:rsidRPr="00084EA9">
              <w:rPr>
                <w:rFonts w:cs="Arial"/>
              </w:rPr>
              <w:t>Não complicada</w:t>
            </w:r>
          </w:p>
        </w:tc>
        <w:tc>
          <w:tcPr>
            <w:tcW w:w="1266" w:type="pct"/>
          </w:tcPr>
          <w:p w:rsidR="006E6CB9" w:rsidRPr="00084EA9" w:rsidRDefault="006E6CB9" w:rsidP="008E3E9B">
            <w:pPr>
              <w:spacing w:after="0" w:line="240" w:lineRule="auto"/>
              <w:jc w:val="both"/>
              <w:rPr>
                <w:rFonts w:cs="Arial"/>
              </w:rPr>
            </w:pPr>
            <w:r w:rsidRPr="00084EA9">
              <w:rPr>
                <w:rFonts w:cs="Arial"/>
              </w:rPr>
              <w:t>1º trimestre</w:t>
            </w:r>
          </w:p>
        </w:tc>
        <w:tc>
          <w:tcPr>
            <w:tcW w:w="938" w:type="pct"/>
          </w:tcPr>
          <w:p w:rsidR="006E6CB9" w:rsidRPr="00084EA9" w:rsidRDefault="006E6CB9" w:rsidP="008E3E9B">
            <w:pPr>
              <w:spacing w:after="0" w:line="240" w:lineRule="auto"/>
              <w:jc w:val="both"/>
              <w:rPr>
                <w:rFonts w:cs="Arial"/>
              </w:rPr>
            </w:pPr>
            <w:r w:rsidRPr="00084EA9">
              <w:rPr>
                <w:rFonts w:cs="Arial"/>
              </w:rPr>
              <w:t>Quinino oral</w:t>
            </w:r>
          </w:p>
        </w:tc>
        <w:tc>
          <w:tcPr>
            <w:tcW w:w="1686" w:type="pct"/>
          </w:tcPr>
          <w:p w:rsidR="006E6CB9" w:rsidRPr="006E6CB9" w:rsidRDefault="006E6CB9" w:rsidP="008E3E9B">
            <w:pPr>
              <w:spacing w:after="0" w:line="240" w:lineRule="auto"/>
              <w:jc w:val="both"/>
              <w:rPr>
                <w:rFonts w:cs="Arial"/>
                <w:lang w:val="pt-BR"/>
              </w:rPr>
            </w:pPr>
            <w:r w:rsidRPr="006E6CB9">
              <w:rPr>
                <w:rFonts w:cs="Arial"/>
                <w:lang w:val="pt-BR"/>
              </w:rPr>
              <w:t>10mg/kg (2 comprimidos de 300 mg) de 8 em 8 horas por 7 dias</w:t>
            </w:r>
          </w:p>
        </w:tc>
      </w:tr>
      <w:tr w:rsidR="006E6CB9" w:rsidRPr="00FC6E81" w:rsidTr="00BE2C41">
        <w:trPr>
          <w:trHeight w:val="147"/>
          <w:jc w:val="center"/>
        </w:trPr>
        <w:tc>
          <w:tcPr>
            <w:tcW w:w="1110" w:type="pct"/>
            <w:vMerge/>
          </w:tcPr>
          <w:p w:rsidR="006E6CB9" w:rsidRPr="006E6CB9" w:rsidRDefault="006E6CB9" w:rsidP="008E3E9B">
            <w:pPr>
              <w:spacing w:after="0" w:line="240" w:lineRule="auto"/>
              <w:jc w:val="both"/>
              <w:rPr>
                <w:rFonts w:cs="Arial"/>
                <w:lang w:val="pt-BR"/>
              </w:rPr>
            </w:pPr>
          </w:p>
        </w:tc>
        <w:tc>
          <w:tcPr>
            <w:tcW w:w="1266" w:type="pct"/>
          </w:tcPr>
          <w:p w:rsidR="006E6CB9" w:rsidRPr="00084EA9" w:rsidRDefault="006E6CB9" w:rsidP="008E3E9B">
            <w:pPr>
              <w:spacing w:after="0" w:line="240" w:lineRule="auto"/>
              <w:jc w:val="both"/>
              <w:rPr>
                <w:rFonts w:cs="Arial"/>
              </w:rPr>
            </w:pPr>
            <w:r w:rsidRPr="00084EA9">
              <w:rPr>
                <w:rFonts w:cs="Arial"/>
              </w:rPr>
              <w:t>2º e 3º trimestre</w:t>
            </w:r>
          </w:p>
        </w:tc>
        <w:tc>
          <w:tcPr>
            <w:tcW w:w="938" w:type="pct"/>
          </w:tcPr>
          <w:p w:rsidR="006E6CB9" w:rsidRPr="00084EA9" w:rsidRDefault="006E6CB9" w:rsidP="008E3E9B">
            <w:pPr>
              <w:spacing w:after="0" w:line="240" w:lineRule="auto"/>
              <w:jc w:val="both"/>
              <w:rPr>
                <w:rFonts w:cs="Arial"/>
              </w:rPr>
            </w:pPr>
            <w:r w:rsidRPr="00084EA9">
              <w:rPr>
                <w:rFonts w:cs="Arial"/>
              </w:rPr>
              <w:t>Arteméter +</w:t>
            </w:r>
          </w:p>
          <w:p w:rsidR="006E6CB9" w:rsidRPr="00084EA9" w:rsidRDefault="006E6CB9" w:rsidP="008E3E9B">
            <w:pPr>
              <w:spacing w:after="0" w:line="240" w:lineRule="auto"/>
              <w:jc w:val="both"/>
              <w:rPr>
                <w:rFonts w:cs="Arial"/>
              </w:rPr>
            </w:pPr>
            <w:r w:rsidRPr="00084EA9">
              <w:rPr>
                <w:rFonts w:cs="Arial"/>
              </w:rPr>
              <w:t>lumefantrina</w:t>
            </w:r>
          </w:p>
          <w:p w:rsidR="006E6CB9" w:rsidRPr="00084EA9" w:rsidRDefault="006E6CB9" w:rsidP="008E3E9B">
            <w:pPr>
              <w:spacing w:after="0" w:line="240" w:lineRule="auto"/>
              <w:jc w:val="both"/>
              <w:rPr>
                <w:rFonts w:cs="Arial"/>
              </w:rPr>
            </w:pPr>
            <w:r w:rsidRPr="00084EA9">
              <w:rPr>
                <w:rFonts w:cs="Arial"/>
              </w:rPr>
              <w:t>(coartem)</w:t>
            </w:r>
          </w:p>
        </w:tc>
        <w:tc>
          <w:tcPr>
            <w:tcW w:w="1686" w:type="pct"/>
          </w:tcPr>
          <w:p w:rsidR="006E6CB9" w:rsidRPr="006E6CB9" w:rsidRDefault="006E6CB9" w:rsidP="008E3E9B">
            <w:pPr>
              <w:spacing w:after="0" w:line="240" w:lineRule="auto"/>
              <w:jc w:val="both"/>
              <w:rPr>
                <w:rFonts w:cs="Arial"/>
                <w:lang w:val="pt-BR"/>
              </w:rPr>
            </w:pPr>
            <w:r w:rsidRPr="006E6CB9">
              <w:rPr>
                <w:rFonts w:cs="Arial"/>
                <w:lang w:val="pt-BR"/>
              </w:rPr>
              <w:t>Semelhante ao do tratamento da malária não complicada no adulto</w:t>
            </w:r>
          </w:p>
        </w:tc>
      </w:tr>
      <w:tr w:rsidR="006E6CB9" w:rsidRPr="00FC6E81" w:rsidTr="00BE2C41">
        <w:trPr>
          <w:trHeight w:val="1170"/>
          <w:jc w:val="center"/>
        </w:trPr>
        <w:tc>
          <w:tcPr>
            <w:tcW w:w="1110" w:type="pct"/>
          </w:tcPr>
          <w:p w:rsidR="006E6CB9" w:rsidRPr="00084EA9" w:rsidRDefault="006E6CB9" w:rsidP="008E3E9B">
            <w:pPr>
              <w:spacing w:after="0" w:line="240" w:lineRule="auto"/>
              <w:jc w:val="both"/>
              <w:rPr>
                <w:rFonts w:cs="Arial"/>
              </w:rPr>
            </w:pPr>
            <w:r w:rsidRPr="00084EA9">
              <w:rPr>
                <w:rFonts w:cs="Arial"/>
              </w:rPr>
              <w:t>Complicada/grave</w:t>
            </w:r>
          </w:p>
        </w:tc>
        <w:tc>
          <w:tcPr>
            <w:tcW w:w="1266" w:type="pct"/>
          </w:tcPr>
          <w:p w:rsidR="006E6CB9" w:rsidRPr="00084EA9" w:rsidRDefault="006E6CB9" w:rsidP="008E3E9B">
            <w:pPr>
              <w:spacing w:after="0" w:line="240" w:lineRule="auto"/>
              <w:jc w:val="both"/>
              <w:rPr>
                <w:rFonts w:cs="Arial"/>
              </w:rPr>
            </w:pPr>
            <w:r w:rsidRPr="00084EA9">
              <w:rPr>
                <w:rFonts w:cs="Arial"/>
              </w:rPr>
              <w:t>Independentemente</w:t>
            </w:r>
          </w:p>
        </w:tc>
        <w:tc>
          <w:tcPr>
            <w:tcW w:w="938" w:type="pct"/>
          </w:tcPr>
          <w:p w:rsidR="006E6CB9" w:rsidRPr="00084EA9" w:rsidRDefault="006E6CB9" w:rsidP="008E3E9B">
            <w:pPr>
              <w:spacing w:after="0" w:line="240" w:lineRule="auto"/>
              <w:jc w:val="both"/>
              <w:rPr>
                <w:rFonts w:cs="Arial"/>
              </w:rPr>
            </w:pPr>
            <w:r w:rsidRPr="00084EA9">
              <w:rPr>
                <w:rFonts w:cs="Arial"/>
              </w:rPr>
              <w:t xml:space="preserve">Quinino EV </w:t>
            </w:r>
          </w:p>
        </w:tc>
        <w:tc>
          <w:tcPr>
            <w:tcW w:w="1686" w:type="pct"/>
          </w:tcPr>
          <w:p w:rsidR="006E6CB9" w:rsidRPr="006E6CB9" w:rsidRDefault="006E6CB9" w:rsidP="008E3E9B">
            <w:pPr>
              <w:spacing w:after="0" w:line="240" w:lineRule="auto"/>
              <w:jc w:val="both"/>
              <w:rPr>
                <w:rFonts w:cs="Arial"/>
                <w:lang w:val="pt-BR"/>
              </w:rPr>
            </w:pPr>
            <w:r w:rsidRPr="006E6CB9">
              <w:rPr>
                <w:rFonts w:cs="Arial"/>
                <w:lang w:val="pt-BR"/>
              </w:rPr>
              <w:t>Semelhante ao descrito na quinina EV. Deve acrescentar-se 30 ml de dextrose a 30%</w:t>
            </w:r>
          </w:p>
        </w:tc>
      </w:tr>
    </w:tbl>
    <w:p w:rsidR="006E6CB9" w:rsidRPr="006E6CB9" w:rsidRDefault="006E6CB9" w:rsidP="008E3E9B">
      <w:pPr>
        <w:spacing w:after="0"/>
        <w:jc w:val="both"/>
        <w:rPr>
          <w:rFonts w:cs="Arial"/>
          <w:lang w:val="pt-BR"/>
        </w:rPr>
      </w:pPr>
      <w:r w:rsidRPr="006E6CB9">
        <w:rPr>
          <w:rFonts w:cs="Arial"/>
          <w:b/>
          <w:lang w:val="pt-BR"/>
        </w:rPr>
        <w:t xml:space="preserve">Nota 1. </w:t>
      </w:r>
      <w:r w:rsidRPr="006E6CB9">
        <w:rPr>
          <w:rFonts w:cs="Arial"/>
          <w:lang w:val="pt-BR"/>
        </w:rPr>
        <w:t xml:space="preserve">Recomendar a mulher grávida a ingestão abundante de líquidos açucarados (água com açúcar, sumos, refrescos). </w:t>
      </w:r>
    </w:p>
    <w:p w:rsidR="006E6CB9" w:rsidRDefault="006E6CB9" w:rsidP="006E6CB9">
      <w:pPr>
        <w:spacing w:before="120"/>
        <w:jc w:val="both"/>
        <w:rPr>
          <w:rFonts w:cs="Arial"/>
          <w:lang w:val="pt-BR"/>
        </w:rPr>
      </w:pPr>
      <w:r w:rsidRPr="006E6CB9">
        <w:rPr>
          <w:rFonts w:cs="Arial"/>
          <w:b/>
          <w:lang w:val="pt-BR"/>
        </w:rPr>
        <w:t>Nota 2</w:t>
      </w:r>
      <w:r w:rsidRPr="006E6CB9">
        <w:rPr>
          <w:rFonts w:cs="Arial"/>
          <w:lang w:val="pt-BR"/>
        </w:rPr>
        <w:t xml:space="preserve">. </w:t>
      </w:r>
      <w:r w:rsidRPr="008E3E9B">
        <w:rPr>
          <w:rFonts w:cs="Arial"/>
          <w:lang w:val="pt-BR"/>
        </w:rPr>
        <w:t>Os esquemas terapêuticos são um processo dinâmico e estão sempre em mudança, pelo que o aluno e o docente devem sempre se actualizar com as normas de tratamento do Programa Nacional de Controlo da Malária.</w:t>
      </w:r>
    </w:p>
    <w:p w:rsidR="006E6CB9" w:rsidRPr="00084EA9" w:rsidRDefault="00BE2C41" w:rsidP="00BE2C41">
      <w:pPr>
        <w:pStyle w:val="TM-1n"/>
        <w:numPr>
          <w:ilvl w:val="0"/>
          <w:numId w:val="0"/>
        </w:numPr>
        <w:shd w:val="clear" w:color="auto" w:fill="C6D9F1"/>
        <w:tabs>
          <w:tab w:val="clear" w:pos="9072"/>
          <w:tab w:val="left" w:pos="284"/>
        </w:tabs>
        <w:rPr>
          <w:sz w:val="22"/>
          <w:szCs w:val="22"/>
        </w:rPr>
      </w:pPr>
      <w:r>
        <w:rPr>
          <w:sz w:val="22"/>
          <w:szCs w:val="22"/>
        </w:rPr>
        <w:t xml:space="preserve">BLOCO 3: </w:t>
      </w:r>
      <w:r w:rsidR="006E6CB9" w:rsidRPr="00084EA9">
        <w:rPr>
          <w:sz w:val="22"/>
          <w:szCs w:val="22"/>
        </w:rPr>
        <w:t>FÁRMACOS ANTI-FÚNGICOS E ANTI-VIRAIS</w:t>
      </w:r>
      <w:r w:rsidR="006E6CB9" w:rsidRPr="00084EA9">
        <w:rPr>
          <w:sz w:val="22"/>
          <w:szCs w:val="22"/>
        </w:rPr>
        <w:tab/>
      </w:r>
    </w:p>
    <w:p w:rsidR="006E6CB9" w:rsidRPr="00084EA9" w:rsidRDefault="006E6CB9" w:rsidP="006E6CB9">
      <w:pPr>
        <w:pStyle w:val="TM-1n"/>
        <w:numPr>
          <w:ilvl w:val="0"/>
          <w:numId w:val="0"/>
        </w:numPr>
        <w:rPr>
          <w:b w:val="0"/>
          <w:sz w:val="22"/>
          <w:szCs w:val="22"/>
        </w:rPr>
      </w:pPr>
      <w:r w:rsidRPr="00084EA9">
        <w:rPr>
          <w:b w:val="0"/>
          <w:sz w:val="22"/>
          <w:szCs w:val="22"/>
        </w:rPr>
        <w:t xml:space="preserve">Os fármacos anti-virais constituem a mais recente arma na luta antimicrobiana, pois são particularmente difíceis de serem desenvolvidos e utilizados visto que os vírus são intra-celulares obrigatórios. Os fármacos anti-micóticos (ou anti-fúngicos), tendem a ser mais tóxicos para o paciente, uma vez que quer os fungos quer as células do paciente são eucariontes. </w:t>
      </w:r>
    </w:p>
    <w:p w:rsidR="006E6CB9" w:rsidRPr="00084EA9" w:rsidRDefault="006E6CB9" w:rsidP="006E6CB9">
      <w:pPr>
        <w:pStyle w:val="TM-1n"/>
        <w:numPr>
          <w:ilvl w:val="0"/>
          <w:numId w:val="0"/>
        </w:numPr>
        <w:ind w:left="284" w:hanging="284"/>
        <w:rPr>
          <w:b w:val="0"/>
          <w:sz w:val="22"/>
          <w:szCs w:val="22"/>
        </w:rPr>
      </w:pPr>
      <w:r w:rsidRPr="00084EA9">
        <w:rPr>
          <w:b w:val="0"/>
          <w:sz w:val="22"/>
          <w:szCs w:val="22"/>
        </w:rPr>
        <w:t xml:space="preserve">Fármacos Anti-virais e Anti-micóticos Disponíveis em Moçambique </w:t>
      </w:r>
    </w:p>
    <w:p w:rsidR="006E6CB9" w:rsidRPr="00084EA9" w:rsidRDefault="006E6CB9" w:rsidP="006E6CB9">
      <w:pPr>
        <w:pStyle w:val="TM-1n"/>
        <w:numPr>
          <w:ilvl w:val="0"/>
          <w:numId w:val="0"/>
        </w:numPr>
        <w:ind w:left="284" w:hanging="284"/>
        <w:rPr>
          <w:b w:val="0"/>
          <w:sz w:val="22"/>
          <w:szCs w:val="22"/>
        </w:rPr>
      </w:pPr>
      <w:r w:rsidRPr="00084EA9">
        <w:rPr>
          <w:b w:val="0"/>
          <w:sz w:val="22"/>
          <w:szCs w:val="22"/>
        </w:rPr>
        <w:t>A tabela abaixo monstra os fármacos anti-virais e anti-micóticos disponíveis em Moçambique (excluindo medicamentos anti-retrovirais)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20" w:firstRow="1" w:lastRow="0" w:firstColumn="0" w:lastColumn="0" w:noHBand="0" w:noVBand="1"/>
      </w:tblPr>
      <w:tblGrid>
        <w:gridCol w:w="5135"/>
        <w:gridCol w:w="5259"/>
      </w:tblGrid>
      <w:tr w:rsidR="006E6CB9" w:rsidRPr="00703513" w:rsidTr="006E6CB9">
        <w:trPr>
          <w:trHeight w:val="368"/>
          <w:jc w:val="center"/>
        </w:trPr>
        <w:tc>
          <w:tcPr>
            <w:tcW w:w="2470" w:type="pct"/>
            <w:shd w:val="clear" w:color="auto" w:fill="C6D9F1"/>
          </w:tcPr>
          <w:p w:rsidR="006E6CB9" w:rsidRPr="00703513" w:rsidRDefault="006E6CB9" w:rsidP="008E3E9B">
            <w:pPr>
              <w:spacing w:after="0" w:line="240" w:lineRule="auto"/>
              <w:jc w:val="center"/>
              <w:rPr>
                <w:rFonts w:cs="Arial"/>
                <w:b/>
              </w:rPr>
            </w:pPr>
            <w:r w:rsidRPr="00703513">
              <w:rPr>
                <w:rFonts w:cs="Arial"/>
                <w:b/>
              </w:rPr>
              <w:t>Tipo de Fármaco</w:t>
            </w:r>
          </w:p>
        </w:tc>
        <w:tc>
          <w:tcPr>
            <w:tcW w:w="2530" w:type="pct"/>
            <w:shd w:val="clear" w:color="auto" w:fill="C6D9F1"/>
          </w:tcPr>
          <w:p w:rsidR="006E6CB9" w:rsidRPr="00703513" w:rsidRDefault="006E6CB9" w:rsidP="008E3E9B">
            <w:pPr>
              <w:spacing w:after="0" w:line="240" w:lineRule="auto"/>
              <w:jc w:val="center"/>
              <w:rPr>
                <w:rFonts w:cs="Arial"/>
                <w:b/>
              </w:rPr>
            </w:pPr>
            <w:r w:rsidRPr="00703513">
              <w:rPr>
                <w:rFonts w:cs="Arial"/>
                <w:b/>
              </w:rPr>
              <w:t>Nome dos Fármacos</w:t>
            </w:r>
          </w:p>
        </w:tc>
      </w:tr>
      <w:tr w:rsidR="006E6CB9" w:rsidRPr="00703513" w:rsidTr="006E6CB9">
        <w:trPr>
          <w:trHeight w:val="288"/>
          <w:jc w:val="center"/>
        </w:trPr>
        <w:tc>
          <w:tcPr>
            <w:tcW w:w="2470" w:type="pct"/>
            <w:vAlign w:val="center"/>
          </w:tcPr>
          <w:p w:rsidR="006E6CB9" w:rsidRPr="00703513" w:rsidRDefault="006E6CB9" w:rsidP="008E3E9B">
            <w:pPr>
              <w:spacing w:after="0" w:line="240" w:lineRule="auto"/>
              <w:jc w:val="center"/>
              <w:rPr>
                <w:rFonts w:cs="Arial"/>
              </w:rPr>
            </w:pPr>
            <w:r w:rsidRPr="00703513">
              <w:rPr>
                <w:rFonts w:cs="Arial"/>
              </w:rPr>
              <w:t>Anti-Virais</w:t>
            </w:r>
          </w:p>
        </w:tc>
        <w:tc>
          <w:tcPr>
            <w:tcW w:w="2530" w:type="pct"/>
          </w:tcPr>
          <w:p w:rsidR="006E6CB9" w:rsidRPr="00703513" w:rsidRDefault="006E6CB9" w:rsidP="008E3E9B">
            <w:pPr>
              <w:spacing w:after="0" w:line="240" w:lineRule="auto"/>
              <w:jc w:val="center"/>
              <w:rPr>
                <w:rFonts w:cs="Arial"/>
              </w:rPr>
            </w:pPr>
            <w:r w:rsidRPr="00703513">
              <w:rPr>
                <w:rFonts w:cs="Arial"/>
              </w:rPr>
              <w:t>Aciclovir</w:t>
            </w:r>
          </w:p>
        </w:tc>
      </w:tr>
      <w:tr w:rsidR="006E6CB9" w:rsidRPr="00703513" w:rsidTr="006E6CB9">
        <w:trPr>
          <w:trHeight w:val="288"/>
          <w:jc w:val="center"/>
        </w:trPr>
        <w:tc>
          <w:tcPr>
            <w:tcW w:w="2470" w:type="pct"/>
            <w:vMerge w:val="restart"/>
            <w:vAlign w:val="center"/>
          </w:tcPr>
          <w:p w:rsidR="006E6CB9" w:rsidRPr="00703513" w:rsidRDefault="006E6CB9" w:rsidP="008E3E9B">
            <w:pPr>
              <w:spacing w:after="0" w:line="240" w:lineRule="auto"/>
              <w:jc w:val="center"/>
              <w:rPr>
                <w:rFonts w:cs="Arial"/>
              </w:rPr>
            </w:pPr>
            <w:r w:rsidRPr="00703513">
              <w:rPr>
                <w:rFonts w:cs="Arial"/>
              </w:rPr>
              <w:t>Anti-Micóticos</w:t>
            </w:r>
          </w:p>
        </w:tc>
        <w:tc>
          <w:tcPr>
            <w:tcW w:w="2530" w:type="pct"/>
          </w:tcPr>
          <w:p w:rsidR="006E6CB9" w:rsidRPr="00703513" w:rsidRDefault="006E6CB9" w:rsidP="008E3E9B">
            <w:pPr>
              <w:spacing w:after="0" w:line="240" w:lineRule="auto"/>
              <w:jc w:val="center"/>
              <w:rPr>
                <w:rFonts w:cs="Arial"/>
              </w:rPr>
            </w:pPr>
            <w:r w:rsidRPr="00703513">
              <w:rPr>
                <w:rFonts w:cs="Arial"/>
              </w:rPr>
              <w:t>Clotrimazol</w:t>
            </w:r>
          </w:p>
        </w:tc>
      </w:tr>
      <w:tr w:rsidR="006E6CB9" w:rsidRPr="00703513" w:rsidTr="006E6CB9">
        <w:trPr>
          <w:trHeight w:val="288"/>
          <w:jc w:val="center"/>
        </w:trPr>
        <w:tc>
          <w:tcPr>
            <w:tcW w:w="2470" w:type="pct"/>
            <w:vMerge/>
          </w:tcPr>
          <w:p w:rsidR="006E6CB9" w:rsidRPr="00703513" w:rsidRDefault="006E6CB9" w:rsidP="008E3E9B">
            <w:pPr>
              <w:spacing w:after="0" w:line="240" w:lineRule="auto"/>
              <w:jc w:val="center"/>
              <w:rPr>
                <w:rFonts w:cs="Arial"/>
              </w:rPr>
            </w:pPr>
          </w:p>
        </w:tc>
        <w:tc>
          <w:tcPr>
            <w:tcW w:w="2530" w:type="pct"/>
          </w:tcPr>
          <w:p w:rsidR="006E6CB9" w:rsidRPr="00703513" w:rsidRDefault="006E6CB9" w:rsidP="008E3E9B">
            <w:pPr>
              <w:spacing w:after="0" w:line="240" w:lineRule="auto"/>
              <w:jc w:val="center"/>
              <w:rPr>
                <w:rFonts w:cs="Arial"/>
              </w:rPr>
            </w:pPr>
            <w:r w:rsidRPr="00703513">
              <w:rPr>
                <w:rFonts w:cs="Arial"/>
              </w:rPr>
              <w:t>Nistatina</w:t>
            </w:r>
          </w:p>
        </w:tc>
      </w:tr>
      <w:tr w:rsidR="006E6CB9" w:rsidRPr="00703513" w:rsidTr="006E6CB9">
        <w:trPr>
          <w:trHeight w:val="288"/>
          <w:jc w:val="center"/>
        </w:trPr>
        <w:tc>
          <w:tcPr>
            <w:tcW w:w="2470" w:type="pct"/>
            <w:vMerge/>
          </w:tcPr>
          <w:p w:rsidR="006E6CB9" w:rsidRPr="00703513" w:rsidRDefault="006E6CB9" w:rsidP="008E3E9B">
            <w:pPr>
              <w:spacing w:after="0" w:line="240" w:lineRule="auto"/>
              <w:jc w:val="center"/>
              <w:rPr>
                <w:rFonts w:cs="Arial"/>
              </w:rPr>
            </w:pPr>
          </w:p>
        </w:tc>
        <w:tc>
          <w:tcPr>
            <w:tcW w:w="2530" w:type="pct"/>
          </w:tcPr>
          <w:p w:rsidR="006E6CB9" w:rsidRPr="00703513" w:rsidRDefault="006E6CB9" w:rsidP="008E3E9B">
            <w:pPr>
              <w:spacing w:after="0" w:line="240" w:lineRule="auto"/>
              <w:jc w:val="center"/>
              <w:rPr>
                <w:rFonts w:cs="Arial"/>
              </w:rPr>
            </w:pPr>
            <w:r w:rsidRPr="00703513">
              <w:rPr>
                <w:rFonts w:cs="Arial"/>
              </w:rPr>
              <w:t>Miconazol</w:t>
            </w:r>
          </w:p>
        </w:tc>
      </w:tr>
      <w:tr w:rsidR="006E6CB9" w:rsidRPr="00703513" w:rsidTr="006E6CB9">
        <w:trPr>
          <w:trHeight w:val="288"/>
          <w:jc w:val="center"/>
        </w:trPr>
        <w:tc>
          <w:tcPr>
            <w:tcW w:w="2470" w:type="pct"/>
            <w:vMerge/>
          </w:tcPr>
          <w:p w:rsidR="006E6CB9" w:rsidRPr="00703513" w:rsidRDefault="006E6CB9" w:rsidP="008E3E9B">
            <w:pPr>
              <w:spacing w:after="0" w:line="240" w:lineRule="auto"/>
              <w:jc w:val="center"/>
              <w:rPr>
                <w:rFonts w:cs="Arial"/>
              </w:rPr>
            </w:pPr>
          </w:p>
        </w:tc>
        <w:tc>
          <w:tcPr>
            <w:tcW w:w="2530" w:type="pct"/>
          </w:tcPr>
          <w:p w:rsidR="006E6CB9" w:rsidRPr="00703513" w:rsidRDefault="006E6CB9" w:rsidP="008E3E9B">
            <w:pPr>
              <w:spacing w:after="0" w:line="240" w:lineRule="auto"/>
              <w:jc w:val="center"/>
              <w:rPr>
                <w:rFonts w:cs="Arial"/>
              </w:rPr>
            </w:pPr>
            <w:r w:rsidRPr="00703513">
              <w:rPr>
                <w:rFonts w:cs="Arial"/>
              </w:rPr>
              <w:t>Ketoconazol</w:t>
            </w:r>
          </w:p>
        </w:tc>
      </w:tr>
      <w:tr w:rsidR="006E6CB9" w:rsidRPr="00703513" w:rsidTr="006E6CB9">
        <w:trPr>
          <w:trHeight w:val="288"/>
          <w:jc w:val="center"/>
        </w:trPr>
        <w:tc>
          <w:tcPr>
            <w:tcW w:w="2470" w:type="pct"/>
            <w:vMerge/>
          </w:tcPr>
          <w:p w:rsidR="006E6CB9" w:rsidRPr="00703513" w:rsidRDefault="006E6CB9" w:rsidP="008E3E9B">
            <w:pPr>
              <w:spacing w:after="0" w:line="240" w:lineRule="auto"/>
              <w:jc w:val="center"/>
              <w:rPr>
                <w:rFonts w:cs="Arial"/>
              </w:rPr>
            </w:pPr>
          </w:p>
        </w:tc>
        <w:tc>
          <w:tcPr>
            <w:tcW w:w="2530" w:type="pct"/>
          </w:tcPr>
          <w:p w:rsidR="006E6CB9" w:rsidRPr="00703513" w:rsidRDefault="006E6CB9" w:rsidP="008E3E9B">
            <w:pPr>
              <w:spacing w:after="0" w:line="240" w:lineRule="auto"/>
              <w:jc w:val="center"/>
              <w:rPr>
                <w:rFonts w:cs="Arial"/>
              </w:rPr>
            </w:pPr>
            <w:r w:rsidRPr="00703513">
              <w:rPr>
                <w:rFonts w:cs="Arial"/>
              </w:rPr>
              <w:t>Fluconazol</w:t>
            </w:r>
          </w:p>
        </w:tc>
      </w:tr>
      <w:tr w:rsidR="006E6CB9" w:rsidRPr="00703513" w:rsidTr="006E6CB9">
        <w:trPr>
          <w:trHeight w:val="288"/>
          <w:jc w:val="center"/>
        </w:trPr>
        <w:tc>
          <w:tcPr>
            <w:tcW w:w="2470" w:type="pct"/>
            <w:vMerge/>
          </w:tcPr>
          <w:p w:rsidR="006E6CB9" w:rsidRPr="00703513" w:rsidRDefault="006E6CB9" w:rsidP="008E3E9B">
            <w:pPr>
              <w:spacing w:after="0" w:line="240" w:lineRule="auto"/>
              <w:jc w:val="center"/>
              <w:rPr>
                <w:rFonts w:cs="Arial"/>
              </w:rPr>
            </w:pPr>
          </w:p>
        </w:tc>
        <w:tc>
          <w:tcPr>
            <w:tcW w:w="2530" w:type="pct"/>
          </w:tcPr>
          <w:p w:rsidR="006E6CB9" w:rsidRPr="00703513" w:rsidRDefault="006E6CB9" w:rsidP="008E3E9B">
            <w:pPr>
              <w:spacing w:after="0" w:line="240" w:lineRule="auto"/>
              <w:jc w:val="center"/>
              <w:rPr>
                <w:rFonts w:cs="Arial"/>
              </w:rPr>
            </w:pPr>
            <w:r w:rsidRPr="00703513">
              <w:rPr>
                <w:rFonts w:cs="Arial"/>
              </w:rPr>
              <w:t>Griseofulvina</w:t>
            </w:r>
          </w:p>
        </w:tc>
      </w:tr>
      <w:tr w:rsidR="006E6CB9" w:rsidRPr="00703513" w:rsidTr="006E6CB9">
        <w:trPr>
          <w:trHeight w:val="56"/>
          <w:jc w:val="center"/>
        </w:trPr>
        <w:tc>
          <w:tcPr>
            <w:tcW w:w="2470" w:type="pct"/>
            <w:vMerge/>
          </w:tcPr>
          <w:p w:rsidR="006E6CB9" w:rsidRPr="00703513" w:rsidRDefault="006E6CB9" w:rsidP="008E3E9B">
            <w:pPr>
              <w:spacing w:after="0" w:line="240" w:lineRule="auto"/>
              <w:jc w:val="center"/>
              <w:rPr>
                <w:rFonts w:cs="Arial"/>
              </w:rPr>
            </w:pPr>
          </w:p>
        </w:tc>
        <w:tc>
          <w:tcPr>
            <w:tcW w:w="2530" w:type="pct"/>
          </w:tcPr>
          <w:p w:rsidR="006E6CB9" w:rsidRPr="00703513" w:rsidRDefault="006E6CB9" w:rsidP="008E3E9B">
            <w:pPr>
              <w:spacing w:after="0" w:line="240" w:lineRule="auto"/>
              <w:jc w:val="center"/>
              <w:rPr>
                <w:rFonts w:cs="Arial"/>
              </w:rPr>
            </w:pPr>
            <w:r w:rsidRPr="00703513">
              <w:rPr>
                <w:rFonts w:cs="Arial"/>
              </w:rPr>
              <w:t>Anfotericina B</w:t>
            </w:r>
          </w:p>
        </w:tc>
      </w:tr>
    </w:tbl>
    <w:p w:rsidR="006E6CB9" w:rsidRDefault="006E6CB9" w:rsidP="008E3E9B">
      <w:pPr>
        <w:pStyle w:val="TM-2n"/>
        <w:numPr>
          <w:ilvl w:val="0"/>
          <w:numId w:val="0"/>
        </w:numPr>
        <w:spacing w:after="0" w:line="276" w:lineRule="auto"/>
        <w:ind w:left="450"/>
        <w:rPr>
          <w:b/>
        </w:rPr>
      </w:pPr>
    </w:p>
    <w:p w:rsidR="0096537C" w:rsidRDefault="0096537C" w:rsidP="008E3E9B">
      <w:pPr>
        <w:pStyle w:val="TM-2n"/>
        <w:numPr>
          <w:ilvl w:val="0"/>
          <w:numId w:val="0"/>
        </w:numPr>
        <w:spacing w:after="0" w:line="276" w:lineRule="auto"/>
        <w:ind w:left="450"/>
        <w:rPr>
          <w:b/>
        </w:rPr>
      </w:pPr>
    </w:p>
    <w:p w:rsidR="0096537C" w:rsidRDefault="0096537C" w:rsidP="008E3E9B">
      <w:pPr>
        <w:pStyle w:val="TM-2n"/>
        <w:numPr>
          <w:ilvl w:val="0"/>
          <w:numId w:val="0"/>
        </w:numPr>
        <w:spacing w:after="0" w:line="276" w:lineRule="auto"/>
        <w:ind w:left="450"/>
        <w:rPr>
          <w:b/>
        </w:rPr>
      </w:pPr>
    </w:p>
    <w:p w:rsidR="006E6CB9" w:rsidRPr="00084EA9" w:rsidRDefault="006E6CB9" w:rsidP="00C52E09">
      <w:pPr>
        <w:pStyle w:val="TM-2n"/>
        <w:numPr>
          <w:ilvl w:val="1"/>
          <w:numId w:val="291"/>
        </w:numPr>
        <w:spacing w:after="0" w:line="276" w:lineRule="auto"/>
        <w:rPr>
          <w:b/>
        </w:rPr>
      </w:pPr>
      <w:r w:rsidRPr="00084EA9">
        <w:rPr>
          <w:b/>
        </w:rPr>
        <w:lastRenderedPageBreak/>
        <w:t>Anti-virais</w:t>
      </w:r>
    </w:p>
    <w:p w:rsidR="006E6CB9" w:rsidRPr="00084EA9" w:rsidRDefault="006E6CB9" w:rsidP="00C52E09">
      <w:pPr>
        <w:pStyle w:val="TM-3n"/>
        <w:numPr>
          <w:ilvl w:val="2"/>
          <w:numId w:val="291"/>
        </w:numPr>
        <w:tabs>
          <w:tab w:val="clear" w:pos="1276"/>
          <w:tab w:val="left" w:pos="1080"/>
        </w:tabs>
        <w:spacing w:before="120" w:after="0" w:line="276" w:lineRule="auto"/>
        <w:ind w:hanging="270"/>
        <w:rPr>
          <w:b/>
        </w:rPr>
      </w:pPr>
      <w:r w:rsidRPr="00084EA9">
        <w:rPr>
          <w:b/>
        </w:rPr>
        <w:t xml:space="preserve">Aciclovir </w:t>
      </w:r>
    </w:p>
    <w:p w:rsidR="006E6CB9" w:rsidRPr="00084EA9" w:rsidRDefault="006E6CB9" w:rsidP="00C52E09">
      <w:pPr>
        <w:pStyle w:val="TM-4n"/>
        <w:numPr>
          <w:ilvl w:val="0"/>
          <w:numId w:val="205"/>
        </w:numPr>
        <w:tabs>
          <w:tab w:val="clear" w:pos="720"/>
          <w:tab w:val="clear" w:pos="1134"/>
        </w:tabs>
        <w:spacing w:before="120" w:after="0" w:line="276" w:lineRule="auto"/>
        <w:ind w:left="1440"/>
      </w:pPr>
      <w:r w:rsidRPr="00084EA9">
        <w:t>Mecanismo de acção: actua por inibição do ADN polimerase viral</w:t>
      </w:r>
    </w:p>
    <w:p w:rsidR="006E6CB9" w:rsidRPr="00084EA9" w:rsidRDefault="006E6CB9" w:rsidP="00C52E09">
      <w:pPr>
        <w:pStyle w:val="TM-4n"/>
        <w:numPr>
          <w:ilvl w:val="0"/>
          <w:numId w:val="205"/>
        </w:numPr>
        <w:tabs>
          <w:tab w:val="clear" w:pos="720"/>
          <w:tab w:val="clear" w:pos="1134"/>
        </w:tabs>
        <w:spacing w:before="120" w:after="0" w:line="276" w:lineRule="auto"/>
        <w:ind w:left="1440"/>
      </w:pPr>
      <w:r w:rsidRPr="00084EA9">
        <w:t>Forma farmacêutica e via de administração: comprimidos de 400 mg por via oral, injectável 25 mg/ml por via perfusão EV, e pomada oftálmica para via tópica – nível 3 de prescrição</w:t>
      </w:r>
    </w:p>
    <w:p w:rsidR="006E6CB9" w:rsidRPr="00084EA9" w:rsidRDefault="006E6CB9" w:rsidP="00C52E09">
      <w:pPr>
        <w:pStyle w:val="TM-4n"/>
        <w:numPr>
          <w:ilvl w:val="0"/>
          <w:numId w:val="205"/>
        </w:numPr>
        <w:tabs>
          <w:tab w:val="clear" w:pos="720"/>
          <w:tab w:val="clear" w:pos="1134"/>
        </w:tabs>
        <w:spacing w:before="120" w:after="0" w:line="276" w:lineRule="auto"/>
        <w:ind w:left="1440"/>
        <w:rPr>
          <w:b/>
        </w:rPr>
      </w:pPr>
      <w:r w:rsidRPr="00084EA9">
        <w:rPr>
          <w:b/>
        </w:rPr>
        <w:t xml:space="preserve">Indicações: Indicado no tratamento de infecções pelos vírus herpes simplex e varicela. Tratamento do herpes zóster </w:t>
      </w:r>
    </w:p>
    <w:p w:rsidR="006E6CB9" w:rsidRPr="00084EA9" w:rsidRDefault="006E6CB9" w:rsidP="00C52E09">
      <w:pPr>
        <w:pStyle w:val="TM-4n"/>
        <w:numPr>
          <w:ilvl w:val="0"/>
          <w:numId w:val="205"/>
        </w:numPr>
        <w:tabs>
          <w:tab w:val="clear" w:pos="720"/>
          <w:tab w:val="clear" w:pos="1134"/>
        </w:tabs>
        <w:spacing w:before="120" w:after="0" w:line="276" w:lineRule="auto"/>
        <w:ind w:left="1440"/>
      </w:pPr>
      <w:r w:rsidRPr="00084EA9">
        <w:t>Dose e dosagem: a 200 mg 5 vezes por dia ou 400 mg de 8 em 8 horas.</w:t>
      </w:r>
    </w:p>
    <w:p w:rsidR="006E6CB9" w:rsidRPr="00084EA9" w:rsidRDefault="006E6CB9" w:rsidP="00C52E09">
      <w:pPr>
        <w:pStyle w:val="TM-4n"/>
        <w:numPr>
          <w:ilvl w:val="0"/>
          <w:numId w:val="205"/>
        </w:numPr>
        <w:tabs>
          <w:tab w:val="clear" w:pos="720"/>
          <w:tab w:val="clear" w:pos="1134"/>
        </w:tabs>
        <w:spacing w:before="120" w:after="0" w:line="276" w:lineRule="auto"/>
        <w:ind w:left="1440"/>
      </w:pPr>
      <w:r w:rsidRPr="00084EA9">
        <w:t xml:space="preserve"> Efeitos secundários: bem tolerado, efeitos gastrointestinais (náuseas, vómitos, diarreia), cefaleia. A administração EV pode ocasionar inflamação da veia (flebite).</w:t>
      </w:r>
    </w:p>
    <w:p w:rsidR="006E6CB9" w:rsidRPr="00084EA9" w:rsidRDefault="006E6CB9" w:rsidP="00C52E09">
      <w:pPr>
        <w:pStyle w:val="TM-4n"/>
        <w:numPr>
          <w:ilvl w:val="0"/>
          <w:numId w:val="205"/>
        </w:numPr>
        <w:tabs>
          <w:tab w:val="clear" w:pos="720"/>
          <w:tab w:val="clear" w:pos="1134"/>
        </w:tabs>
        <w:spacing w:before="120" w:after="0" w:line="276" w:lineRule="auto"/>
        <w:ind w:left="1440"/>
      </w:pPr>
      <w:r w:rsidRPr="00084EA9">
        <w:t>Contra-indicações: hipersensibilidade ao medicamento, insuficiência renal, gravidez e lactação.</w:t>
      </w:r>
    </w:p>
    <w:p w:rsidR="006E6CB9" w:rsidRPr="00084EA9" w:rsidRDefault="006E6CB9" w:rsidP="00C52E09">
      <w:pPr>
        <w:pStyle w:val="TM-4n"/>
        <w:numPr>
          <w:ilvl w:val="0"/>
          <w:numId w:val="205"/>
        </w:numPr>
        <w:tabs>
          <w:tab w:val="clear" w:pos="720"/>
          <w:tab w:val="clear" w:pos="1134"/>
        </w:tabs>
        <w:spacing w:before="120" w:after="0" w:line="276" w:lineRule="auto"/>
        <w:ind w:left="1440"/>
      </w:pPr>
      <w:r w:rsidRPr="00084EA9">
        <w:t>Notas e precauções: reduzir a dose em doentes com insuficiência renal, garantir uma ingestão adequada de líquidos.</w:t>
      </w:r>
    </w:p>
    <w:p w:rsidR="006E6CB9" w:rsidRPr="00084EA9" w:rsidRDefault="006E6CB9" w:rsidP="00C52E09">
      <w:pPr>
        <w:pStyle w:val="TM-2n"/>
        <w:numPr>
          <w:ilvl w:val="1"/>
          <w:numId w:val="291"/>
        </w:numPr>
        <w:spacing w:before="120" w:after="0" w:line="276" w:lineRule="auto"/>
        <w:ind w:left="450" w:hanging="450"/>
        <w:rPr>
          <w:b/>
        </w:rPr>
      </w:pPr>
      <w:r w:rsidRPr="00084EA9">
        <w:rPr>
          <w:b/>
        </w:rPr>
        <w:t>Anti-retrovirais</w:t>
      </w:r>
    </w:p>
    <w:p w:rsidR="006E6CB9" w:rsidRPr="00084EA9" w:rsidRDefault="006E6CB9" w:rsidP="006E6CB9">
      <w:pPr>
        <w:pStyle w:val="TM-2n"/>
        <w:numPr>
          <w:ilvl w:val="0"/>
          <w:numId w:val="0"/>
        </w:numPr>
        <w:spacing w:before="120" w:after="0" w:line="276" w:lineRule="auto"/>
        <w:ind w:left="450"/>
      </w:pPr>
      <w:r w:rsidRPr="00084EA9">
        <w:t xml:space="preserve">Os Anti-retrovirais (ARV’s) são fármacos usados no tratamento da infecção pelo HIV e actuam através da inibição enzimática. Sendo assim, os inibidores enzimáticos existentes em Moçambique são: </w:t>
      </w:r>
    </w:p>
    <w:p w:rsidR="006E6CB9" w:rsidRPr="00084EA9" w:rsidRDefault="006E6CB9" w:rsidP="001B4CDC">
      <w:pPr>
        <w:pStyle w:val="TM-3n"/>
        <w:numPr>
          <w:ilvl w:val="0"/>
          <w:numId w:val="0"/>
        </w:numPr>
        <w:tabs>
          <w:tab w:val="clear" w:pos="1276"/>
          <w:tab w:val="left" w:pos="450"/>
        </w:tabs>
        <w:spacing w:before="120" w:after="0" w:line="276" w:lineRule="auto"/>
        <w:ind w:left="360"/>
        <w:rPr>
          <w:b/>
        </w:rPr>
      </w:pPr>
      <w:r w:rsidRPr="00AD66DD">
        <w:rPr>
          <w:b/>
        </w:rPr>
        <w:t>3.2.1</w:t>
      </w:r>
      <w:r w:rsidRPr="00084EA9">
        <w:t xml:space="preserve"> </w:t>
      </w:r>
      <w:r w:rsidRPr="00084EA9">
        <w:rPr>
          <w:b/>
        </w:rPr>
        <w:t>Inibidores nucleosídicos da transcriptase reversa (INTR)</w:t>
      </w:r>
    </w:p>
    <w:p w:rsidR="006E6CB9" w:rsidRPr="00084EA9" w:rsidRDefault="006E6CB9" w:rsidP="00C52E09">
      <w:pPr>
        <w:pStyle w:val="TM-4n"/>
        <w:numPr>
          <w:ilvl w:val="0"/>
          <w:numId w:val="205"/>
        </w:numPr>
        <w:tabs>
          <w:tab w:val="clear" w:pos="720"/>
          <w:tab w:val="clear" w:pos="1134"/>
        </w:tabs>
        <w:spacing w:after="0" w:line="360" w:lineRule="auto"/>
        <w:ind w:left="1440"/>
      </w:pPr>
      <w:r w:rsidRPr="00084EA9">
        <w:t>Estavudina (D4T)</w:t>
      </w:r>
    </w:p>
    <w:p w:rsidR="006E6CB9" w:rsidRPr="00084EA9" w:rsidRDefault="006E6CB9" w:rsidP="00C52E09">
      <w:pPr>
        <w:pStyle w:val="TM-4n"/>
        <w:numPr>
          <w:ilvl w:val="0"/>
          <w:numId w:val="205"/>
        </w:numPr>
        <w:tabs>
          <w:tab w:val="clear" w:pos="720"/>
          <w:tab w:val="clear" w:pos="1134"/>
        </w:tabs>
        <w:spacing w:after="0" w:line="360" w:lineRule="auto"/>
        <w:ind w:left="1440"/>
      </w:pPr>
      <w:r w:rsidRPr="00084EA9">
        <w:t>Lamivudina (3TC)</w:t>
      </w:r>
    </w:p>
    <w:p w:rsidR="006E6CB9" w:rsidRPr="00084EA9" w:rsidRDefault="006E6CB9" w:rsidP="00C52E09">
      <w:pPr>
        <w:pStyle w:val="TM-4n"/>
        <w:numPr>
          <w:ilvl w:val="0"/>
          <w:numId w:val="205"/>
        </w:numPr>
        <w:tabs>
          <w:tab w:val="clear" w:pos="720"/>
          <w:tab w:val="clear" w:pos="1134"/>
        </w:tabs>
        <w:spacing w:after="0" w:line="360" w:lineRule="auto"/>
        <w:ind w:left="1440"/>
      </w:pPr>
      <w:r w:rsidRPr="00084EA9">
        <w:t>Zidovudina (AZT)</w:t>
      </w:r>
    </w:p>
    <w:p w:rsidR="006E6CB9" w:rsidRPr="00084EA9" w:rsidRDefault="006E6CB9" w:rsidP="00C52E09">
      <w:pPr>
        <w:pStyle w:val="TM-4n"/>
        <w:numPr>
          <w:ilvl w:val="0"/>
          <w:numId w:val="205"/>
        </w:numPr>
        <w:tabs>
          <w:tab w:val="clear" w:pos="720"/>
          <w:tab w:val="clear" w:pos="1134"/>
        </w:tabs>
        <w:spacing w:after="0" w:line="360" w:lineRule="auto"/>
        <w:ind w:left="1440"/>
      </w:pPr>
      <w:r w:rsidRPr="00084EA9">
        <w:t>Abacavir (ABC)</w:t>
      </w:r>
    </w:p>
    <w:p w:rsidR="006E6CB9" w:rsidRPr="00084EA9" w:rsidRDefault="006E6CB9" w:rsidP="00C52E09">
      <w:pPr>
        <w:pStyle w:val="TM-4n"/>
        <w:numPr>
          <w:ilvl w:val="0"/>
          <w:numId w:val="205"/>
        </w:numPr>
        <w:tabs>
          <w:tab w:val="clear" w:pos="720"/>
          <w:tab w:val="clear" w:pos="1134"/>
        </w:tabs>
        <w:spacing w:after="0" w:line="360" w:lineRule="auto"/>
        <w:ind w:left="1440"/>
      </w:pPr>
      <w:r w:rsidRPr="00084EA9">
        <w:t>Tenofovir (TDF)</w:t>
      </w:r>
    </w:p>
    <w:p w:rsidR="006E6CB9" w:rsidRPr="00084EA9" w:rsidRDefault="006E6CB9" w:rsidP="001B4CDC">
      <w:pPr>
        <w:pStyle w:val="TM-3n"/>
        <w:numPr>
          <w:ilvl w:val="0"/>
          <w:numId w:val="0"/>
        </w:numPr>
        <w:tabs>
          <w:tab w:val="clear" w:pos="1276"/>
        </w:tabs>
        <w:spacing w:before="120" w:after="0" w:line="276" w:lineRule="auto"/>
        <w:ind w:left="360"/>
      </w:pPr>
      <w:r w:rsidRPr="00AD66DD">
        <w:rPr>
          <w:b/>
        </w:rPr>
        <w:t>3.2.2</w:t>
      </w:r>
      <w:r w:rsidRPr="00084EA9">
        <w:t xml:space="preserve"> </w:t>
      </w:r>
      <w:r w:rsidRPr="00084EA9">
        <w:rPr>
          <w:b/>
        </w:rPr>
        <w:t>Inibidores não nucleosídicos da transcriptase reversa (INNTR)</w:t>
      </w:r>
    </w:p>
    <w:p w:rsidR="006E6CB9" w:rsidRPr="00084EA9" w:rsidRDefault="006E6CB9" w:rsidP="00C52E09">
      <w:pPr>
        <w:pStyle w:val="TM-4n"/>
        <w:numPr>
          <w:ilvl w:val="0"/>
          <w:numId w:val="205"/>
        </w:numPr>
        <w:tabs>
          <w:tab w:val="clear" w:pos="720"/>
          <w:tab w:val="clear" w:pos="1134"/>
        </w:tabs>
        <w:spacing w:after="0" w:line="360" w:lineRule="auto"/>
        <w:ind w:left="1440"/>
      </w:pPr>
      <w:r w:rsidRPr="00084EA9">
        <w:t>Nevirapina (NVP)</w:t>
      </w:r>
    </w:p>
    <w:p w:rsidR="006E6CB9" w:rsidRDefault="006E6CB9" w:rsidP="00C52E09">
      <w:pPr>
        <w:pStyle w:val="TM-4n"/>
        <w:numPr>
          <w:ilvl w:val="0"/>
          <w:numId w:val="205"/>
        </w:numPr>
        <w:tabs>
          <w:tab w:val="clear" w:pos="720"/>
          <w:tab w:val="clear" w:pos="1134"/>
        </w:tabs>
        <w:spacing w:after="0" w:line="360" w:lineRule="auto"/>
        <w:ind w:left="1440"/>
      </w:pPr>
      <w:r w:rsidRPr="00084EA9">
        <w:t>Efavirenz (EFV)</w:t>
      </w:r>
    </w:p>
    <w:p w:rsidR="006E6CB9" w:rsidRPr="00084EA9" w:rsidRDefault="006E6CB9" w:rsidP="001B4CDC">
      <w:pPr>
        <w:pStyle w:val="TM-2n"/>
        <w:numPr>
          <w:ilvl w:val="0"/>
          <w:numId w:val="0"/>
        </w:numPr>
        <w:spacing w:after="0" w:line="276" w:lineRule="auto"/>
        <w:ind w:left="360"/>
        <w:rPr>
          <w:b/>
        </w:rPr>
      </w:pPr>
      <w:r w:rsidRPr="00AD66DD">
        <w:rPr>
          <w:b/>
        </w:rPr>
        <w:t>3.2.3</w:t>
      </w:r>
      <w:r w:rsidRPr="00084EA9">
        <w:t xml:space="preserve"> </w:t>
      </w:r>
      <w:r w:rsidRPr="00084EA9">
        <w:rPr>
          <w:b/>
        </w:rPr>
        <w:t>Inibidores da Proteases</w:t>
      </w:r>
    </w:p>
    <w:p w:rsidR="006E6CB9" w:rsidRPr="00084EA9" w:rsidRDefault="006E6CB9" w:rsidP="00C52E09">
      <w:pPr>
        <w:pStyle w:val="TM-2n"/>
        <w:numPr>
          <w:ilvl w:val="0"/>
          <w:numId w:val="206"/>
        </w:numPr>
        <w:spacing w:after="0" w:line="360" w:lineRule="auto"/>
      </w:pPr>
      <w:r w:rsidRPr="00084EA9">
        <w:t>Indinavir (IDV)</w:t>
      </w:r>
    </w:p>
    <w:p w:rsidR="006E6CB9" w:rsidRPr="00084EA9" w:rsidRDefault="006E6CB9" w:rsidP="00C52E09">
      <w:pPr>
        <w:pStyle w:val="TM-2n"/>
        <w:numPr>
          <w:ilvl w:val="0"/>
          <w:numId w:val="206"/>
        </w:numPr>
        <w:spacing w:after="0" w:line="360" w:lineRule="auto"/>
      </w:pPr>
      <w:r w:rsidRPr="00084EA9">
        <w:t>Ritonavir (RTV)</w:t>
      </w:r>
    </w:p>
    <w:p w:rsidR="006E6CB9" w:rsidRPr="00084EA9" w:rsidRDefault="006E6CB9" w:rsidP="00C52E09">
      <w:pPr>
        <w:pStyle w:val="TM-2n"/>
        <w:numPr>
          <w:ilvl w:val="0"/>
          <w:numId w:val="206"/>
        </w:numPr>
        <w:spacing w:after="0" w:line="360" w:lineRule="auto"/>
      </w:pPr>
      <w:r w:rsidRPr="00084EA9">
        <w:t>Lopinavir/Ritonavir (LPV/r)</w:t>
      </w:r>
    </w:p>
    <w:p w:rsidR="006E6CB9" w:rsidRPr="00084EA9" w:rsidRDefault="006E6CB9" w:rsidP="00C52E09">
      <w:pPr>
        <w:pStyle w:val="TM-2n"/>
        <w:numPr>
          <w:ilvl w:val="0"/>
          <w:numId w:val="206"/>
        </w:numPr>
        <w:spacing w:after="0" w:line="360" w:lineRule="auto"/>
      </w:pPr>
      <w:r w:rsidRPr="00084EA9">
        <w:t>Saquinavir ( SQV)</w:t>
      </w:r>
    </w:p>
    <w:p w:rsidR="006E6CB9" w:rsidRPr="00084EA9" w:rsidRDefault="006E6CB9" w:rsidP="006E6CB9">
      <w:pPr>
        <w:pStyle w:val="TM-4n"/>
        <w:numPr>
          <w:ilvl w:val="0"/>
          <w:numId w:val="0"/>
        </w:numPr>
        <w:tabs>
          <w:tab w:val="left" w:pos="1559"/>
        </w:tabs>
      </w:pPr>
      <w:r w:rsidRPr="00084EA9">
        <w:t>Estes fármacos e respectivos esquemas de tratamento da infecção por HIV em Moçambique serão abordados na disciplina de avaliação e manejo do paciente com HIV/SIDA</w:t>
      </w:r>
    </w:p>
    <w:p w:rsidR="006E6CB9" w:rsidRPr="00084EA9" w:rsidRDefault="006E6CB9" w:rsidP="006E6CB9">
      <w:pPr>
        <w:pStyle w:val="TM-2n"/>
        <w:numPr>
          <w:ilvl w:val="0"/>
          <w:numId w:val="0"/>
        </w:numPr>
        <w:spacing w:before="120" w:after="0" w:line="276" w:lineRule="auto"/>
        <w:ind w:left="284" w:hanging="284"/>
      </w:pPr>
      <w:r w:rsidRPr="00AD66DD">
        <w:rPr>
          <w:b/>
        </w:rPr>
        <w:t>3.3</w:t>
      </w:r>
      <w:r w:rsidRPr="00084EA9">
        <w:t xml:space="preserve"> </w:t>
      </w:r>
      <w:r w:rsidRPr="00084EA9">
        <w:rPr>
          <w:b/>
        </w:rPr>
        <w:t>Anti-Fúngicos</w:t>
      </w:r>
    </w:p>
    <w:p w:rsidR="006E6CB9" w:rsidRDefault="006E6CB9" w:rsidP="00492F0C">
      <w:pPr>
        <w:pStyle w:val="TM-2n"/>
        <w:numPr>
          <w:ilvl w:val="0"/>
          <w:numId w:val="0"/>
        </w:numPr>
        <w:spacing w:before="120" w:after="0" w:line="276" w:lineRule="auto"/>
      </w:pPr>
      <w:r w:rsidRPr="00084EA9">
        <w:t>Os anti-fúngicos são fármacos usados para o tratamento de infecções causadas por fungos e actuam fundamentalmente através da alteração da membrana celular.</w:t>
      </w:r>
    </w:p>
    <w:p w:rsidR="0096537C" w:rsidRDefault="0096537C" w:rsidP="006E6CB9">
      <w:pPr>
        <w:pStyle w:val="TM-2n"/>
        <w:numPr>
          <w:ilvl w:val="0"/>
          <w:numId w:val="0"/>
        </w:numPr>
        <w:spacing w:before="120" w:after="0" w:line="276" w:lineRule="auto"/>
        <w:ind w:left="284" w:hanging="284"/>
      </w:pPr>
    </w:p>
    <w:p w:rsidR="006E6CB9" w:rsidRDefault="006E6CB9" w:rsidP="006E6CB9">
      <w:pPr>
        <w:pStyle w:val="TM-2n"/>
        <w:numPr>
          <w:ilvl w:val="0"/>
          <w:numId w:val="0"/>
        </w:numPr>
        <w:spacing w:before="120" w:after="0" w:line="276" w:lineRule="auto"/>
        <w:ind w:left="284" w:hanging="284"/>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65"/>
        <w:gridCol w:w="1657"/>
        <w:gridCol w:w="1472"/>
        <w:gridCol w:w="1707"/>
        <w:gridCol w:w="1848"/>
        <w:gridCol w:w="2145"/>
      </w:tblGrid>
      <w:tr w:rsidR="006E6CB9" w:rsidRPr="005F3F7B" w:rsidTr="006E6CB9">
        <w:trPr>
          <w:jc w:val="center"/>
        </w:trPr>
        <w:tc>
          <w:tcPr>
            <w:tcW w:w="753" w:type="pct"/>
          </w:tcPr>
          <w:p w:rsidR="006E6CB9" w:rsidRPr="005F3F7B" w:rsidRDefault="006E6CB9" w:rsidP="008E3E9B">
            <w:pPr>
              <w:spacing w:after="0" w:line="240" w:lineRule="auto"/>
              <w:rPr>
                <w:rFonts w:eastAsia="Calibri" w:cs="Arial"/>
                <w:b/>
                <w:sz w:val="20"/>
                <w:szCs w:val="20"/>
              </w:rPr>
            </w:pPr>
            <w:r w:rsidRPr="005F3F7B">
              <w:rPr>
                <w:rFonts w:eastAsia="Calibri" w:cs="Arial"/>
                <w:b/>
                <w:sz w:val="20"/>
                <w:szCs w:val="20"/>
              </w:rPr>
              <w:t>Anti-fúngico</w:t>
            </w:r>
          </w:p>
        </w:tc>
        <w:tc>
          <w:tcPr>
            <w:tcW w:w="797" w:type="pct"/>
          </w:tcPr>
          <w:p w:rsidR="006E6CB9" w:rsidRPr="005F3F7B" w:rsidRDefault="006E6CB9" w:rsidP="008E3E9B">
            <w:pPr>
              <w:spacing w:after="0" w:line="240" w:lineRule="auto"/>
              <w:rPr>
                <w:rFonts w:eastAsia="Calibri" w:cs="Arial"/>
                <w:b/>
                <w:sz w:val="20"/>
                <w:szCs w:val="20"/>
                <w:lang w:val="pt-BR"/>
              </w:rPr>
            </w:pPr>
            <w:r w:rsidRPr="005F3F7B">
              <w:rPr>
                <w:rFonts w:eastAsia="Calibri" w:cs="Arial"/>
                <w:b/>
                <w:sz w:val="20"/>
                <w:szCs w:val="20"/>
                <w:lang w:val="pt-BR"/>
              </w:rPr>
              <w:t>Forma farmacêutica e via de adminstração</w:t>
            </w:r>
          </w:p>
        </w:tc>
        <w:tc>
          <w:tcPr>
            <w:tcW w:w="708" w:type="pct"/>
          </w:tcPr>
          <w:p w:rsidR="006E6CB9" w:rsidRPr="005F3F7B" w:rsidRDefault="006E6CB9" w:rsidP="008E3E9B">
            <w:pPr>
              <w:spacing w:after="0" w:line="240" w:lineRule="auto"/>
              <w:rPr>
                <w:rFonts w:eastAsia="Calibri" w:cs="Arial"/>
                <w:b/>
                <w:sz w:val="20"/>
                <w:szCs w:val="20"/>
              </w:rPr>
            </w:pPr>
            <w:r w:rsidRPr="005F3F7B">
              <w:rPr>
                <w:rFonts w:eastAsia="Calibri" w:cs="Arial"/>
                <w:b/>
                <w:sz w:val="20"/>
                <w:szCs w:val="20"/>
              </w:rPr>
              <w:t>Mecanismo de acção</w:t>
            </w:r>
          </w:p>
        </w:tc>
        <w:tc>
          <w:tcPr>
            <w:tcW w:w="821" w:type="pct"/>
          </w:tcPr>
          <w:p w:rsidR="006E6CB9" w:rsidRPr="005F3F7B" w:rsidRDefault="006E6CB9" w:rsidP="008E3E9B">
            <w:pPr>
              <w:spacing w:after="0" w:line="240" w:lineRule="auto"/>
              <w:rPr>
                <w:rFonts w:eastAsia="Calibri" w:cs="Arial"/>
                <w:b/>
                <w:sz w:val="20"/>
                <w:szCs w:val="20"/>
              </w:rPr>
            </w:pPr>
            <w:r w:rsidRPr="005F3F7B">
              <w:rPr>
                <w:rFonts w:eastAsia="Calibri" w:cs="Arial"/>
                <w:b/>
                <w:sz w:val="20"/>
                <w:szCs w:val="20"/>
              </w:rPr>
              <w:t>Indicações</w:t>
            </w:r>
          </w:p>
        </w:tc>
        <w:tc>
          <w:tcPr>
            <w:tcW w:w="889" w:type="pct"/>
          </w:tcPr>
          <w:p w:rsidR="006E6CB9" w:rsidRPr="005F3F7B" w:rsidRDefault="006E6CB9" w:rsidP="008E3E9B">
            <w:pPr>
              <w:spacing w:after="0" w:line="240" w:lineRule="auto"/>
              <w:rPr>
                <w:rFonts w:eastAsia="Calibri" w:cs="Arial"/>
                <w:b/>
                <w:sz w:val="20"/>
                <w:szCs w:val="20"/>
              </w:rPr>
            </w:pPr>
            <w:r w:rsidRPr="005F3F7B">
              <w:rPr>
                <w:rFonts w:eastAsia="Calibri" w:cs="Arial"/>
                <w:b/>
                <w:sz w:val="20"/>
                <w:szCs w:val="20"/>
              </w:rPr>
              <w:t>Doses</w:t>
            </w:r>
          </w:p>
        </w:tc>
        <w:tc>
          <w:tcPr>
            <w:tcW w:w="1032" w:type="pct"/>
          </w:tcPr>
          <w:p w:rsidR="006E6CB9" w:rsidRPr="005F3F7B" w:rsidRDefault="006E6CB9" w:rsidP="008E3E9B">
            <w:pPr>
              <w:spacing w:after="0" w:line="240" w:lineRule="auto"/>
              <w:rPr>
                <w:rFonts w:eastAsia="Calibri" w:cs="Arial"/>
                <w:b/>
                <w:sz w:val="20"/>
                <w:szCs w:val="20"/>
              </w:rPr>
            </w:pPr>
            <w:r w:rsidRPr="005F3F7B">
              <w:rPr>
                <w:rFonts w:eastAsia="Calibri" w:cs="Arial"/>
                <w:b/>
                <w:sz w:val="20"/>
                <w:szCs w:val="20"/>
              </w:rPr>
              <w:t>Efeitos Secundários</w:t>
            </w:r>
          </w:p>
        </w:tc>
      </w:tr>
      <w:tr w:rsidR="006E6CB9" w:rsidRPr="00FC6E81" w:rsidTr="006E6CB9">
        <w:trPr>
          <w:jc w:val="center"/>
        </w:trPr>
        <w:tc>
          <w:tcPr>
            <w:tcW w:w="753" w:type="pct"/>
          </w:tcPr>
          <w:p w:rsidR="006E6CB9" w:rsidRPr="006427FD" w:rsidRDefault="006E6CB9" w:rsidP="008E3E9B">
            <w:pPr>
              <w:spacing w:after="0" w:line="240" w:lineRule="auto"/>
              <w:jc w:val="both"/>
              <w:rPr>
                <w:rFonts w:eastAsia="Calibri" w:cs="Arial"/>
                <w:sz w:val="20"/>
                <w:szCs w:val="20"/>
              </w:rPr>
            </w:pPr>
            <w:r w:rsidRPr="006427FD">
              <w:rPr>
                <w:rFonts w:eastAsia="Calibri" w:cs="Arial"/>
                <w:sz w:val="20"/>
                <w:szCs w:val="20"/>
              </w:rPr>
              <w:t>Clotrimazol</w:t>
            </w:r>
          </w:p>
        </w:tc>
        <w:tc>
          <w:tcPr>
            <w:tcW w:w="797" w:type="pct"/>
          </w:tcPr>
          <w:p w:rsidR="006E6CB9" w:rsidRPr="006E6CB9" w:rsidRDefault="006E6CB9" w:rsidP="008E3E9B">
            <w:pPr>
              <w:spacing w:after="0" w:line="240" w:lineRule="auto"/>
              <w:rPr>
                <w:rFonts w:eastAsia="Calibri" w:cs="Arial"/>
                <w:sz w:val="20"/>
                <w:szCs w:val="20"/>
                <w:lang w:val="pt-BR"/>
              </w:rPr>
            </w:pPr>
            <w:r w:rsidRPr="006E6CB9">
              <w:rPr>
                <w:rFonts w:eastAsia="Calibri" w:cs="Arial"/>
                <w:sz w:val="20"/>
                <w:szCs w:val="20"/>
                <w:lang w:val="pt-BR"/>
              </w:rPr>
              <w:t>Creme vaginal, óvulos vaginais, creme para uso externo e loção.</w:t>
            </w:r>
          </w:p>
          <w:p w:rsidR="006E6CB9" w:rsidRPr="006E6CB9" w:rsidRDefault="006E6CB9" w:rsidP="008E3E9B">
            <w:pPr>
              <w:spacing w:after="0" w:line="240" w:lineRule="auto"/>
              <w:rPr>
                <w:rFonts w:eastAsia="Calibri" w:cs="Arial"/>
                <w:sz w:val="20"/>
                <w:szCs w:val="20"/>
                <w:lang w:val="pt-BR"/>
              </w:rPr>
            </w:pPr>
            <w:r w:rsidRPr="006E6CB9">
              <w:rPr>
                <w:rFonts w:eastAsia="Calibri" w:cs="Arial"/>
                <w:sz w:val="20"/>
                <w:szCs w:val="20"/>
                <w:lang w:val="pt-BR"/>
              </w:rPr>
              <w:t>Por via tópica vaginal, tópica cutânea, tópica ungueal</w:t>
            </w:r>
          </w:p>
        </w:tc>
        <w:tc>
          <w:tcPr>
            <w:tcW w:w="708" w:type="pct"/>
          </w:tcPr>
          <w:p w:rsidR="006E6CB9" w:rsidRPr="006427FD" w:rsidRDefault="006E6CB9" w:rsidP="008E3E9B">
            <w:pPr>
              <w:spacing w:after="0" w:line="240" w:lineRule="auto"/>
              <w:rPr>
                <w:rFonts w:eastAsia="Calibri" w:cs="Arial"/>
                <w:sz w:val="20"/>
                <w:szCs w:val="20"/>
                <w:lang w:val="pt-BR"/>
              </w:rPr>
            </w:pPr>
            <w:r w:rsidRPr="006427FD">
              <w:rPr>
                <w:rFonts w:eastAsia="Calibri" w:cs="Arial"/>
                <w:sz w:val="20"/>
                <w:szCs w:val="20"/>
                <w:lang w:val="pt-BR"/>
              </w:rPr>
              <w:t>Actua por inibição da formação da membrana celular nos fungos (interfere na síntese dos esteróis).</w:t>
            </w:r>
          </w:p>
        </w:tc>
        <w:tc>
          <w:tcPr>
            <w:tcW w:w="821" w:type="pct"/>
          </w:tcPr>
          <w:p w:rsidR="006E6CB9" w:rsidRPr="006427FD" w:rsidRDefault="006E6CB9" w:rsidP="008E3E9B">
            <w:pPr>
              <w:spacing w:after="0" w:line="240" w:lineRule="auto"/>
              <w:rPr>
                <w:rFonts w:eastAsia="Calibri" w:cs="Arial"/>
                <w:sz w:val="20"/>
                <w:szCs w:val="20"/>
                <w:lang w:val="pt-BR"/>
              </w:rPr>
            </w:pPr>
            <w:r w:rsidRPr="006E6CB9">
              <w:rPr>
                <w:rFonts w:eastAsia="Calibri" w:cs="Arial"/>
                <w:sz w:val="20"/>
                <w:szCs w:val="20"/>
                <w:lang w:val="pt-BR"/>
              </w:rPr>
              <w:t>Candidíase vulvovaginal, cutânea, Dermatofitoses, pitiríase versicolor</w:t>
            </w:r>
          </w:p>
        </w:tc>
        <w:tc>
          <w:tcPr>
            <w:tcW w:w="889" w:type="pct"/>
          </w:tcPr>
          <w:p w:rsidR="006E6CB9" w:rsidRPr="006427FD" w:rsidRDefault="006E6CB9" w:rsidP="008E3E9B">
            <w:pPr>
              <w:spacing w:after="0" w:line="240" w:lineRule="auto"/>
              <w:rPr>
                <w:rFonts w:eastAsia="Calibri" w:cs="Arial"/>
                <w:sz w:val="20"/>
                <w:szCs w:val="20"/>
                <w:lang w:val="pt-BR"/>
              </w:rPr>
            </w:pPr>
            <w:r w:rsidRPr="006427FD">
              <w:rPr>
                <w:rFonts w:eastAsia="Calibri" w:cs="Arial"/>
                <w:sz w:val="20"/>
                <w:szCs w:val="20"/>
                <w:lang w:val="pt-BR"/>
              </w:rPr>
              <w:t>A dose recomendada é 100-200 mg em aplicação tópica vaginal (creme ou óvulo vaginal)</w:t>
            </w:r>
          </w:p>
        </w:tc>
        <w:tc>
          <w:tcPr>
            <w:tcW w:w="1032" w:type="pct"/>
          </w:tcPr>
          <w:p w:rsidR="006E6CB9" w:rsidRPr="006427FD" w:rsidRDefault="006E6CB9" w:rsidP="008E3E9B">
            <w:pPr>
              <w:spacing w:after="0" w:line="240" w:lineRule="auto"/>
              <w:rPr>
                <w:rFonts w:eastAsia="Calibri" w:cs="Arial"/>
                <w:sz w:val="20"/>
                <w:szCs w:val="20"/>
                <w:lang w:val="pt-BR"/>
              </w:rPr>
            </w:pPr>
            <w:r w:rsidRPr="006E6CB9">
              <w:rPr>
                <w:rFonts w:eastAsia="Calibri" w:cs="Arial"/>
                <w:sz w:val="20"/>
                <w:szCs w:val="20"/>
                <w:lang w:val="pt-BR"/>
              </w:rPr>
              <w:t>Geralmente bem tolerado, podendo surgir irritação local ligeira</w:t>
            </w:r>
          </w:p>
        </w:tc>
      </w:tr>
      <w:tr w:rsidR="006E6CB9" w:rsidRPr="006427FD" w:rsidTr="006E6CB9">
        <w:trPr>
          <w:jc w:val="center"/>
        </w:trPr>
        <w:tc>
          <w:tcPr>
            <w:tcW w:w="753" w:type="pct"/>
          </w:tcPr>
          <w:p w:rsidR="006E6CB9" w:rsidRPr="006427FD" w:rsidRDefault="006E6CB9" w:rsidP="008E3E9B">
            <w:pPr>
              <w:spacing w:after="0" w:line="240" w:lineRule="auto"/>
              <w:jc w:val="both"/>
              <w:rPr>
                <w:rFonts w:eastAsia="Calibri" w:cs="Arial"/>
                <w:sz w:val="20"/>
                <w:szCs w:val="20"/>
              </w:rPr>
            </w:pPr>
            <w:r w:rsidRPr="006427FD">
              <w:rPr>
                <w:rFonts w:eastAsia="Calibri" w:cs="Arial"/>
                <w:sz w:val="20"/>
                <w:szCs w:val="20"/>
              </w:rPr>
              <w:t>Nistatina</w:t>
            </w:r>
          </w:p>
        </w:tc>
        <w:tc>
          <w:tcPr>
            <w:tcW w:w="797" w:type="pct"/>
          </w:tcPr>
          <w:p w:rsidR="006E6CB9" w:rsidRPr="006E6CB9" w:rsidRDefault="006E6CB9" w:rsidP="008E3E9B">
            <w:pPr>
              <w:spacing w:after="0" w:line="240" w:lineRule="auto"/>
              <w:rPr>
                <w:rFonts w:eastAsia="Calibri" w:cs="Arial"/>
                <w:sz w:val="20"/>
                <w:szCs w:val="20"/>
                <w:lang w:val="pt-BR"/>
              </w:rPr>
            </w:pPr>
            <w:r w:rsidRPr="006E6CB9">
              <w:rPr>
                <w:rFonts w:eastAsia="Calibri" w:cs="Arial"/>
                <w:sz w:val="20"/>
                <w:szCs w:val="20"/>
                <w:lang w:val="pt-BR"/>
              </w:rPr>
              <w:t xml:space="preserve">Comprimidos vaginais, creme vaginal e suspensão </w:t>
            </w:r>
          </w:p>
          <w:p w:rsidR="006E6CB9" w:rsidRPr="006427FD" w:rsidRDefault="006E6CB9" w:rsidP="008E3E9B">
            <w:pPr>
              <w:spacing w:after="0" w:line="240" w:lineRule="auto"/>
              <w:rPr>
                <w:rFonts w:eastAsia="Calibri" w:cs="Arial"/>
                <w:sz w:val="20"/>
                <w:szCs w:val="20"/>
              </w:rPr>
            </w:pPr>
            <w:r w:rsidRPr="006427FD">
              <w:rPr>
                <w:rFonts w:eastAsia="Calibri" w:cs="Arial"/>
                <w:sz w:val="20"/>
                <w:szCs w:val="20"/>
              </w:rPr>
              <w:t>Por via tópica vaginal, oral</w:t>
            </w:r>
          </w:p>
          <w:p w:rsidR="006E6CB9" w:rsidRPr="006427FD" w:rsidRDefault="006E6CB9" w:rsidP="008E3E9B">
            <w:pPr>
              <w:spacing w:after="0" w:line="240" w:lineRule="auto"/>
              <w:rPr>
                <w:rFonts w:eastAsia="Calibri" w:cs="Arial"/>
                <w:sz w:val="20"/>
                <w:szCs w:val="20"/>
              </w:rPr>
            </w:pPr>
          </w:p>
        </w:tc>
        <w:tc>
          <w:tcPr>
            <w:tcW w:w="708" w:type="pct"/>
          </w:tcPr>
          <w:p w:rsidR="006E6CB9" w:rsidRPr="006427FD" w:rsidRDefault="006E6CB9" w:rsidP="008E3E9B">
            <w:pPr>
              <w:spacing w:after="0" w:line="240" w:lineRule="auto"/>
              <w:rPr>
                <w:rFonts w:eastAsia="Calibri" w:cs="Arial"/>
                <w:sz w:val="20"/>
                <w:szCs w:val="20"/>
                <w:lang w:val="pt-BR"/>
              </w:rPr>
            </w:pPr>
            <w:r w:rsidRPr="006427FD">
              <w:rPr>
                <w:rFonts w:eastAsia="Calibri" w:cs="Arial"/>
                <w:sz w:val="20"/>
                <w:szCs w:val="20"/>
                <w:lang w:val="pt-BR"/>
              </w:rPr>
              <w:t>Actua por alteração da membrana celular dos fungos</w:t>
            </w:r>
          </w:p>
        </w:tc>
        <w:tc>
          <w:tcPr>
            <w:tcW w:w="821" w:type="pct"/>
          </w:tcPr>
          <w:p w:rsidR="006E6CB9" w:rsidRPr="006427FD" w:rsidRDefault="006E6CB9" w:rsidP="008E3E9B">
            <w:pPr>
              <w:spacing w:after="0" w:line="240" w:lineRule="auto"/>
              <w:rPr>
                <w:rFonts w:eastAsia="Calibri" w:cs="Arial"/>
                <w:sz w:val="20"/>
                <w:szCs w:val="20"/>
                <w:lang w:val="pt-BR"/>
              </w:rPr>
            </w:pPr>
            <w:r w:rsidRPr="006E6CB9">
              <w:rPr>
                <w:rFonts w:eastAsia="Calibri" w:cs="Arial"/>
                <w:sz w:val="20"/>
                <w:szCs w:val="20"/>
                <w:lang w:val="pt-BR"/>
              </w:rPr>
              <w:t xml:space="preserve">Infecções  fúngicas orais, intestinais e vaginais, particularmente por </w:t>
            </w:r>
            <w:r w:rsidRPr="006E6CB9">
              <w:rPr>
                <w:rFonts w:eastAsia="Calibri" w:cs="Arial"/>
                <w:i/>
                <w:sz w:val="20"/>
                <w:szCs w:val="20"/>
                <w:lang w:val="pt-BR"/>
              </w:rPr>
              <w:t>Cândida albicans</w:t>
            </w:r>
          </w:p>
        </w:tc>
        <w:tc>
          <w:tcPr>
            <w:tcW w:w="889" w:type="pct"/>
          </w:tcPr>
          <w:p w:rsidR="006E6CB9" w:rsidRPr="006427FD" w:rsidRDefault="006E6CB9" w:rsidP="008E3E9B">
            <w:pPr>
              <w:spacing w:after="0" w:line="240" w:lineRule="auto"/>
              <w:rPr>
                <w:rFonts w:eastAsia="Calibri" w:cs="Arial"/>
                <w:sz w:val="20"/>
                <w:szCs w:val="20"/>
                <w:lang w:val="pt-BR"/>
              </w:rPr>
            </w:pPr>
            <w:r w:rsidRPr="006427FD">
              <w:rPr>
                <w:rFonts w:eastAsia="Calibri" w:cs="Arial"/>
                <w:sz w:val="20"/>
                <w:szCs w:val="20"/>
                <w:lang w:val="pt-BR"/>
              </w:rPr>
              <w:t>A dose recomendada é de 100.000-500.000 UI (unidades internacionais) cada 6 horas</w:t>
            </w:r>
          </w:p>
        </w:tc>
        <w:tc>
          <w:tcPr>
            <w:tcW w:w="1032" w:type="pct"/>
          </w:tcPr>
          <w:p w:rsidR="006E6CB9" w:rsidRPr="006427FD" w:rsidRDefault="006E6CB9" w:rsidP="008E3E9B">
            <w:pPr>
              <w:spacing w:after="0" w:line="240" w:lineRule="auto"/>
              <w:rPr>
                <w:rFonts w:eastAsia="Calibri" w:cs="Arial"/>
                <w:sz w:val="20"/>
                <w:szCs w:val="20"/>
                <w:lang w:val="pt-BR"/>
              </w:rPr>
            </w:pPr>
            <w:r w:rsidRPr="006427FD">
              <w:rPr>
                <w:rFonts w:eastAsia="Calibri" w:cs="Arial"/>
                <w:sz w:val="20"/>
                <w:szCs w:val="20"/>
                <w:lang w:val="pt-BR"/>
              </w:rPr>
              <w:t>G</w:t>
            </w:r>
            <w:r w:rsidRPr="006E6CB9">
              <w:rPr>
                <w:rFonts w:eastAsia="Calibri" w:cs="Arial"/>
                <w:sz w:val="20"/>
                <w:szCs w:val="20"/>
                <w:lang w:val="pt-BR"/>
              </w:rPr>
              <w:t xml:space="preserve">eralmente bem tolerado, porém, pode surgir irritação local nas formas tópicas. </w:t>
            </w:r>
            <w:r w:rsidRPr="006427FD">
              <w:rPr>
                <w:rFonts w:eastAsia="Calibri" w:cs="Arial"/>
                <w:sz w:val="20"/>
                <w:szCs w:val="20"/>
              </w:rPr>
              <w:t>Na forma oral, náuseas, vómitos e diarreia.</w:t>
            </w:r>
          </w:p>
        </w:tc>
      </w:tr>
      <w:tr w:rsidR="006E6CB9" w:rsidRPr="00FC6E81" w:rsidTr="006E6CB9">
        <w:trPr>
          <w:jc w:val="center"/>
        </w:trPr>
        <w:tc>
          <w:tcPr>
            <w:tcW w:w="753" w:type="pct"/>
          </w:tcPr>
          <w:p w:rsidR="006E6CB9" w:rsidRPr="006427FD" w:rsidRDefault="006E6CB9" w:rsidP="008E3E9B">
            <w:pPr>
              <w:spacing w:after="0" w:line="240" w:lineRule="auto"/>
              <w:jc w:val="both"/>
              <w:rPr>
                <w:rFonts w:eastAsia="Calibri" w:cs="Arial"/>
                <w:sz w:val="20"/>
                <w:szCs w:val="20"/>
              </w:rPr>
            </w:pPr>
            <w:r w:rsidRPr="006427FD">
              <w:rPr>
                <w:rFonts w:eastAsia="Calibri" w:cs="Arial"/>
                <w:sz w:val="20"/>
                <w:szCs w:val="20"/>
              </w:rPr>
              <w:t>Miconazol</w:t>
            </w:r>
          </w:p>
        </w:tc>
        <w:tc>
          <w:tcPr>
            <w:tcW w:w="797" w:type="pct"/>
          </w:tcPr>
          <w:p w:rsidR="006E6CB9" w:rsidRPr="006E6CB9" w:rsidRDefault="006E6CB9" w:rsidP="008E3E9B">
            <w:pPr>
              <w:spacing w:after="0" w:line="240" w:lineRule="auto"/>
              <w:rPr>
                <w:rFonts w:cs="Arial"/>
                <w:sz w:val="20"/>
                <w:szCs w:val="20"/>
                <w:lang w:val="pt-BR"/>
              </w:rPr>
            </w:pPr>
            <w:r w:rsidRPr="006E6CB9">
              <w:rPr>
                <w:rFonts w:cs="Arial"/>
                <w:sz w:val="20"/>
                <w:szCs w:val="20"/>
                <w:lang w:val="pt-BR"/>
              </w:rPr>
              <w:t>Gel e mucoadesivo</w:t>
            </w:r>
          </w:p>
          <w:p w:rsidR="006E6CB9" w:rsidRPr="006E6CB9" w:rsidRDefault="006E6CB9" w:rsidP="008E3E9B">
            <w:pPr>
              <w:spacing w:after="0" w:line="240" w:lineRule="auto"/>
              <w:rPr>
                <w:rFonts w:cs="Arial"/>
                <w:sz w:val="20"/>
                <w:szCs w:val="20"/>
                <w:lang w:val="pt-BR"/>
              </w:rPr>
            </w:pPr>
            <w:r w:rsidRPr="006E6CB9">
              <w:rPr>
                <w:rFonts w:cs="Arial"/>
                <w:sz w:val="20"/>
                <w:szCs w:val="20"/>
                <w:lang w:val="pt-BR"/>
              </w:rPr>
              <w:t>Por via  tópica</w:t>
            </w:r>
          </w:p>
          <w:p w:rsidR="006E6CB9" w:rsidRPr="006427FD" w:rsidRDefault="006E6CB9" w:rsidP="008E3E9B">
            <w:pPr>
              <w:spacing w:after="0" w:line="240" w:lineRule="auto"/>
              <w:rPr>
                <w:rFonts w:eastAsia="Calibri" w:cs="Arial"/>
                <w:sz w:val="20"/>
                <w:szCs w:val="20"/>
                <w:lang w:val="pt-BR"/>
              </w:rPr>
            </w:pPr>
          </w:p>
        </w:tc>
        <w:tc>
          <w:tcPr>
            <w:tcW w:w="708" w:type="pct"/>
          </w:tcPr>
          <w:p w:rsidR="006E6CB9" w:rsidRPr="006427FD" w:rsidRDefault="006E6CB9" w:rsidP="008E3E9B">
            <w:pPr>
              <w:spacing w:after="0" w:line="240" w:lineRule="auto"/>
              <w:rPr>
                <w:rFonts w:eastAsia="Calibri" w:cs="Arial"/>
                <w:sz w:val="20"/>
                <w:szCs w:val="20"/>
                <w:lang w:val="pt-BR"/>
              </w:rPr>
            </w:pPr>
            <w:r w:rsidRPr="006427FD">
              <w:rPr>
                <w:rFonts w:eastAsia="Calibri" w:cs="Arial"/>
                <w:sz w:val="20"/>
                <w:szCs w:val="20"/>
                <w:lang w:val="pt-BR"/>
              </w:rPr>
              <w:t>Actua por inibição da formação da membrana celular nos fungos (interfere na síntese dos esteróis)</w:t>
            </w:r>
          </w:p>
        </w:tc>
        <w:tc>
          <w:tcPr>
            <w:tcW w:w="821" w:type="pct"/>
          </w:tcPr>
          <w:p w:rsidR="006E6CB9" w:rsidRPr="006427FD" w:rsidRDefault="006E6CB9" w:rsidP="008E3E9B">
            <w:pPr>
              <w:spacing w:after="0" w:line="240" w:lineRule="auto"/>
              <w:rPr>
                <w:rFonts w:eastAsia="Calibri" w:cs="Arial"/>
                <w:sz w:val="20"/>
                <w:szCs w:val="20"/>
              </w:rPr>
            </w:pPr>
            <w:r w:rsidRPr="006427FD">
              <w:rPr>
                <w:rFonts w:cs="Arial"/>
                <w:sz w:val="20"/>
                <w:szCs w:val="20"/>
              </w:rPr>
              <w:t xml:space="preserve">Tratamento da candidíase </w:t>
            </w:r>
          </w:p>
        </w:tc>
        <w:tc>
          <w:tcPr>
            <w:tcW w:w="889" w:type="pct"/>
          </w:tcPr>
          <w:p w:rsidR="006E6CB9" w:rsidRPr="006E6CB9" w:rsidRDefault="006E6CB9" w:rsidP="008E3E9B">
            <w:pPr>
              <w:spacing w:after="0" w:line="240" w:lineRule="auto"/>
              <w:rPr>
                <w:rFonts w:eastAsia="Calibri" w:cs="Arial"/>
                <w:sz w:val="20"/>
                <w:szCs w:val="20"/>
                <w:lang w:val="pt-BR"/>
              </w:rPr>
            </w:pPr>
            <w:r w:rsidRPr="006E6CB9">
              <w:rPr>
                <w:rFonts w:eastAsia="Calibri" w:cs="Arial"/>
                <w:sz w:val="20"/>
                <w:szCs w:val="20"/>
                <w:lang w:val="pt-BR"/>
              </w:rPr>
              <w:t>Gel: Aplicar 2 vezes por dia</w:t>
            </w:r>
          </w:p>
          <w:p w:rsidR="006E6CB9" w:rsidRPr="006E6CB9" w:rsidRDefault="006E6CB9" w:rsidP="008E3E9B">
            <w:pPr>
              <w:spacing w:after="0" w:line="240" w:lineRule="auto"/>
              <w:rPr>
                <w:rFonts w:eastAsia="Calibri" w:cs="Arial"/>
                <w:sz w:val="20"/>
                <w:szCs w:val="20"/>
                <w:lang w:val="pt-BR"/>
              </w:rPr>
            </w:pPr>
            <w:r w:rsidRPr="006E6CB9">
              <w:rPr>
                <w:rFonts w:eastAsia="Calibri" w:cs="Arial"/>
                <w:sz w:val="20"/>
                <w:szCs w:val="20"/>
                <w:lang w:val="pt-BR"/>
              </w:rPr>
              <w:t>Mucoadesivo: Aplicar 1 vez por dia</w:t>
            </w:r>
          </w:p>
        </w:tc>
        <w:tc>
          <w:tcPr>
            <w:tcW w:w="1032" w:type="pct"/>
          </w:tcPr>
          <w:p w:rsidR="006E6CB9" w:rsidRPr="006427FD" w:rsidRDefault="006E6CB9" w:rsidP="008E3E9B">
            <w:pPr>
              <w:spacing w:after="0" w:line="240" w:lineRule="auto"/>
              <w:rPr>
                <w:rFonts w:eastAsia="Calibri" w:cs="Arial"/>
                <w:sz w:val="20"/>
                <w:szCs w:val="20"/>
                <w:lang w:val="pt-BR"/>
              </w:rPr>
            </w:pPr>
            <w:r w:rsidRPr="006E6CB9">
              <w:rPr>
                <w:rFonts w:cs="Arial"/>
                <w:sz w:val="20"/>
                <w:szCs w:val="20"/>
                <w:lang w:val="pt-BR"/>
              </w:rPr>
              <w:t>Geralmente bem tolerado, podendo surgir ligeira iiritação local ou do sistema gastrointestinal</w:t>
            </w:r>
          </w:p>
        </w:tc>
      </w:tr>
      <w:tr w:rsidR="006E6CB9" w:rsidRPr="006427FD" w:rsidTr="006E6CB9">
        <w:trPr>
          <w:jc w:val="center"/>
        </w:trPr>
        <w:tc>
          <w:tcPr>
            <w:tcW w:w="753" w:type="pct"/>
          </w:tcPr>
          <w:p w:rsidR="006E6CB9" w:rsidRPr="006427FD" w:rsidRDefault="006E6CB9" w:rsidP="008E3E9B">
            <w:pPr>
              <w:spacing w:after="0" w:line="240" w:lineRule="auto"/>
              <w:jc w:val="both"/>
              <w:rPr>
                <w:rFonts w:eastAsia="Calibri" w:cs="Arial"/>
                <w:sz w:val="20"/>
                <w:szCs w:val="20"/>
              </w:rPr>
            </w:pPr>
            <w:r w:rsidRPr="006427FD">
              <w:rPr>
                <w:rFonts w:eastAsia="Calibri" w:cs="Arial"/>
                <w:sz w:val="20"/>
                <w:szCs w:val="20"/>
              </w:rPr>
              <w:t>Ketoconazol</w:t>
            </w:r>
          </w:p>
          <w:p w:rsidR="006E6CB9" w:rsidRPr="006427FD" w:rsidRDefault="006E6CB9" w:rsidP="008E3E9B">
            <w:pPr>
              <w:spacing w:after="0" w:line="240" w:lineRule="auto"/>
              <w:jc w:val="both"/>
              <w:rPr>
                <w:rFonts w:eastAsia="Calibri" w:cs="Arial"/>
                <w:sz w:val="20"/>
                <w:szCs w:val="20"/>
              </w:rPr>
            </w:pPr>
            <w:r w:rsidRPr="006427FD">
              <w:rPr>
                <w:rFonts w:eastAsia="Calibri" w:cs="Arial"/>
                <w:sz w:val="20"/>
                <w:szCs w:val="20"/>
              </w:rPr>
              <w:t>(</w:t>
            </w:r>
            <w:r w:rsidRPr="006427FD">
              <w:rPr>
                <w:rFonts w:eastAsia="Calibri" w:cs="Arial"/>
                <w:b/>
                <w:sz w:val="20"/>
                <w:szCs w:val="20"/>
              </w:rPr>
              <w:t>nível 3</w:t>
            </w:r>
            <w:r w:rsidRPr="006427FD">
              <w:rPr>
                <w:rFonts w:eastAsia="Calibri" w:cs="Arial"/>
                <w:sz w:val="20"/>
                <w:szCs w:val="20"/>
              </w:rPr>
              <w:t>)</w:t>
            </w:r>
          </w:p>
        </w:tc>
        <w:tc>
          <w:tcPr>
            <w:tcW w:w="797" w:type="pct"/>
          </w:tcPr>
          <w:p w:rsidR="006E6CB9" w:rsidRPr="006E6CB9" w:rsidRDefault="006E6CB9" w:rsidP="008E3E9B">
            <w:pPr>
              <w:spacing w:after="0" w:line="240" w:lineRule="auto"/>
              <w:rPr>
                <w:rFonts w:cs="Arial"/>
                <w:sz w:val="20"/>
                <w:szCs w:val="20"/>
                <w:lang w:val="pt-BR"/>
              </w:rPr>
            </w:pPr>
            <w:r w:rsidRPr="006E6CB9">
              <w:rPr>
                <w:rFonts w:cs="Arial"/>
                <w:sz w:val="20"/>
                <w:szCs w:val="20"/>
                <w:lang w:val="pt-BR"/>
              </w:rPr>
              <w:t>Comprimidos de 200mg e creme</w:t>
            </w:r>
          </w:p>
          <w:p w:rsidR="006E6CB9" w:rsidRPr="006E6CB9" w:rsidRDefault="006E6CB9" w:rsidP="008E3E9B">
            <w:pPr>
              <w:spacing w:after="0" w:line="240" w:lineRule="auto"/>
              <w:rPr>
                <w:rFonts w:cs="Arial"/>
                <w:sz w:val="20"/>
                <w:szCs w:val="20"/>
                <w:lang w:val="pt-BR"/>
              </w:rPr>
            </w:pPr>
            <w:r w:rsidRPr="006E6CB9">
              <w:rPr>
                <w:rFonts w:cs="Arial"/>
                <w:sz w:val="20"/>
                <w:szCs w:val="20"/>
                <w:lang w:val="pt-BR"/>
              </w:rPr>
              <w:t>Por via oral, tópica cutânea</w:t>
            </w:r>
          </w:p>
          <w:p w:rsidR="006E6CB9" w:rsidRPr="006E6CB9" w:rsidRDefault="006E6CB9" w:rsidP="008E3E9B">
            <w:pPr>
              <w:spacing w:after="0" w:line="240" w:lineRule="auto"/>
              <w:rPr>
                <w:rFonts w:eastAsia="Calibri" w:cs="Arial"/>
                <w:sz w:val="20"/>
                <w:szCs w:val="20"/>
                <w:lang w:val="pt-BR"/>
              </w:rPr>
            </w:pPr>
          </w:p>
        </w:tc>
        <w:tc>
          <w:tcPr>
            <w:tcW w:w="708" w:type="pct"/>
          </w:tcPr>
          <w:p w:rsidR="006E6CB9" w:rsidRPr="006427FD" w:rsidRDefault="006E6CB9" w:rsidP="008E3E9B">
            <w:pPr>
              <w:spacing w:after="0" w:line="240" w:lineRule="auto"/>
              <w:rPr>
                <w:rFonts w:eastAsia="Calibri" w:cs="Arial"/>
                <w:sz w:val="20"/>
                <w:szCs w:val="20"/>
                <w:lang w:val="pt-BR"/>
              </w:rPr>
            </w:pPr>
            <w:r w:rsidRPr="006427FD">
              <w:rPr>
                <w:rFonts w:cs="Arial"/>
                <w:sz w:val="20"/>
                <w:szCs w:val="20"/>
                <w:lang w:val="pt-BR"/>
              </w:rPr>
              <w:t>Actua por inibição da formação da membrana celular nos fungos</w:t>
            </w:r>
          </w:p>
        </w:tc>
        <w:tc>
          <w:tcPr>
            <w:tcW w:w="821" w:type="pct"/>
          </w:tcPr>
          <w:p w:rsidR="006E6CB9" w:rsidRPr="006427FD" w:rsidRDefault="006E6CB9" w:rsidP="008E3E9B">
            <w:pPr>
              <w:spacing w:after="0" w:line="240" w:lineRule="auto"/>
              <w:rPr>
                <w:rFonts w:eastAsia="Calibri" w:cs="Arial"/>
                <w:sz w:val="20"/>
                <w:szCs w:val="20"/>
                <w:lang w:val="pt-BR"/>
              </w:rPr>
            </w:pPr>
            <w:r w:rsidRPr="006E6CB9">
              <w:rPr>
                <w:rFonts w:cs="Arial"/>
                <w:sz w:val="20"/>
                <w:szCs w:val="20"/>
                <w:lang w:val="pt-BR"/>
              </w:rPr>
              <w:t>Micoses  sistêmicas, candidíase mucocutânea, dermatofitoses, pitiríase versicolor, dermatite seborreica</w:t>
            </w:r>
          </w:p>
        </w:tc>
        <w:tc>
          <w:tcPr>
            <w:tcW w:w="889" w:type="pct"/>
          </w:tcPr>
          <w:p w:rsidR="006E6CB9" w:rsidRPr="006427FD" w:rsidRDefault="006E6CB9" w:rsidP="008E3E9B">
            <w:pPr>
              <w:pStyle w:val="TM-4n"/>
              <w:numPr>
                <w:ilvl w:val="0"/>
                <w:numId w:val="0"/>
              </w:numPr>
              <w:spacing w:before="120" w:after="0"/>
              <w:rPr>
                <w:sz w:val="20"/>
              </w:rPr>
            </w:pPr>
            <w:r w:rsidRPr="006427FD">
              <w:rPr>
                <w:sz w:val="20"/>
              </w:rPr>
              <w:t>200 mg por dia.</w:t>
            </w:r>
          </w:p>
          <w:p w:rsidR="006E6CB9" w:rsidRPr="006427FD" w:rsidRDefault="006E6CB9" w:rsidP="008E3E9B">
            <w:pPr>
              <w:spacing w:after="0" w:line="240" w:lineRule="auto"/>
              <w:rPr>
                <w:rFonts w:eastAsia="Calibri" w:cs="Arial"/>
                <w:sz w:val="20"/>
                <w:szCs w:val="20"/>
                <w:lang w:val="pt-BR"/>
              </w:rPr>
            </w:pPr>
          </w:p>
        </w:tc>
        <w:tc>
          <w:tcPr>
            <w:tcW w:w="1032" w:type="pct"/>
          </w:tcPr>
          <w:p w:rsidR="006E6CB9" w:rsidRPr="006427FD" w:rsidRDefault="006E6CB9" w:rsidP="008E3E9B">
            <w:pPr>
              <w:spacing w:after="0" w:line="240" w:lineRule="auto"/>
              <w:rPr>
                <w:rFonts w:eastAsia="Calibri" w:cs="Arial"/>
                <w:sz w:val="20"/>
                <w:szCs w:val="20"/>
                <w:lang w:val="pt-BR"/>
              </w:rPr>
            </w:pPr>
            <w:r w:rsidRPr="006E6CB9">
              <w:rPr>
                <w:rFonts w:cs="Arial"/>
                <w:sz w:val="20"/>
                <w:szCs w:val="20"/>
                <w:lang w:val="pt-BR"/>
              </w:rPr>
              <w:t xml:space="preserve">A via oral pode provocar distúrbios gastrointestinais (anorexia, náusea, vómitos, dor abdominal), prurido, erupção cutânea, convulsões, lesão hepática grave. </w:t>
            </w:r>
            <w:r w:rsidRPr="006427FD">
              <w:rPr>
                <w:rFonts w:cs="Arial"/>
                <w:sz w:val="20"/>
                <w:szCs w:val="20"/>
              </w:rPr>
              <w:t>A via tópica pode ocasionar raramente irritação local</w:t>
            </w:r>
          </w:p>
        </w:tc>
      </w:tr>
      <w:tr w:rsidR="006E6CB9" w:rsidRPr="00FC6E81" w:rsidTr="006E6CB9">
        <w:trPr>
          <w:jc w:val="center"/>
        </w:trPr>
        <w:tc>
          <w:tcPr>
            <w:tcW w:w="753" w:type="pct"/>
          </w:tcPr>
          <w:p w:rsidR="006E6CB9" w:rsidRPr="006427FD" w:rsidRDefault="006E6CB9" w:rsidP="008E3E9B">
            <w:pPr>
              <w:spacing w:after="0" w:line="240" w:lineRule="auto"/>
              <w:jc w:val="both"/>
              <w:rPr>
                <w:rFonts w:eastAsia="Calibri" w:cs="Arial"/>
                <w:sz w:val="20"/>
                <w:szCs w:val="20"/>
              </w:rPr>
            </w:pPr>
            <w:r w:rsidRPr="006427FD">
              <w:rPr>
                <w:rFonts w:eastAsia="Calibri" w:cs="Arial"/>
                <w:sz w:val="20"/>
                <w:szCs w:val="20"/>
              </w:rPr>
              <w:t>Fluconazol</w:t>
            </w:r>
          </w:p>
          <w:p w:rsidR="006E6CB9" w:rsidRPr="006427FD" w:rsidRDefault="006E6CB9" w:rsidP="008E3E9B">
            <w:pPr>
              <w:spacing w:after="0" w:line="240" w:lineRule="auto"/>
              <w:jc w:val="both"/>
              <w:rPr>
                <w:rFonts w:eastAsia="Calibri" w:cs="Arial"/>
                <w:sz w:val="20"/>
                <w:szCs w:val="20"/>
              </w:rPr>
            </w:pPr>
            <w:r w:rsidRPr="006427FD">
              <w:rPr>
                <w:rFonts w:eastAsia="Calibri" w:cs="Arial"/>
                <w:sz w:val="20"/>
                <w:szCs w:val="20"/>
              </w:rPr>
              <w:t>(</w:t>
            </w:r>
            <w:r w:rsidRPr="006427FD">
              <w:rPr>
                <w:rFonts w:eastAsia="Calibri" w:cs="Arial"/>
                <w:b/>
                <w:sz w:val="20"/>
                <w:szCs w:val="20"/>
              </w:rPr>
              <w:t>nível 3</w:t>
            </w:r>
            <w:r w:rsidRPr="006427FD">
              <w:rPr>
                <w:rFonts w:eastAsia="Calibri" w:cs="Arial"/>
                <w:sz w:val="20"/>
                <w:szCs w:val="20"/>
              </w:rPr>
              <w:t>)</w:t>
            </w:r>
          </w:p>
        </w:tc>
        <w:tc>
          <w:tcPr>
            <w:tcW w:w="797" w:type="pct"/>
          </w:tcPr>
          <w:p w:rsidR="006E6CB9" w:rsidRPr="006E6CB9" w:rsidRDefault="006E6CB9" w:rsidP="008E3E9B">
            <w:pPr>
              <w:spacing w:after="0" w:line="240" w:lineRule="auto"/>
              <w:rPr>
                <w:rFonts w:cs="Arial"/>
                <w:sz w:val="20"/>
                <w:szCs w:val="20"/>
                <w:lang w:val="pt-BR"/>
              </w:rPr>
            </w:pPr>
            <w:r w:rsidRPr="006E6CB9">
              <w:rPr>
                <w:rFonts w:cs="Arial"/>
                <w:sz w:val="20"/>
                <w:szCs w:val="20"/>
                <w:lang w:val="pt-BR"/>
              </w:rPr>
              <w:t>Comprimidos de 50mg, 200mg, injectável</w:t>
            </w:r>
          </w:p>
          <w:p w:rsidR="006E6CB9" w:rsidRPr="006427FD" w:rsidRDefault="006E6CB9" w:rsidP="008E3E9B">
            <w:pPr>
              <w:spacing w:after="0" w:line="240" w:lineRule="auto"/>
              <w:rPr>
                <w:rFonts w:eastAsia="Calibri" w:cs="Arial"/>
                <w:sz w:val="20"/>
                <w:szCs w:val="20"/>
                <w:lang w:val="pt-BR"/>
              </w:rPr>
            </w:pPr>
            <w:r w:rsidRPr="006E6CB9">
              <w:rPr>
                <w:rFonts w:cs="Arial"/>
                <w:sz w:val="20"/>
                <w:szCs w:val="20"/>
                <w:lang w:val="pt-BR"/>
              </w:rPr>
              <w:t>Por via oral, EV</w:t>
            </w:r>
          </w:p>
        </w:tc>
        <w:tc>
          <w:tcPr>
            <w:tcW w:w="708" w:type="pct"/>
          </w:tcPr>
          <w:p w:rsidR="006E6CB9" w:rsidRPr="006427FD" w:rsidRDefault="006E6CB9" w:rsidP="008E3E9B">
            <w:pPr>
              <w:spacing w:after="0" w:line="240" w:lineRule="auto"/>
              <w:rPr>
                <w:rFonts w:eastAsia="Calibri" w:cs="Arial"/>
                <w:sz w:val="20"/>
                <w:szCs w:val="20"/>
                <w:lang w:val="pt-BR"/>
              </w:rPr>
            </w:pPr>
            <w:r w:rsidRPr="006427FD">
              <w:rPr>
                <w:rFonts w:cs="Arial"/>
                <w:sz w:val="20"/>
                <w:szCs w:val="20"/>
                <w:lang w:val="pt-BR"/>
              </w:rPr>
              <w:t>Actua por inibição da formação da membrana celular nos fungos</w:t>
            </w:r>
          </w:p>
        </w:tc>
        <w:tc>
          <w:tcPr>
            <w:tcW w:w="821" w:type="pct"/>
          </w:tcPr>
          <w:p w:rsidR="006E6CB9" w:rsidRPr="006427FD" w:rsidRDefault="006E6CB9" w:rsidP="008E3E9B">
            <w:pPr>
              <w:spacing w:after="0" w:line="240" w:lineRule="auto"/>
              <w:rPr>
                <w:rFonts w:eastAsia="Calibri" w:cs="Arial"/>
                <w:sz w:val="20"/>
                <w:szCs w:val="20"/>
                <w:lang w:val="pt-BR"/>
              </w:rPr>
            </w:pPr>
            <w:r w:rsidRPr="006E6CB9">
              <w:rPr>
                <w:rFonts w:cs="Arial"/>
                <w:sz w:val="20"/>
                <w:szCs w:val="20"/>
                <w:lang w:val="pt-BR"/>
              </w:rPr>
              <w:t>Candidíase orofaríngea, esofágica, vaginal e sistémica, meningite criptocócica, outras micoses sistémicas (histoplasmose)</w:t>
            </w:r>
          </w:p>
        </w:tc>
        <w:tc>
          <w:tcPr>
            <w:tcW w:w="889" w:type="pct"/>
          </w:tcPr>
          <w:p w:rsidR="006E6CB9" w:rsidRPr="006427FD" w:rsidRDefault="006E6CB9" w:rsidP="008E3E9B">
            <w:pPr>
              <w:pStyle w:val="TM-4n"/>
              <w:numPr>
                <w:ilvl w:val="0"/>
                <w:numId w:val="0"/>
              </w:numPr>
              <w:spacing w:before="120" w:after="0"/>
              <w:rPr>
                <w:sz w:val="20"/>
              </w:rPr>
            </w:pPr>
            <w:r w:rsidRPr="006427FD">
              <w:rPr>
                <w:sz w:val="20"/>
              </w:rPr>
              <w:t>100-200 mg por dia.</w:t>
            </w:r>
          </w:p>
          <w:p w:rsidR="006E6CB9" w:rsidRPr="006427FD" w:rsidRDefault="006E6CB9" w:rsidP="008E3E9B">
            <w:pPr>
              <w:pStyle w:val="TM-4n"/>
              <w:numPr>
                <w:ilvl w:val="0"/>
                <w:numId w:val="0"/>
              </w:numPr>
              <w:spacing w:before="120" w:after="0"/>
              <w:rPr>
                <w:sz w:val="20"/>
              </w:rPr>
            </w:pPr>
          </w:p>
          <w:p w:rsidR="006E6CB9" w:rsidRPr="006427FD" w:rsidRDefault="006E6CB9" w:rsidP="008E3E9B">
            <w:pPr>
              <w:spacing w:after="0" w:line="240" w:lineRule="auto"/>
              <w:rPr>
                <w:rFonts w:eastAsia="Calibri" w:cs="Arial"/>
                <w:sz w:val="20"/>
                <w:szCs w:val="20"/>
              </w:rPr>
            </w:pPr>
          </w:p>
        </w:tc>
        <w:tc>
          <w:tcPr>
            <w:tcW w:w="1032" w:type="pct"/>
          </w:tcPr>
          <w:p w:rsidR="006E6CB9" w:rsidRPr="006427FD" w:rsidRDefault="006E6CB9" w:rsidP="008E3E9B">
            <w:pPr>
              <w:spacing w:after="0" w:line="240" w:lineRule="auto"/>
              <w:rPr>
                <w:rFonts w:eastAsia="Calibri" w:cs="Arial"/>
                <w:sz w:val="20"/>
                <w:szCs w:val="20"/>
                <w:lang w:val="pt-BR"/>
              </w:rPr>
            </w:pPr>
            <w:r w:rsidRPr="006E6CB9">
              <w:rPr>
                <w:rFonts w:cs="Arial"/>
                <w:sz w:val="20"/>
                <w:szCs w:val="20"/>
                <w:lang w:val="pt-BR"/>
              </w:rPr>
              <w:t>Distúrbios gastrointestinais (dor abdominal, náuseas, vómitos, diarreia, flatulência, distúrbios no paladar), cefaleia, erupção cutânea, elevação das enzimas hepáticas</w:t>
            </w:r>
          </w:p>
        </w:tc>
      </w:tr>
      <w:tr w:rsidR="006E6CB9" w:rsidRPr="00FC6E81" w:rsidTr="006E6CB9">
        <w:trPr>
          <w:jc w:val="center"/>
        </w:trPr>
        <w:tc>
          <w:tcPr>
            <w:tcW w:w="753" w:type="pct"/>
          </w:tcPr>
          <w:p w:rsidR="006E6CB9" w:rsidRPr="006427FD" w:rsidRDefault="006E6CB9" w:rsidP="008E3E9B">
            <w:pPr>
              <w:spacing w:after="0" w:line="240" w:lineRule="auto"/>
              <w:jc w:val="both"/>
              <w:rPr>
                <w:rFonts w:eastAsia="Calibri" w:cs="Arial"/>
                <w:sz w:val="20"/>
                <w:szCs w:val="20"/>
              </w:rPr>
            </w:pPr>
            <w:r w:rsidRPr="006427FD">
              <w:rPr>
                <w:rFonts w:eastAsia="Calibri" w:cs="Arial"/>
                <w:sz w:val="20"/>
                <w:szCs w:val="20"/>
              </w:rPr>
              <w:t>Griseofulvina</w:t>
            </w:r>
          </w:p>
          <w:p w:rsidR="006E6CB9" w:rsidRPr="006427FD" w:rsidRDefault="006E6CB9" w:rsidP="008E3E9B">
            <w:pPr>
              <w:spacing w:after="0" w:line="240" w:lineRule="auto"/>
              <w:jc w:val="both"/>
              <w:rPr>
                <w:rFonts w:eastAsia="Calibri" w:cs="Arial"/>
                <w:sz w:val="20"/>
                <w:szCs w:val="20"/>
              </w:rPr>
            </w:pPr>
          </w:p>
        </w:tc>
        <w:tc>
          <w:tcPr>
            <w:tcW w:w="797" w:type="pct"/>
          </w:tcPr>
          <w:p w:rsidR="006E6CB9" w:rsidRPr="006E6CB9" w:rsidRDefault="006E6CB9" w:rsidP="008E3E9B">
            <w:pPr>
              <w:spacing w:after="0" w:line="240" w:lineRule="auto"/>
              <w:rPr>
                <w:rFonts w:cs="Arial"/>
                <w:sz w:val="20"/>
                <w:szCs w:val="20"/>
                <w:lang w:val="pt-BR"/>
              </w:rPr>
            </w:pPr>
            <w:r w:rsidRPr="006E6CB9">
              <w:rPr>
                <w:rFonts w:cs="Arial"/>
                <w:sz w:val="20"/>
                <w:szCs w:val="20"/>
                <w:lang w:val="pt-BR"/>
              </w:rPr>
              <w:t>Comprimidos de 500mg</w:t>
            </w:r>
          </w:p>
          <w:p w:rsidR="006E6CB9" w:rsidRPr="006E6CB9" w:rsidRDefault="006E6CB9" w:rsidP="008E3E9B">
            <w:pPr>
              <w:spacing w:after="0" w:line="240" w:lineRule="auto"/>
              <w:rPr>
                <w:rFonts w:cs="Arial"/>
                <w:sz w:val="20"/>
                <w:szCs w:val="20"/>
                <w:lang w:val="pt-BR"/>
              </w:rPr>
            </w:pPr>
            <w:r w:rsidRPr="006E6CB9">
              <w:rPr>
                <w:rFonts w:cs="Arial"/>
                <w:sz w:val="20"/>
                <w:szCs w:val="20"/>
                <w:lang w:val="pt-BR"/>
              </w:rPr>
              <w:t>Por via oral</w:t>
            </w:r>
          </w:p>
          <w:p w:rsidR="006E6CB9" w:rsidRPr="006427FD" w:rsidRDefault="006E6CB9" w:rsidP="008E3E9B">
            <w:pPr>
              <w:spacing w:after="0" w:line="240" w:lineRule="auto"/>
              <w:rPr>
                <w:rFonts w:eastAsia="Calibri" w:cs="Arial"/>
                <w:sz w:val="20"/>
                <w:szCs w:val="20"/>
                <w:lang w:val="pt-BR"/>
              </w:rPr>
            </w:pPr>
          </w:p>
        </w:tc>
        <w:tc>
          <w:tcPr>
            <w:tcW w:w="708" w:type="pct"/>
          </w:tcPr>
          <w:p w:rsidR="006E6CB9" w:rsidRPr="006427FD" w:rsidRDefault="006E6CB9" w:rsidP="008E3E9B">
            <w:pPr>
              <w:spacing w:after="0" w:line="240" w:lineRule="auto"/>
              <w:rPr>
                <w:rFonts w:eastAsia="Calibri" w:cs="Arial"/>
                <w:sz w:val="20"/>
                <w:szCs w:val="20"/>
                <w:lang w:val="pt-BR"/>
              </w:rPr>
            </w:pPr>
            <w:r w:rsidRPr="006427FD">
              <w:rPr>
                <w:rFonts w:eastAsia="Calibri" w:cs="Arial"/>
                <w:sz w:val="20"/>
                <w:szCs w:val="20"/>
                <w:lang w:val="pt-BR"/>
              </w:rPr>
              <w:t>Bloqueia a mitose e síntese de ácido nucléico</w:t>
            </w:r>
          </w:p>
        </w:tc>
        <w:tc>
          <w:tcPr>
            <w:tcW w:w="821" w:type="pct"/>
          </w:tcPr>
          <w:p w:rsidR="006E6CB9" w:rsidRPr="006427FD" w:rsidRDefault="006E6CB9" w:rsidP="008E3E9B">
            <w:pPr>
              <w:spacing w:after="0" w:line="240" w:lineRule="auto"/>
              <w:rPr>
                <w:rFonts w:eastAsia="Calibri" w:cs="Arial"/>
                <w:sz w:val="20"/>
                <w:szCs w:val="20"/>
                <w:lang w:val="pt-BR"/>
              </w:rPr>
            </w:pPr>
            <w:r w:rsidRPr="006427FD">
              <w:rPr>
                <w:rFonts w:cs="Arial"/>
                <w:sz w:val="20"/>
                <w:szCs w:val="20"/>
                <w:lang w:val="pt-BR"/>
              </w:rPr>
              <w:t>M</w:t>
            </w:r>
            <w:r w:rsidRPr="006E6CB9">
              <w:rPr>
                <w:rFonts w:cs="Arial"/>
                <w:sz w:val="20"/>
                <w:szCs w:val="20"/>
                <w:lang w:val="pt-BR"/>
              </w:rPr>
              <w:t>icoses da pele, couro cabeludo e unhas (</w:t>
            </w:r>
            <w:r w:rsidRPr="006E6CB9">
              <w:rPr>
                <w:rFonts w:cs="Arial"/>
                <w:i/>
                <w:sz w:val="20"/>
                <w:szCs w:val="20"/>
                <w:lang w:val="pt-BR"/>
              </w:rPr>
              <w:t>microsporum, tricophyton e epidermophyton</w:t>
            </w:r>
          </w:p>
        </w:tc>
        <w:tc>
          <w:tcPr>
            <w:tcW w:w="889" w:type="pct"/>
          </w:tcPr>
          <w:p w:rsidR="006E6CB9" w:rsidRPr="006427FD" w:rsidRDefault="006E6CB9" w:rsidP="008E3E9B">
            <w:pPr>
              <w:pStyle w:val="TM-4n"/>
              <w:numPr>
                <w:ilvl w:val="0"/>
                <w:numId w:val="0"/>
              </w:numPr>
              <w:spacing w:before="120" w:after="0"/>
              <w:rPr>
                <w:sz w:val="20"/>
              </w:rPr>
            </w:pPr>
            <w:r w:rsidRPr="006427FD">
              <w:rPr>
                <w:sz w:val="20"/>
              </w:rPr>
              <w:t>0,5-1 grama por dia.</w:t>
            </w:r>
          </w:p>
          <w:p w:rsidR="006E6CB9" w:rsidRPr="006427FD" w:rsidRDefault="006E6CB9" w:rsidP="008E3E9B">
            <w:pPr>
              <w:spacing w:after="0" w:line="240" w:lineRule="auto"/>
              <w:rPr>
                <w:rFonts w:eastAsia="Calibri" w:cs="Arial"/>
                <w:sz w:val="20"/>
                <w:szCs w:val="20"/>
                <w:lang w:val="pt-BR"/>
              </w:rPr>
            </w:pPr>
          </w:p>
        </w:tc>
        <w:tc>
          <w:tcPr>
            <w:tcW w:w="1032" w:type="pct"/>
          </w:tcPr>
          <w:p w:rsidR="006E6CB9" w:rsidRPr="006427FD" w:rsidRDefault="006E6CB9" w:rsidP="008E3E9B">
            <w:pPr>
              <w:spacing w:after="0" w:line="240" w:lineRule="auto"/>
              <w:rPr>
                <w:rFonts w:eastAsia="Calibri" w:cs="Arial"/>
                <w:sz w:val="20"/>
                <w:szCs w:val="20"/>
                <w:lang w:val="pt-BR"/>
              </w:rPr>
            </w:pPr>
            <w:r w:rsidRPr="006E6CB9">
              <w:rPr>
                <w:rFonts w:cs="Arial"/>
                <w:sz w:val="20"/>
                <w:szCs w:val="20"/>
                <w:lang w:val="pt-BR"/>
              </w:rPr>
              <w:t>Cefaleia, náusea, vómitos, reacções cutâneas, fotossensibilidade</w:t>
            </w:r>
          </w:p>
        </w:tc>
      </w:tr>
    </w:tbl>
    <w:p w:rsidR="006E6CB9" w:rsidRDefault="006E6CB9" w:rsidP="008E3E9B">
      <w:pPr>
        <w:pStyle w:val="TM-2n"/>
        <w:numPr>
          <w:ilvl w:val="0"/>
          <w:numId w:val="0"/>
        </w:numPr>
        <w:spacing w:before="120" w:after="0" w:line="276" w:lineRule="auto"/>
        <w:ind w:left="284" w:hanging="284"/>
        <w:rPr>
          <w:i/>
          <w:lang w:val="pt-BR"/>
        </w:rPr>
      </w:pPr>
      <w:r w:rsidRPr="00084EA9">
        <w:rPr>
          <w:i/>
          <w:lang w:val="pt-BR"/>
        </w:rPr>
        <w:t>Fonte: Formulário Nacional de Medicamentos, 5ª edição, 2007. Muitos dos fármacos anti-fúngicos serão igualmente abordados na disciplina de dermatologia e de HIV</w:t>
      </w:r>
    </w:p>
    <w:p w:rsidR="006E6CB9" w:rsidRPr="00084EA9" w:rsidRDefault="006E6CB9" w:rsidP="006E6CB9">
      <w:pPr>
        <w:pStyle w:val="TM-2n"/>
        <w:numPr>
          <w:ilvl w:val="0"/>
          <w:numId w:val="0"/>
        </w:numPr>
        <w:spacing w:before="120" w:after="0" w:line="276" w:lineRule="auto"/>
        <w:ind w:left="284" w:hanging="284"/>
        <w:rPr>
          <w:i/>
          <w:lang w:val="pt-BR"/>
        </w:rPr>
      </w:pPr>
    </w:p>
    <w:p w:rsidR="006E6CB9" w:rsidRPr="00084EA9" w:rsidRDefault="005F3F7B" w:rsidP="005F3F7B">
      <w:pPr>
        <w:pStyle w:val="TM-1n"/>
        <w:numPr>
          <w:ilvl w:val="0"/>
          <w:numId w:val="0"/>
        </w:numPr>
        <w:shd w:val="clear" w:color="auto" w:fill="C6D9F1"/>
        <w:tabs>
          <w:tab w:val="clear" w:pos="9072"/>
        </w:tabs>
        <w:rPr>
          <w:sz w:val="22"/>
          <w:szCs w:val="22"/>
        </w:rPr>
      </w:pPr>
      <w:r>
        <w:rPr>
          <w:sz w:val="22"/>
          <w:szCs w:val="22"/>
        </w:rPr>
        <w:t xml:space="preserve">BLOCO 4: </w:t>
      </w:r>
      <w:r w:rsidR="006E6CB9" w:rsidRPr="00084EA9">
        <w:rPr>
          <w:sz w:val="22"/>
          <w:szCs w:val="22"/>
        </w:rPr>
        <w:t>PONTOS-CHAVE</w:t>
      </w:r>
    </w:p>
    <w:p w:rsidR="006E6CB9" w:rsidRPr="00084EA9" w:rsidRDefault="006E6CB9" w:rsidP="006E6CB9">
      <w:pPr>
        <w:pStyle w:val="TM-1n"/>
        <w:numPr>
          <w:ilvl w:val="0"/>
          <w:numId w:val="0"/>
        </w:numPr>
        <w:rPr>
          <w:b w:val="0"/>
          <w:sz w:val="22"/>
          <w:szCs w:val="22"/>
        </w:rPr>
      </w:pPr>
      <w:r w:rsidRPr="006427FD">
        <w:rPr>
          <w:b w:val="0"/>
          <w:sz w:val="22"/>
          <w:szCs w:val="22"/>
        </w:rPr>
        <w:t>4.1</w:t>
      </w:r>
      <w:r w:rsidRPr="00084EA9">
        <w:rPr>
          <w:sz w:val="22"/>
          <w:szCs w:val="22"/>
        </w:rPr>
        <w:t xml:space="preserve"> </w:t>
      </w:r>
      <w:r w:rsidRPr="00084EA9">
        <w:rPr>
          <w:b w:val="0"/>
          <w:sz w:val="22"/>
          <w:szCs w:val="22"/>
        </w:rPr>
        <w:t>O albendazol tem um espectro maior contra os helmintos intestinais em relação ao mebendazol</w:t>
      </w:r>
    </w:p>
    <w:p w:rsidR="006E6CB9" w:rsidRPr="00084EA9" w:rsidRDefault="006E6CB9" w:rsidP="006E6CB9">
      <w:pPr>
        <w:pStyle w:val="TM-1n"/>
        <w:numPr>
          <w:ilvl w:val="0"/>
          <w:numId w:val="0"/>
        </w:numPr>
        <w:rPr>
          <w:b w:val="0"/>
          <w:i/>
          <w:sz w:val="22"/>
          <w:szCs w:val="22"/>
        </w:rPr>
      </w:pPr>
      <w:r w:rsidRPr="00084EA9">
        <w:rPr>
          <w:b w:val="0"/>
          <w:sz w:val="22"/>
          <w:szCs w:val="22"/>
        </w:rPr>
        <w:t xml:space="preserve">4.2 O praziquantel é o fármaco de escolha no tratamento da infecção por </w:t>
      </w:r>
      <w:r w:rsidRPr="00084EA9">
        <w:rPr>
          <w:b w:val="0"/>
          <w:i/>
          <w:sz w:val="22"/>
          <w:szCs w:val="22"/>
        </w:rPr>
        <w:t>Schistosoma haematobium e S. mansoni</w:t>
      </w:r>
    </w:p>
    <w:p w:rsidR="006E6CB9" w:rsidRPr="00084EA9" w:rsidRDefault="006E6CB9" w:rsidP="006E6CB9">
      <w:pPr>
        <w:pStyle w:val="TM-1n"/>
        <w:numPr>
          <w:ilvl w:val="0"/>
          <w:numId w:val="0"/>
        </w:numPr>
        <w:rPr>
          <w:b w:val="0"/>
          <w:sz w:val="22"/>
          <w:szCs w:val="22"/>
        </w:rPr>
      </w:pPr>
      <w:r w:rsidRPr="00084EA9">
        <w:rPr>
          <w:b w:val="0"/>
          <w:sz w:val="22"/>
          <w:szCs w:val="22"/>
        </w:rPr>
        <w:t>4.3 Os anti-maláricos geralmente estão e são administrados como terapia combinada com derivados de artemisina (AL, ASAQ).</w:t>
      </w:r>
    </w:p>
    <w:p w:rsidR="006E6CB9" w:rsidRPr="00084EA9" w:rsidRDefault="006E6CB9" w:rsidP="006E6CB9">
      <w:pPr>
        <w:pStyle w:val="TM-1n"/>
        <w:numPr>
          <w:ilvl w:val="0"/>
          <w:numId w:val="0"/>
        </w:numPr>
        <w:rPr>
          <w:b w:val="0"/>
          <w:sz w:val="22"/>
          <w:szCs w:val="22"/>
        </w:rPr>
      </w:pPr>
      <w:r w:rsidRPr="00084EA9">
        <w:rPr>
          <w:b w:val="0"/>
          <w:sz w:val="22"/>
          <w:szCs w:val="22"/>
        </w:rPr>
        <w:t>4.4 A malária não complicada é tratada com arteméter e lumefantrina (AL) ou artesunato e amodiaquina (ASAQ).</w:t>
      </w:r>
    </w:p>
    <w:p w:rsidR="006E6CB9" w:rsidRPr="00084EA9" w:rsidRDefault="006E6CB9" w:rsidP="006E6CB9">
      <w:pPr>
        <w:pStyle w:val="TM-1n"/>
        <w:numPr>
          <w:ilvl w:val="0"/>
          <w:numId w:val="0"/>
        </w:numPr>
        <w:rPr>
          <w:b w:val="0"/>
          <w:sz w:val="22"/>
          <w:szCs w:val="22"/>
        </w:rPr>
      </w:pPr>
      <w:r w:rsidRPr="00084EA9">
        <w:rPr>
          <w:b w:val="0"/>
          <w:sz w:val="22"/>
          <w:szCs w:val="22"/>
        </w:rPr>
        <w:t>4.5 A quinina é o fármaco de eleição no tratamento da malária complicada/grave</w:t>
      </w:r>
    </w:p>
    <w:p w:rsidR="006E6CB9" w:rsidRPr="00084EA9" w:rsidRDefault="006E6CB9" w:rsidP="006E6CB9">
      <w:pPr>
        <w:pStyle w:val="TM-1n"/>
        <w:numPr>
          <w:ilvl w:val="0"/>
          <w:numId w:val="0"/>
        </w:numPr>
        <w:rPr>
          <w:b w:val="0"/>
          <w:sz w:val="22"/>
          <w:szCs w:val="22"/>
        </w:rPr>
      </w:pPr>
      <w:r w:rsidRPr="00084EA9">
        <w:rPr>
          <w:b w:val="0"/>
          <w:sz w:val="22"/>
          <w:szCs w:val="22"/>
        </w:rPr>
        <w:t>4.6 O aciclovir é usado para o tratamento das infecções por herpes vírus e varicela.</w:t>
      </w:r>
    </w:p>
    <w:p w:rsidR="006E6CB9" w:rsidRPr="00084EA9" w:rsidRDefault="006E6CB9" w:rsidP="006E6CB9">
      <w:pPr>
        <w:pStyle w:val="TM-1n"/>
        <w:numPr>
          <w:ilvl w:val="0"/>
          <w:numId w:val="0"/>
        </w:numPr>
        <w:rPr>
          <w:b w:val="0"/>
          <w:sz w:val="22"/>
          <w:szCs w:val="22"/>
        </w:rPr>
      </w:pPr>
      <w:r w:rsidRPr="00084EA9">
        <w:rPr>
          <w:b w:val="0"/>
          <w:sz w:val="22"/>
          <w:szCs w:val="22"/>
        </w:rPr>
        <w:t>4.7 Os anti-fúngicos são fármacos usados para o tratamento de infecções causadas por fungos e actuam fundamentalmente através da alteração da membrana celular</w:t>
      </w:r>
    </w:p>
    <w:p w:rsidR="005F3F7B" w:rsidRDefault="005F3F7B">
      <w:pPr>
        <w:rPr>
          <w:rFonts w:eastAsia="Times New Roman" w:cs="Arial"/>
          <w:lang w:val="pt-PT" w:eastAsia="es-ES"/>
        </w:rPr>
      </w:pPr>
      <w:r w:rsidRPr="00850CFC">
        <w:rPr>
          <w:b/>
          <w:lang w:val="pt-PT"/>
        </w:rPr>
        <w:br w:type="page"/>
      </w:r>
    </w:p>
    <w:tbl>
      <w:tblPr>
        <w:tblW w:w="10150" w:type="dxa"/>
        <w:tblLayout w:type="fixed"/>
        <w:tblCellMar>
          <w:left w:w="70" w:type="dxa"/>
          <w:right w:w="70" w:type="dxa"/>
        </w:tblCellMar>
        <w:tblLook w:val="0020" w:firstRow="1" w:lastRow="0" w:firstColumn="0" w:lastColumn="0" w:noHBand="0" w:noVBand="0"/>
      </w:tblPr>
      <w:tblGrid>
        <w:gridCol w:w="1418"/>
        <w:gridCol w:w="4502"/>
        <w:gridCol w:w="2430"/>
        <w:gridCol w:w="1800"/>
      </w:tblGrid>
      <w:tr w:rsidR="006E6CB9" w:rsidRPr="006A0E0A" w:rsidTr="006E6CB9">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6E6CB9" w:rsidRPr="006A0E0A" w:rsidRDefault="006E6CB9" w:rsidP="006E6CB9">
            <w:pPr>
              <w:spacing w:line="240" w:lineRule="auto"/>
              <w:rPr>
                <w:rFonts w:eastAsia="Calibri" w:cs="Arial"/>
                <w:b/>
                <w:lang w:val="pt-PT"/>
              </w:rPr>
            </w:pPr>
            <w:r w:rsidRPr="006A0E0A">
              <w:rPr>
                <w:rFonts w:eastAsia="Calibri" w:cs="Arial"/>
                <w:b/>
                <w:lang w:val="pt-PT"/>
              </w:rPr>
              <w:lastRenderedPageBreak/>
              <w:t>Disciplina</w:t>
            </w:r>
          </w:p>
        </w:tc>
        <w:tc>
          <w:tcPr>
            <w:tcW w:w="4502" w:type="dxa"/>
            <w:tcBorders>
              <w:top w:val="single" w:sz="6" w:space="0" w:color="000000"/>
              <w:left w:val="single" w:sz="6" w:space="0" w:color="000000"/>
              <w:bottom w:val="single" w:sz="6" w:space="0" w:color="000000"/>
              <w:right w:val="single" w:sz="6" w:space="0" w:color="000000"/>
            </w:tcBorders>
            <w:vAlign w:val="center"/>
          </w:tcPr>
          <w:p w:rsidR="006E6CB9" w:rsidRPr="006A0E0A" w:rsidRDefault="006E6CB9" w:rsidP="006E6CB9">
            <w:pPr>
              <w:spacing w:line="240" w:lineRule="auto"/>
              <w:rPr>
                <w:rFonts w:eastAsia="Calibri" w:cs="Arial"/>
                <w:lang w:val="pt-PT"/>
              </w:rPr>
            </w:pPr>
            <w:r w:rsidRPr="006A0E0A">
              <w:rPr>
                <w:rFonts w:eastAsia="Calibri" w:cs="Arial"/>
                <w:lang w:val="pt-PT"/>
              </w:rPr>
              <w:t>Introdução às Ciências Médicas</w:t>
            </w:r>
          </w:p>
        </w:tc>
        <w:tc>
          <w:tcPr>
            <w:tcW w:w="2430" w:type="dxa"/>
            <w:tcBorders>
              <w:top w:val="single" w:sz="6" w:space="0" w:color="000000"/>
              <w:left w:val="single" w:sz="6" w:space="0" w:color="000000"/>
              <w:bottom w:val="single" w:sz="6" w:space="0" w:color="000000"/>
              <w:right w:val="single" w:sz="6" w:space="0" w:color="000000"/>
            </w:tcBorders>
            <w:vAlign w:val="center"/>
          </w:tcPr>
          <w:p w:rsidR="006E6CB9" w:rsidRPr="006A0E0A" w:rsidRDefault="006E6CB9" w:rsidP="006E6CB9">
            <w:pPr>
              <w:spacing w:line="240" w:lineRule="auto"/>
              <w:rPr>
                <w:rFonts w:eastAsia="Calibri" w:cs="Arial"/>
                <w:b/>
                <w:lang w:val="pt-PT"/>
              </w:rPr>
            </w:pPr>
            <w:r w:rsidRPr="006A0E0A">
              <w:rPr>
                <w:rFonts w:eastAsia="Calibri" w:cs="Arial"/>
                <w:b/>
                <w:lang w:val="pt-PT"/>
              </w:rPr>
              <w:t xml:space="preserve">N° da Aula </w:t>
            </w:r>
          </w:p>
        </w:tc>
        <w:tc>
          <w:tcPr>
            <w:tcW w:w="1800" w:type="dxa"/>
            <w:tcBorders>
              <w:top w:val="single" w:sz="6" w:space="0" w:color="000000"/>
              <w:left w:val="single" w:sz="6" w:space="0" w:color="000000"/>
              <w:bottom w:val="single" w:sz="6" w:space="0" w:color="000000"/>
              <w:right w:val="single" w:sz="6" w:space="0" w:color="000000"/>
            </w:tcBorders>
            <w:vAlign w:val="center"/>
          </w:tcPr>
          <w:p w:rsidR="006E6CB9" w:rsidRPr="006A0E0A" w:rsidRDefault="006E6CB9" w:rsidP="006E6CB9">
            <w:pPr>
              <w:spacing w:line="240" w:lineRule="auto"/>
              <w:jc w:val="center"/>
              <w:rPr>
                <w:rFonts w:eastAsia="Calibri" w:cs="Arial"/>
                <w:lang w:val="pt-PT"/>
              </w:rPr>
            </w:pPr>
            <w:r w:rsidRPr="006A0E0A">
              <w:rPr>
                <w:rFonts w:eastAsia="Calibri" w:cs="Arial"/>
                <w:lang w:val="pt-PT"/>
              </w:rPr>
              <w:t>21</w:t>
            </w:r>
          </w:p>
        </w:tc>
      </w:tr>
      <w:tr w:rsidR="006E6CB9" w:rsidRPr="006A0E0A" w:rsidTr="006E6CB9">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6E6CB9" w:rsidRPr="006A0E0A" w:rsidRDefault="006E6CB9" w:rsidP="006E6CB9">
            <w:pPr>
              <w:spacing w:line="240" w:lineRule="auto"/>
              <w:rPr>
                <w:rFonts w:eastAsia="Calibri" w:cs="Arial"/>
                <w:b/>
                <w:lang w:val="pt-PT"/>
              </w:rPr>
            </w:pPr>
            <w:r w:rsidRPr="006A0E0A">
              <w:rPr>
                <w:rFonts w:eastAsia="Calibri" w:cs="Arial"/>
                <w:b/>
                <w:lang w:val="pt-PT"/>
              </w:rPr>
              <w:t>Tópico</w:t>
            </w:r>
          </w:p>
        </w:tc>
        <w:tc>
          <w:tcPr>
            <w:tcW w:w="4502" w:type="dxa"/>
            <w:tcBorders>
              <w:top w:val="single" w:sz="6" w:space="0" w:color="000000"/>
              <w:left w:val="single" w:sz="6" w:space="0" w:color="000000"/>
              <w:bottom w:val="single" w:sz="6" w:space="0" w:color="000000"/>
              <w:right w:val="single" w:sz="6" w:space="0" w:color="000000"/>
            </w:tcBorders>
            <w:vAlign w:val="center"/>
          </w:tcPr>
          <w:p w:rsidR="006E6CB9" w:rsidRPr="006A0E0A" w:rsidRDefault="006E6CB9" w:rsidP="006E6CB9">
            <w:pPr>
              <w:spacing w:line="240" w:lineRule="auto"/>
              <w:rPr>
                <w:rFonts w:eastAsia="Calibri" w:cs="Arial"/>
                <w:lang w:val="pt-PT"/>
              </w:rPr>
            </w:pPr>
            <w:r w:rsidRPr="006A0E0A">
              <w:rPr>
                <w:rFonts w:eastAsia="Calibri" w:cs="Arial"/>
                <w:lang w:val="pt-PT"/>
              </w:rPr>
              <w:t>Farmacologia</w:t>
            </w:r>
          </w:p>
        </w:tc>
        <w:tc>
          <w:tcPr>
            <w:tcW w:w="2430" w:type="dxa"/>
            <w:tcBorders>
              <w:top w:val="single" w:sz="6" w:space="0" w:color="000000"/>
              <w:left w:val="single" w:sz="6" w:space="0" w:color="000000"/>
              <w:bottom w:val="single" w:sz="6" w:space="0" w:color="000000"/>
              <w:right w:val="single" w:sz="6" w:space="0" w:color="000000"/>
            </w:tcBorders>
            <w:vAlign w:val="center"/>
          </w:tcPr>
          <w:p w:rsidR="006E6CB9" w:rsidRPr="006A0E0A" w:rsidRDefault="006E6CB9" w:rsidP="006E6CB9">
            <w:pPr>
              <w:spacing w:line="240" w:lineRule="auto"/>
              <w:rPr>
                <w:rFonts w:eastAsia="Calibri" w:cs="Arial"/>
                <w:b/>
                <w:lang w:val="pt-PT"/>
              </w:rPr>
            </w:pPr>
            <w:r w:rsidRPr="006A0E0A">
              <w:rPr>
                <w:rFonts w:eastAsia="Calibri" w:cs="Arial"/>
                <w:b/>
                <w:lang w:val="pt-PT"/>
              </w:rPr>
              <w:t xml:space="preserve">Tipo </w:t>
            </w:r>
          </w:p>
        </w:tc>
        <w:tc>
          <w:tcPr>
            <w:tcW w:w="1800" w:type="dxa"/>
            <w:tcBorders>
              <w:top w:val="single" w:sz="6" w:space="0" w:color="000000"/>
              <w:left w:val="single" w:sz="6" w:space="0" w:color="000000"/>
              <w:bottom w:val="single" w:sz="6" w:space="0" w:color="000000"/>
              <w:right w:val="single" w:sz="6" w:space="0" w:color="000000"/>
            </w:tcBorders>
            <w:vAlign w:val="center"/>
          </w:tcPr>
          <w:p w:rsidR="006E6CB9" w:rsidRPr="006A0E0A" w:rsidRDefault="006E6CB9" w:rsidP="006E6CB9">
            <w:pPr>
              <w:spacing w:line="240" w:lineRule="auto"/>
              <w:jc w:val="center"/>
              <w:rPr>
                <w:rFonts w:eastAsia="Calibri" w:cs="Arial"/>
                <w:lang w:val="pt-PT"/>
              </w:rPr>
            </w:pPr>
            <w:r w:rsidRPr="006A0E0A">
              <w:rPr>
                <w:rFonts w:eastAsia="Calibri" w:cs="Arial"/>
                <w:lang w:val="pt-PT"/>
              </w:rPr>
              <w:t>Teórica</w:t>
            </w:r>
          </w:p>
        </w:tc>
      </w:tr>
      <w:tr w:rsidR="006E6CB9" w:rsidRPr="006A0E0A" w:rsidTr="006E6CB9">
        <w:trPr>
          <w:cantSplit/>
          <w:trHeight w:val="414"/>
        </w:trPr>
        <w:tc>
          <w:tcPr>
            <w:tcW w:w="1418" w:type="dxa"/>
            <w:tcBorders>
              <w:top w:val="single" w:sz="6" w:space="0" w:color="000000"/>
              <w:left w:val="single" w:sz="6" w:space="0" w:color="000000"/>
              <w:bottom w:val="single" w:sz="6" w:space="0" w:color="000000"/>
              <w:right w:val="single" w:sz="6" w:space="0" w:color="000000"/>
            </w:tcBorders>
            <w:vAlign w:val="center"/>
          </w:tcPr>
          <w:p w:rsidR="006E6CB9" w:rsidRPr="006A0E0A" w:rsidRDefault="006E6CB9" w:rsidP="006E6CB9">
            <w:pPr>
              <w:spacing w:line="240" w:lineRule="auto"/>
              <w:rPr>
                <w:rFonts w:eastAsia="Calibri" w:cs="Arial"/>
                <w:b/>
                <w:lang w:val="pt-PT"/>
              </w:rPr>
            </w:pPr>
            <w:r w:rsidRPr="006A0E0A">
              <w:rPr>
                <w:rFonts w:eastAsia="Calibri" w:cs="Arial"/>
                <w:b/>
                <w:lang w:val="pt-PT"/>
              </w:rPr>
              <w:t>Conteúdos</w:t>
            </w:r>
          </w:p>
        </w:tc>
        <w:tc>
          <w:tcPr>
            <w:tcW w:w="4502" w:type="dxa"/>
            <w:tcBorders>
              <w:top w:val="single" w:sz="6" w:space="0" w:color="000000"/>
              <w:left w:val="single" w:sz="6" w:space="0" w:color="000000"/>
              <w:bottom w:val="single" w:sz="6" w:space="0" w:color="000000"/>
              <w:right w:val="single" w:sz="6" w:space="0" w:color="000000"/>
            </w:tcBorders>
            <w:vAlign w:val="center"/>
          </w:tcPr>
          <w:p w:rsidR="006E6CB9" w:rsidRPr="005F3F7B" w:rsidRDefault="006E6CB9" w:rsidP="005F3F7B">
            <w:pPr>
              <w:spacing w:after="0"/>
              <w:rPr>
                <w:rFonts w:cs="Arial"/>
                <w:lang w:val="pt-BR"/>
              </w:rPr>
            </w:pPr>
            <w:bookmarkStart w:id="26" w:name="_Toc329099769"/>
            <w:r w:rsidRPr="005F3F7B">
              <w:rPr>
                <w:rStyle w:val="Heading1Char"/>
                <w:b w:val="0"/>
                <w:sz w:val="22"/>
                <w:szCs w:val="22"/>
                <w:lang w:val="pt-BR"/>
              </w:rPr>
              <w:t>Farmacologia Especial de Sistemas</w:t>
            </w:r>
            <w:bookmarkEnd w:id="26"/>
            <w:r w:rsidRPr="005F3F7B">
              <w:rPr>
                <w:rFonts w:cs="Arial"/>
                <w:lang w:val="pt-BR"/>
              </w:rPr>
              <w:t xml:space="preserve"> 4:</w:t>
            </w:r>
          </w:p>
          <w:p w:rsidR="006E6CB9" w:rsidRPr="005F3F7B" w:rsidRDefault="006E6CB9" w:rsidP="005F3F7B">
            <w:pPr>
              <w:framePr w:hSpace="180" w:wrap="around" w:vAnchor="text" w:hAnchor="text" w:y="1"/>
              <w:spacing w:after="0"/>
              <w:suppressOverlap/>
              <w:rPr>
                <w:rFonts w:cs="Arial"/>
                <w:lang w:val="pt-BR"/>
              </w:rPr>
            </w:pPr>
            <w:r w:rsidRPr="005F3F7B">
              <w:rPr>
                <w:rFonts w:cs="Arial"/>
                <w:lang w:val="pt-BR"/>
              </w:rPr>
              <w:t>- Sistema Nervoso</w:t>
            </w:r>
          </w:p>
          <w:p w:rsidR="006E6CB9" w:rsidRPr="005F3F7B" w:rsidRDefault="006E6CB9" w:rsidP="005F3F7B">
            <w:pPr>
              <w:framePr w:hSpace="180" w:wrap="around" w:vAnchor="text" w:hAnchor="text" w:y="1"/>
              <w:spacing w:after="0"/>
              <w:suppressOverlap/>
              <w:rPr>
                <w:rFonts w:cs="Arial"/>
                <w:lang w:val="pt-BR"/>
              </w:rPr>
            </w:pPr>
            <w:r w:rsidRPr="005F3F7B">
              <w:rPr>
                <w:rFonts w:cs="Arial"/>
                <w:lang w:val="pt-BR"/>
              </w:rPr>
              <w:t>-Aparelho Cardiovascular</w:t>
            </w:r>
          </w:p>
          <w:p w:rsidR="006E6CB9" w:rsidRPr="005F3F7B" w:rsidRDefault="006E6CB9" w:rsidP="005F3F7B">
            <w:pPr>
              <w:framePr w:hSpace="180" w:wrap="around" w:vAnchor="text" w:hAnchor="text" w:y="1"/>
              <w:spacing w:after="0"/>
              <w:suppressOverlap/>
              <w:rPr>
                <w:rFonts w:cs="Arial"/>
                <w:lang w:val="pt-BR"/>
              </w:rPr>
            </w:pPr>
            <w:r w:rsidRPr="005F3F7B">
              <w:rPr>
                <w:rFonts w:cs="Arial"/>
                <w:lang w:val="pt-BR"/>
              </w:rPr>
              <w:t>-Aparelho Respiratório</w:t>
            </w:r>
          </w:p>
          <w:p w:rsidR="006E6CB9" w:rsidRPr="006A0E0A" w:rsidRDefault="006E6CB9" w:rsidP="005F3F7B">
            <w:pPr>
              <w:spacing w:after="0" w:line="240" w:lineRule="auto"/>
              <w:rPr>
                <w:rFonts w:eastAsia="Calibri" w:cs="Arial"/>
                <w:lang w:val="pt-PT"/>
              </w:rPr>
            </w:pPr>
            <w:r w:rsidRPr="005F3F7B">
              <w:rPr>
                <w:rFonts w:cs="Arial"/>
                <w:lang w:val="pt-BR"/>
              </w:rPr>
              <w:t>-Aparelho Gastrointestinal</w:t>
            </w:r>
          </w:p>
        </w:tc>
        <w:tc>
          <w:tcPr>
            <w:tcW w:w="2430" w:type="dxa"/>
            <w:tcBorders>
              <w:top w:val="single" w:sz="6" w:space="0" w:color="000000"/>
              <w:left w:val="single" w:sz="6" w:space="0" w:color="000000"/>
              <w:bottom w:val="single" w:sz="6" w:space="0" w:color="000000"/>
              <w:right w:val="single" w:sz="6" w:space="0" w:color="000000"/>
            </w:tcBorders>
            <w:vAlign w:val="center"/>
          </w:tcPr>
          <w:p w:rsidR="006E6CB9" w:rsidRPr="006A0E0A" w:rsidRDefault="006E6CB9" w:rsidP="006E6CB9">
            <w:pPr>
              <w:spacing w:line="240" w:lineRule="auto"/>
              <w:rPr>
                <w:rFonts w:eastAsia="Calibri" w:cs="Arial"/>
                <w:b/>
                <w:lang w:val="pt-PT"/>
              </w:rPr>
            </w:pPr>
            <w:r w:rsidRPr="006A0E0A">
              <w:rPr>
                <w:rFonts w:eastAsia="Calibri" w:cs="Arial"/>
                <w:b/>
                <w:lang w:val="pt-PT"/>
              </w:rPr>
              <w:t>Duração</w:t>
            </w:r>
          </w:p>
        </w:tc>
        <w:tc>
          <w:tcPr>
            <w:tcW w:w="1800" w:type="dxa"/>
            <w:tcBorders>
              <w:top w:val="single" w:sz="6" w:space="0" w:color="000000"/>
              <w:left w:val="single" w:sz="6" w:space="0" w:color="000000"/>
              <w:bottom w:val="single" w:sz="6" w:space="0" w:color="000000"/>
              <w:right w:val="single" w:sz="6" w:space="0" w:color="000000"/>
            </w:tcBorders>
            <w:vAlign w:val="center"/>
          </w:tcPr>
          <w:p w:rsidR="006E6CB9" w:rsidRPr="006A0E0A" w:rsidRDefault="006E6CB9" w:rsidP="006E6CB9">
            <w:pPr>
              <w:spacing w:line="240" w:lineRule="auto"/>
              <w:jc w:val="center"/>
              <w:rPr>
                <w:rFonts w:eastAsia="Calibri" w:cs="Arial"/>
                <w:lang w:val="pt-PT"/>
              </w:rPr>
            </w:pPr>
            <w:r w:rsidRPr="006A0E0A">
              <w:rPr>
                <w:rFonts w:eastAsia="Calibri" w:cs="Arial"/>
                <w:lang w:val="pt-PT"/>
              </w:rPr>
              <w:t>2 h</w:t>
            </w:r>
          </w:p>
        </w:tc>
      </w:tr>
    </w:tbl>
    <w:p w:rsidR="006E6CB9" w:rsidRDefault="006E6CB9" w:rsidP="006E6CB9">
      <w:pPr>
        <w:outlineLvl w:val="0"/>
        <w:rPr>
          <w:rFonts w:cs="Arial"/>
          <w:b/>
          <w:bCs/>
          <w:lang w:val="pt-PT"/>
        </w:rPr>
      </w:pPr>
    </w:p>
    <w:p w:rsidR="006E6CB9" w:rsidRPr="0052785B" w:rsidRDefault="006E6CB9" w:rsidP="0052785B">
      <w:pPr>
        <w:rPr>
          <w:b/>
          <w:lang w:val="pt-PT"/>
        </w:rPr>
      </w:pPr>
      <w:r w:rsidRPr="0052785B">
        <w:rPr>
          <w:b/>
          <w:lang w:val="pt-PT"/>
        </w:rPr>
        <w:t>Objectivos de Aprendizagem:</w:t>
      </w:r>
    </w:p>
    <w:p w:rsidR="006E6CB9" w:rsidRPr="006A0E0A" w:rsidRDefault="006E6CB9" w:rsidP="006E6CB9">
      <w:pPr>
        <w:rPr>
          <w:rFonts w:cs="Arial"/>
          <w:lang w:val="pt-PT"/>
        </w:rPr>
      </w:pPr>
      <w:r w:rsidRPr="006A0E0A">
        <w:rPr>
          <w:rFonts w:cs="Arial"/>
          <w:lang w:val="pt-PT"/>
        </w:rPr>
        <w:t>Até ao fim da aula os alunos devem ser capazes de:</w:t>
      </w:r>
    </w:p>
    <w:p w:rsidR="006E6CB9" w:rsidRPr="006A0E0A" w:rsidRDefault="006E6CB9" w:rsidP="00C52E09">
      <w:pPr>
        <w:pStyle w:val="ListParagraph"/>
        <w:numPr>
          <w:ilvl w:val="0"/>
          <w:numId w:val="216"/>
        </w:numPr>
        <w:spacing w:after="0"/>
        <w:contextualSpacing w:val="0"/>
        <w:rPr>
          <w:rFonts w:cs="Arial"/>
          <w:lang w:val="pt-PT"/>
        </w:rPr>
      </w:pPr>
      <w:r w:rsidRPr="006A0E0A">
        <w:rPr>
          <w:rFonts w:cs="Arial"/>
          <w:lang w:val="pt-PT"/>
        </w:rPr>
        <w:t xml:space="preserve">Descrever de forma geral e de acordo com os protótipos das várias classes farmacológicas, a farmacologia de sistemas corporais, baseando-se nos seguintes itens: mecanismo de acção, forma farmacêutica, vias de administração, indicações  gerais e dose e dosagem. </w:t>
      </w:r>
    </w:p>
    <w:p w:rsidR="006E6CB9" w:rsidRPr="006A0E0A" w:rsidRDefault="006E6CB9" w:rsidP="00C52E09">
      <w:pPr>
        <w:pStyle w:val="ListParagraph"/>
        <w:numPr>
          <w:ilvl w:val="1"/>
          <w:numId w:val="216"/>
        </w:numPr>
        <w:spacing w:after="0"/>
        <w:contextualSpacing w:val="0"/>
        <w:rPr>
          <w:rFonts w:cs="Arial"/>
          <w:lang w:val="pt-PT"/>
        </w:rPr>
      </w:pPr>
      <w:r w:rsidRPr="006A0E0A">
        <w:rPr>
          <w:rFonts w:cs="Arial"/>
          <w:lang w:val="pt-PT"/>
        </w:rPr>
        <w:t>Sistema Nervoso</w:t>
      </w:r>
    </w:p>
    <w:p w:rsidR="006E6CB9" w:rsidRPr="006A0E0A" w:rsidRDefault="006E6CB9" w:rsidP="00C52E09">
      <w:pPr>
        <w:pStyle w:val="ListParagraph"/>
        <w:numPr>
          <w:ilvl w:val="1"/>
          <w:numId w:val="216"/>
        </w:numPr>
        <w:spacing w:after="0"/>
        <w:contextualSpacing w:val="0"/>
        <w:rPr>
          <w:rFonts w:cs="Arial"/>
          <w:lang w:val="pt-PT"/>
        </w:rPr>
      </w:pPr>
      <w:r w:rsidRPr="006A0E0A">
        <w:rPr>
          <w:rFonts w:cs="Arial"/>
          <w:lang w:val="pt-PT"/>
        </w:rPr>
        <w:t>Aparelho cardiovascular</w:t>
      </w:r>
    </w:p>
    <w:p w:rsidR="006E6CB9" w:rsidRPr="006A0E0A" w:rsidRDefault="006E6CB9" w:rsidP="00C52E09">
      <w:pPr>
        <w:pStyle w:val="ListParagraph"/>
        <w:numPr>
          <w:ilvl w:val="1"/>
          <w:numId w:val="216"/>
        </w:numPr>
        <w:spacing w:after="0"/>
        <w:contextualSpacing w:val="0"/>
        <w:rPr>
          <w:rFonts w:cs="Arial"/>
          <w:lang w:val="pt-PT"/>
        </w:rPr>
      </w:pPr>
      <w:r w:rsidRPr="006A0E0A">
        <w:rPr>
          <w:rFonts w:cs="Arial"/>
          <w:lang w:val="pt-PT"/>
        </w:rPr>
        <w:t>Aparelho respiratório</w:t>
      </w:r>
    </w:p>
    <w:p w:rsidR="006E6CB9" w:rsidRPr="006A0E0A" w:rsidRDefault="006E6CB9" w:rsidP="00C52E09">
      <w:pPr>
        <w:pStyle w:val="ListParagraph"/>
        <w:numPr>
          <w:ilvl w:val="1"/>
          <w:numId w:val="216"/>
        </w:numPr>
        <w:spacing w:after="0"/>
        <w:contextualSpacing w:val="0"/>
        <w:rPr>
          <w:rFonts w:cs="Arial"/>
          <w:lang w:val="pt-PT"/>
        </w:rPr>
      </w:pPr>
      <w:r w:rsidRPr="006A0E0A">
        <w:rPr>
          <w:rFonts w:cs="Arial"/>
          <w:lang w:val="pt-PT"/>
        </w:rPr>
        <w:t>Aparelho gastrointestinal</w:t>
      </w:r>
    </w:p>
    <w:p w:rsidR="006E6CB9" w:rsidRPr="006A0E0A" w:rsidRDefault="006E6CB9" w:rsidP="006E6CB9">
      <w:pPr>
        <w:tabs>
          <w:tab w:val="left" w:pos="244"/>
        </w:tabs>
        <w:rPr>
          <w:rFonts w:cs="Arial"/>
          <w:lang w:val="pt-PT"/>
        </w:rPr>
      </w:pPr>
    </w:p>
    <w:p w:rsidR="006E6CB9" w:rsidRPr="0052785B" w:rsidRDefault="006E6CB9" w:rsidP="0052785B">
      <w:pPr>
        <w:rPr>
          <w:b/>
          <w:lang w:val="pt-PT"/>
        </w:rPr>
      </w:pPr>
      <w:r w:rsidRPr="0052785B">
        <w:rPr>
          <w:b/>
          <w:lang w:val="pt-PT"/>
        </w:rPr>
        <w:t>Estrutura da Aula</w:t>
      </w:r>
    </w:p>
    <w:tbl>
      <w:tblPr>
        <w:tblW w:w="10188" w:type="dxa"/>
        <w:tblBorders>
          <w:top w:val="single" w:sz="18" w:space="0" w:color="auto"/>
          <w:bottom w:val="single" w:sz="18" w:space="0" w:color="auto"/>
        </w:tblBorders>
        <w:tblLayout w:type="fixed"/>
        <w:tblLook w:val="0400" w:firstRow="0" w:lastRow="0" w:firstColumn="0" w:lastColumn="0" w:noHBand="0" w:noVBand="1"/>
      </w:tblPr>
      <w:tblGrid>
        <w:gridCol w:w="738"/>
        <w:gridCol w:w="3690"/>
        <w:gridCol w:w="4050"/>
        <w:gridCol w:w="1710"/>
      </w:tblGrid>
      <w:tr w:rsidR="006E6CB9" w:rsidRPr="006A0E0A" w:rsidTr="006E6CB9">
        <w:trPr>
          <w:trHeight w:val="432"/>
        </w:trPr>
        <w:tc>
          <w:tcPr>
            <w:tcW w:w="738" w:type="dxa"/>
            <w:tcBorders>
              <w:top w:val="single" w:sz="18" w:space="0" w:color="auto"/>
              <w:bottom w:val="single" w:sz="18" w:space="0" w:color="auto"/>
              <w:right w:val="single" w:sz="4" w:space="0" w:color="auto"/>
            </w:tcBorders>
            <w:shd w:val="clear" w:color="auto" w:fill="B8CCE4"/>
          </w:tcPr>
          <w:p w:rsidR="006E6CB9" w:rsidRPr="006A0E0A" w:rsidRDefault="006E6CB9" w:rsidP="006E6CB9">
            <w:pPr>
              <w:spacing w:before="60" w:line="600" w:lineRule="auto"/>
              <w:ind w:left="-110" w:right="-108"/>
              <w:jc w:val="center"/>
              <w:rPr>
                <w:rFonts w:cs="Arial"/>
                <w:b/>
                <w:lang w:val="pt-PT"/>
              </w:rPr>
            </w:pPr>
            <w:r w:rsidRPr="006A0E0A">
              <w:rPr>
                <w:rFonts w:cs="Arial"/>
                <w:b/>
                <w:lang w:val="pt-PT"/>
              </w:rPr>
              <w:t>Bloco</w:t>
            </w:r>
          </w:p>
        </w:tc>
        <w:tc>
          <w:tcPr>
            <w:tcW w:w="3690" w:type="dxa"/>
            <w:tcBorders>
              <w:top w:val="single" w:sz="18" w:space="0" w:color="auto"/>
              <w:left w:val="single" w:sz="4" w:space="0" w:color="auto"/>
              <w:bottom w:val="single" w:sz="18" w:space="0" w:color="auto"/>
              <w:right w:val="single" w:sz="4" w:space="0" w:color="auto"/>
            </w:tcBorders>
            <w:shd w:val="clear" w:color="auto" w:fill="B8CCE4"/>
          </w:tcPr>
          <w:p w:rsidR="006E6CB9" w:rsidRPr="006A0E0A" w:rsidRDefault="006E6CB9" w:rsidP="006E6CB9">
            <w:pPr>
              <w:spacing w:before="60" w:line="600" w:lineRule="auto"/>
              <w:jc w:val="center"/>
              <w:rPr>
                <w:rFonts w:cs="Arial"/>
                <w:b/>
                <w:lang w:val="pt-PT"/>
              </w:rPr>
            </w:pPr>
            <w:r w:rsidRPr="006A0E0A">
              <w:rPr>
                <w:rFonts w:cs="Arial"/>
                <w:b/>
                <w:lang w:val="pt-PT"/>
              </w:rPr>
              <w:t>Título do Bloco</w:t>
            </w:r>
          </w:p>
        </w:tc>
        <w:tc>
          <w:tcPr>
            <w:tcW w:w="4050" w:type="dxa"/>
            <w:tcBorders>
              <w:top w:val="single" w:sz="18" w:space="0" w:color="auto"/>
              <w:left w:val="single" w:sz="4" w:space="0" w:color="auto"/>
              <w:bottom w:val="single" w:sz="18" w:space="0" w:color="auto"/>
              <w:right w:val="single" w:sz="4" w:space="0" w:color="auto"/>
            </w:tcBorders>
            <w:shd w:val="clear" w:color="auto" w:fill="B8CCE4"/>
          </w:tcPr>
          <w:p w:rsidR="006E6CB9" w:rsidRPr="006A0E0A" w:rsidRDefault="006E6CB9" w:rsidP="006E6CB9">
            <w:pPr>
              <w:tabs>
                <w:tab w:val="left" w:pos="244"/>
              </w:tabs>
              <w:spacing w:before="60" w:line="600" w:lineRule="auto"/>
              <w:jc w:val="center"/>
              <w:rPr>
                <w:rFonts w:cs="Arial"/>
                <w:b/>
                <w:lang w:val="pt-PT"/>
              </w:rPr>
            </w:pPr>
            <w:r w:rsidRPr="006A0E0A">
              <w:rPr>
                <w:rFonts w:cs="Arial"/>
                <w:b/>
                <w:lang w:val="pt-PT"/>
              </w:rPr>
              <w:t>Método de Ensino</w:t>
            </w:r>
          </w:p>
        </w:tc>
        <w:tc>
          <w:tcPr>
            <w:tcW w:w="1710" w:type="dxa"/>
            <w:tcBorders>
              <w:top w:val="single" w:sz="18" w:space="0" w:color="auto"/>
              <w:left w:val="single" w:sz="4" w:space="0" w:color="auto"/>
              <w:bottom w:val="single" w:sz="18" w:space="0" w:color="auto"/>
            </w:tcBorders>
            <w:shd w:val="clear" w:color="auto" w:fill="B8CCE4"/>
          </w:tcPr>
          <w:p w:rsidR="006E6CB9" w:rsidRPr="006A0E0A" w:rsidRDefault="006E6CB9" w:rsidP="006E6CB9">
            <w:pPr>
              <w:tabs>
                <w:tab w:val="left" w:pos="244"/>
              </w:tabs>
              <w:spacing w:before="60" w:line="600" w:lineRule="auto"/>
              <w:jc w:val="center"/>
              <w:rPr>
                <w:rFonts w:cs="Arial"/>
                <w:b/>
                <w:lang w:val="pt-PT"/>
              </w:rPr>
            </w:pPr>
            <w:r w:rsidRPr="006A0E0A">
              <w:rPr>
                <w:rFonts w:cs="Arial"/>
                <w:b/>
                <w:lang w:val="pt-PT"/>
              </w:rPr>
              <w:t>Duração</w:t>
            </w:r>
          </w:p>
        </w:tc>
      </w:tr>
      <w:tr w:rsidR="006E6CB9" w:rsidRPr="006A0E0A" w:rsidTr="006E6CB9">
        <w:tc>
          <w:tcPr>
            <w:tcW w:w="738" w:type="dxa"/>
            <w:tcBorders>
              <w:top w:val="single" w:sz="18" w:space="0" w:color="auto"/>
              <w:bottom w:val="single" w:sz="4" w:space="0" w:color="auto"/>
              <w:right w:val="single" w:sz="4" w:space="0" w:color="auto"/>
            </w:tcBorders>
          </w:tcPr>
          <w:p w:rsidR="006E6CB9" w:rsidRPr="006A0E0A" w:rsidRDefault="006E6CB9" w:rsidP="006E6CB9">
            <w:pPr>
              <w:spacing w:before="60" w:after="60" w:line="600" w:lineRule="auto"/>
              <w:ind w:left="-110" w:right="-108"/>
              <w:jc w:val="center"/>
              <w:rPr>
                <w:rFonts w:cs="Arial"/>
                <w:lang w:val="pt-PT"/>
              </w:rPr>
            </w:pPr>
            <w:r w:rsidRPr="006A0E0A">
              <w:rPr>
                <w:rFonts w:cs="Arial"/>
                <w:lang w:val="pt-PT"/>
              </w:rPr>
              <w:t>1</w:t>
            </w:r>
          </w:p>
        </w:tc>
        <w:tc>
          <w:tcPr>
            <w:tcW w:w="3690" w:type="dxa"/>
            <w:tcBorders>
              <w:top w:val="single" w:sz="18" w:space="0" w:color="auto"/>
              <w:left w:val="single" w:sz="4" w:space="0" w:color="auto"/>
              <w:bottom w:val="single" w:sz="4" w:space="0" w:color="auto"/>
              <w:right w:val="single" w:sz="4" w:space="0" w:color="auto"/>
            </w:tcBorders>
          </w:tcPr>
          <w:p w:rsidR="006E6CB9" w:rsidRPr="006A0E0A" w:rsidRDefault="006E6CB9" w:rsidP="006E6CB9">
            <w:pPr>
              <w:tabs>
                <w:tab w:val="left" w:pos="244"/>
              </w:tabs>
              <w:spacing w:before="60" w:after="60" w:line="600" w:lineRule="auto"/>
              <w:rPr>
                <w:rFonts w:cs="Arial"/>
                <w:lang w:val="pt-PT"/>
              </w:rPr>
            </w:pPr>
            <w:r w:rsidRPr="006A0E0A">
              <w:rPr>
                <w:rFonts w:cs="Arial"/>
                <w:lang w:val="pt-PT"/>
              </w:rPr>
              <w:t>Introdução à Aula</w:t>
            </w:r>
          </w:p>
        </w:tc>
        <w:tc>
          <w:tcPr>
            <w:tcW w:w="4050" w:type="dxa"/>
            <w:tcBorders>
              <w:top w:val="single" w:sz="18" w:space="0" w:color="auto"/>
              <w:left w:val="single" w:sz="4" w:space="0" w:color="auto"/>
              <w:bottom w:val="single" w:sz="4" w:space="0" w:color="auto"/>
              <w:right w:val="single" w:sz="4" w:space="0" w:color="auto"/>
            </w:tcBorders>
          </w:tcPr>
          <w:p w:rsidR="006E6CB9" w:rsidRPr="006A0E0A" w:rsidRDefault="006E6CB9" w:rsidP="006E6CB9">
            <w:pPr>
              <w:tabs>
                <w:tab w:val="left" w:pos="244"/>
              </w:tabs>
              <w:spacing w:before="60" w:after="60" w:line="600" w:lineRule="auto"/>
              <w:rPr>
                <w:rFonts w:cs="Arial"/>
                <w:lang w:val="pt-PT"/>
              </w:rPr>
            </w:pPr>
          </w:p>
        </w:tc>
        <w:tc>
          <w:tcPr>
            <w:tcW w:w="1710" w:type="dxa"/>
            <w:tcBorders>
              <w:top w:val="single" w:sz="18" w:space="0" w:color="auto"/>
              <w:left w:val="single" w:sz="4" w:space="0" w:color="auto"/>
              <w:bottom w:val="single" w:sz="4" w:space="0" w:color="auto"/>
            </w:tcBorders>
          </w:tcPr>
          <w:p w:rsidR="006E6CB9" w:rsidRPr="006A0E0A" w:rsidRDefault="006E6CB9" w:rsidP="006E6CB9">
            <w:pPr>
              <w:tabs>
                <w:tab w:val="left" w:pos="244"/>
              </w:tabs>
              <w:spacing w:before="60" w:after="60" w:line="600" w:lineRule="auto"/>
              <w:jc w:val="right"/>
              <w:rPr>
                <w:rFonts w:cs="Arial"/>
                <w:lang w:val="pt-PT"/>
              </w:rPr>
            </w:pPr>
          </w:p>
        </w:tc>
      </w:tr>
      <w:tr w:rsidR="006E6CB9" w:rsidRPr="00FC6E81" w:rsidTr="006E6CB9">
        <w:tc>
          <w:tcPr>
            <w:tcW w:w="738" w:type="dxa"/>
            <w:tcBorders>
              <w:top w:val="single" w:sz="4" w:space="0" w:color="auto"/>
              <w:bottom w:val="single" w:sz="4" w:space="0" w:color="auto"/>
              <w:right w:val="single" w:sz="4" w:space="0" w:color="auto"/>
            </w:tcBorders>
            <w:shd w:val="clear" w:color="auto" w:fill="D9D9D9"/>
          </w:tcPr>
          <w:p w:rsidR="006E6CB9" w:rsidRPr="006A0E0A" w:rsidRDefault="006E6CB9" w:rsidP="006E6CB9">
            <w:pPr>
              <w:spacing w:before="60" w:after="60" w:line="600" w:lineRule="auto"/>
              <w:ind w:left="-110" w:right="-108"/>
              <w:jc w:val="center"/>
              <w:rPr>
                <w:rFonts w:cs="Arial"/>
                <w:lang w:val="pt-PT"/>
              </w:rPr>
            </w:pPr>
            <w:r w:rsidRPr="006A0E0A">
              <w:rPr>
                <w:rFonts w:cs="Arial"/>
                <w:lang w:val="pt-PT"/>
              </w:rPr>
              <w:t>2</w:t>
            </w:r>
          </w:p>
        </w:tc>
        <w:tc>
          <w:tcPr>
            <w:tcW w:w="3690" w:type="dxa"/>
            <w:tcBorders>
              <w:top w:val="single" w:sz="4" w:space="0" w:color="auto"/>
              <w:left w:val="single" w:sz="4" w:space="0" w:color="auto"/>
              <w:bottom w:val="single" w:sz="4" w:space="0" w:color="auto"/>
              <w:right w:val="single" w:sz="4" w:space="0" w:color="auto"/>
            </w:tcBorders>
            <w:shd w:val="clear" w:color="auto" w:fill="D9D9D9"/>
          </w:tcPr>
          <w:p w:rsidR="006E6CB9" w:rsidRPr="006A0E0A" w:rsidRDefault="006E6CB9" w:rsidP="005F3F7B">
            <w:pPr>
              <w:tabs>
                <w:tab w:val="left" w:pos="244"/>
              </w:tabs>
              <w:spacing w:after="0" w:line="600" w:lineRule="auto"/>
              <w:rPr>
                <w:rFonts w:cs="Arial"/>
                <w:iCs/>
                <w:lang w:val="pt-PT"/>
              </w:rPr>
            </w:pPr>
            <w:r w:rsidRPr="006A0E0A">
              <w:rPr>
                <w:rFonts w:cs="Arial"/>
                <w:iCs/>
                <w:lang w:val="pt-PT"/>
              </w:rPr>
              <w:t>Fármacos usados no Sistema Nervoso</w:t>
            </w:r>
          </w:p>
        </w:tc>
        <w:tc>
          <w:tcPr>
            <w:tcW w:w="4050" w:type="dxa"/>
            <w:tcBorders>
              <w:top w:val="single" w:sz="4" w:space="0" w:color="auto"/>
              <w:left w:val="single" w:sz="4" w:space="0" w:color="auto"/>
              <w:bottom w:val="single" w:sz="4" w:space="0" w:color="auto"/>
              <w:right w:val="single" w:sz="4" w:space="0" w:color="auto"/>
            </w:tcBorders>
            <w:shd w:val="clear" w:color="auto" w:fill="D9D9D9"/>
          </w:tcPr>
          <w:p w:rsidR="006E6CB9" w:rsidRPr="006A0E0A" w:rsidRDefault="006E6CB9" w:rsidP="006E6CB9">
            <w:pPr>
              <w:spacing w:before="60" w:after="60" w:line="600" w:lineRule="auto"/>
              <w:ind w:left="-18" w:firstLine="18"/>
              <w:rPr>
                <w:rFonts w:cs="Arial"/>
                <w:lang w:val="pt-PT"/>
              </w:rPr>
            </w:pPr>
          </w:p>
        </w:tc>
        <w:tc>
          <w:tcPr>
            <w:tcW w:w="1710" w:type="dxa"/>
            <w:tcBorders>
              <w:top w:val="single" w:sz="4" w:space="0" w:color="auto"/>
              <w:left w:val="single" w:sz="4" w:space="0" w:color="auto"/>
              <w:bottom w:val="single" w:sz="4" w:space="0" w:color="auto"/>
            </w:tcBorders>
            <w:shd w:val="clear" w:color="auto" w:fill="D9D9D9"/>
          </w:tcPr>
          <w:p w:rsidR="006E6CB9" w:rsidRPr="006A0E0A" w:rsidRDefault="006E6CB9" w:rsidP="006E6CB9">
            <w:pPr>
              <w:spacing w:before="60" w:after="60" w:line="600" w:lineRule="auto"/>
              <w:ind w:left="-18" w:firstLine="18"/>
              <w:jc w:val="right"/>
              <w:rPr>
                <w:rFonts w:cs="Arial"/>
                <w:lang w:val="pt-PT"/>
              </w:rPr>
            </w:pPr>
          </w:p>
        </w:tc>
      </w:tr>
      <w:tr w:rsidR="006E6CB9" w:rsidRPr="00FC6E81" w:rsidTr="006E6CB9">
        <w:tc>
          <w:tcPr>
            <w:tcW w:w="738" w:type="dxa"/>
            <w:tcBorders>
              <w:top w:val="single" w:sz="4" w:space="0" w:color="auto"/>
              <w:bottom w:val="single" w:sz="4" w:space="0" w:color="auto"/>
              <w:right w:val="single" w:sz="4" w:space="0" w:color="auto"/>
            </w:tcBorders>
          </w:tcPr>
          <w:p w:rsidR="006E6CB9" w:rsidRPr="006A0E0A" w:rsidRDefault="006E6CB9" w:rsidP="006E6CB9">
            <w:pPr>
              <w:spacing w:before="60" w:after="60" w:line="600" w:lineRule="auto"/>
              <w:ind w:left="-110" w:right="-108"/>
              <w:jc w:val="center"/>
              <w:rPr>
                <w:rFonts w:cs="Arial"/>
                <w:lang w:val="pt-PT"/>
              </w:rPr>
            </w:pPr>
            <w:r w:rsidRPr="006A0E0A">
              <w:rPr>
                <w:rFonts w:cs="Arial"/>
                <w:lang w:val="pt-PT"/>
              </w:rPr>
              <w:t>3</w:t>
            </w:r>
          </w:p>
        </w:tc>
        <w:tc>
          <w:tcPr>
            <w:tcW w:w="3690" w:type="dxa"/>
            <w:tcBorders>
              <w:top w:val="single" w:sz="4" w:space="0" w:color="auto"/>
              <w:left w:val="single" w:sz="4" w:space="0" w:color="auto"/>
              <w:bottom w:val="single" w:sz="4" w:space="0" w:color="auto"/>
              <w:right w:val="single" w:sz="4" w:space="0" w:color="auto"/>
            </w:tcBorders>
          </w:tcPr>
          <w:p w:rsidR="006E6CB9" w:rsidRPr="006A0E0A" w:rsidRDefault="006E6CB9" w:rsidP="005F3F7B">
            <w:pPr>
              <w:tabs>
                <w:tab w:val="left" w:pos="244"/>
              </w:tabs>
              <w:spacing w:after="0" w:line="600" w:lineRule="auto"/>
              <w:rPr>
                <w:rFonts w:cs="Arial"/>
                <w:iCs/>
                <w:lang w:val="pt-PT"/>
              </w:rPr>
            </w:pPr>
            <w:r w:rsidRPr="006A0E0A">
              <w:rPr>
                <w:rFonts w:cs="Arial"/>
                <w:iCs/>
                <w:lang w:val="pt-PT"/>
              </w:rPr>
              <w:t>Fármacos usados no Aparelho Cardiovascular</w:t>
            </w:r>
          </w:p>
        </w:tc>
        <w:tc>
          <w:tcPr>
            <w:tcW w:w="4050" w:type="dxa"/>
            <w:tcBorders>
              <w:top w:val="single" w:sz="4" w:space="0" w:color="auto"/>
              <w:left w:val="single" w:sz="4" w:space="0" w:color="auto"/>
              <w:bottom w:val="single" w:sz="4" w:space="0" w:color="auto"/>
              <w:right w:val="single" w:sz="4" w:space="0" w:color="auto"/>
            </w:tcBorders>
          </w:tcPr>
          <w:p w:rsidR="006E6CB9" w:rsidRPr="006A0E0A" w:rsidRDefault="006E6CB9" w:rsidP="006E6CB9">
            <w:pPr>
              <w:spacing w:before="60" w:after="60" w:line="600" w:lineRule="auto"/>
              <w:ind w:left="-18" w:firstLine="18"/>
              <w:rPr>
                <w:rFonts w:cs="Arial"/>
                <w:lang w:val="pt-PT"/>
              </w:rPr>
            </w:pPr>
          </w:p>
        </w:tc>
        <w:tc>
          <w:tcPr>
            <w:tcW w:w="1710" w:type="dxa"/>
            <w:tcBorders>
              <w:top w:val="single" w:sz="4" w:space="0" w:color="auto"/>
              <w:left w:val="single" w:sz="4" w:space="0" w:color="auto"/>
              <w:bottom w:val="single" w:sz="4" w:space="0" w:color="auto"/>
            </w:tcBorders>
          </w:tcPr>
          <w:p w:rsidR="006E6CB9" w:rsidRPr="006A0E0A" w:rsidRDefault="006E6CB9" w:rsidP="006E6CB9">
            <w:pPr>
              <w:spacing w:before="60" w:after="60" w:line="600" w:lineRule="auto"/>
              <w:ind w:left="-18" w:firstLine="18"/>
              <w:jc w:val="right"/>
              <w:rPr>
                <w:rFonts w:cs="Arial"/>
                <w:lang w:val="pt-PT"/>
              </w:rPr>
            </w:pPr>
          </w:p>
        </w:tc>
      </w:tr>
      <w:tr w:rsidR="006E6CB9" w:rsidRPr="00FC6E81" w:rsidTr="006E6CB9">
        <w:tc>
          <w:tcPr>
            <w:tcW w:w="738" w:type="dxa"/>
            <w:tcBorders>
              <w:top w:val="single" w:sz="4" w:space="0" w:color="auto"/>
              <w:bottom w:val="single" w:sz="4" w:space="0" w:color="auto"/>
              <w:right w:val="single" w:sz="4" w:space="0" w:color="auto"/>
            </w:tcBorders>
            <w:shd w:val="clear" w:color="auto" w:fill="D9D9D9"/>
          </w:tcPr>
          <w:p w:rsidR="006E6CB9" w:rsidRPr="006A0E0A" w:rsidRDefault="006E6CB9" w:rsidP="006E6CB9">
            <w:pPr>
              <w:spacing w:before="60" w:after="60" w:line="600" w:lineRule="auto"/>
              <w:ind w:left="-110" w:right="-108"/>
              <w:jc w:val="center"/>
              <w:rPr>
                <w:rFonts w:cs="Arial"/>
                <w:lang w:val="pt-PT"/>
              </w:rPr>
            </w:pPr>
            <w:r w:rsidRPr="006A0E0A">
              <w:rPr>
                <w:rFonts w:cs="Arial"/>
                <w:lang w:val="pt-PT"/>
              </w:rPr>
              <w:t>4</w:t>
            </w:r>
          </w:p>
        </w:tc>
        <w:tc>
          <w:tcPr>
            <w:tcW w:w="3690" w:type="dxa"/>
            <w:tcBorders>
              <w:top w:val="single" w:sz="4" w:space="0" w:color="auto"/>
              <w:left w:val="single" w:sz="4" w:space="0" w:color="auto"/>
              <w:bottom w:val="single" w:sz="4" w:space="0" w:color="auto"/>
              <w:right w:val="single" w:sz="4" w:space="0" w:color="auto"/>
            </w:tcBorders>
            <w:shd w:val="clear" w:color="auto" w:fill="D9D9D9"/>
          </w:tcPr>
          <w:p w:rsidR="006E6CB9" w:rsidRPr="006A0E0A" w:rsidRDefault="006E6CB9" w:rsidP="006E6CB9">
            <w:pPr>
              <w:tabs>
                <w:tab w:val="left" w:pos="244"/>
              </w:tabs>
              <w:spacing w:after="60" w:line="600" w:lineRule="auto"/>
              <w:rPr>
                <w:rFonts w:cs="Arial"/>
                <w:iCs/>
                <w:lang w:val="pt-PT"/>
              </w:rPr>
            </w:pPr>
            <w:r w:rsidRPr="006A0E0A">
              <w:rPr>
                <w:rFonts w:cs="Arial"/>
                <w:iCs/>
                <w:lang w:val="pt-PT"/>
              </w:rPr>
              <w:t>Fármacos usados no Aparelho Respiratório</w:t>
            </w:r>
          </w:p>
        </w:tc>
        <w:tc>
          <w:tcPr>
            <w:tcW w:w="4050" w:type="dxa"/>
            <w:tcBorders>
              <w:top w:val="single" w:sz="4" w:space="0" w:color="auto"/>
              <w:left w:val="single" w:sz="4" w:space="0" w:color="auto"/>
              <w:bottom w:val="single" w:sz="4" w:space="0" w:color="auto"/>
              <w:right w:val="single" w:sz="4" w:space="0" w:color="auto"/>
            </w:tcBorders>
            <w:shd w:val="clear" w:color="auto" w:fill="D9D9D9"/>
          </w:tcPr>
          <w:p w:rsidR="006E6CB9" w:rsidRPr="006A0E0A" w:rsidRDefault="006E6CB9" w:rsidP="006E6CB9">
            <w:pPr>
              <w:spacing w:before="60" w:after="60" w:line="600" w:lineRule="auto"/>
              <w:ind w:left="-18" w:firstLine="18"/>
              <w:rPr>
                <w:rFonts w:cs="Arial"/>
                <w:lang w:val="pt-PT"/>
              </w:rPr>
            </w:pPr>
          </w:p>
        </w:tc>
        <w:tc>
          <w:tcPr>
            <w:tcW w:w="1710" w:type="dxa"/>
            <w:tcBorders>
              <w:top w:val="single" w:sz="4" w:space="0" w:color="auto"/>
              <w:left w:val="single" w:sz="4" w:space="0" w:color="auto"/>
              <w:bottom w:val="single" w:sz="4" w:space="0" w:color="auto"/>
            </w:tcBorders>
            <w:shd w:val="clear" w:color="auto" w:fill="D9D9D9"/>
          </w:tcPr>
          <w:p w:rsidR="006E6CB9" w:rsidRPr="006A0E0A" w:rsidRDefault="006E6CB9" w:rsidP="006E6CB9">
            <w:pPr>
              <w:spacing w:before="60" w:after="60" w:line="600" w:lineRule="auto"/>
              <w:ind w:left="-18" w:firstLine="18"/>
              <w:jc w:val="right"/>
              <w:rPr>
                <w:rFonts w:cs="Arial"/>
                <w:lang w:val="pt-PT"/>
              </w:rPr>
            </w:pPr>
          </w:p>
        </w:tc>
      </w:tr>
      <w:tr w:rsidR="006E6CB9" w:rsidRPr="00FC6E81" w:rsidTr="006E6CB9">
        <w:tc>
          <w:tcPr>
            <w:tcW w:w="738" w:type="dxa"/>
            <w:tcBorders>
              <w:top w:val="single" w:sz="4" w:space="0" w:color="auto"/>
              <w:bottom w:val="single" w:sz="4" w:space="0" w:color="auto"/>
              <w:right w:val="single" w:sz="4" w:space="0" w:color="auto"/>
            </w:tcBorders>
          </w:tcPr>
          <w:p w:rsidR="006E6CB9" w:rsidRPr="006A0E0A" w:rsidRDefault="006E6CB9" w:rsidP="006E6CB9">
            <w:pPr>
              <w:spacing w:before="60" w:after="60" w:line="600" w:lineRule="auto"/>
              <w:ind w:left="-110" w:right="-108"/>
              <w:jc w:val="center"/>
              <w:rPr>
                <w:rFonts w:cs="Arial"/>
                <w:lang w:val="pt-PT"/>
              </w:rPr>
            </w:pPr>
            <w:r w:rsidRPr="006A0E0A">
              <w:rPr>
                <w:rFonts w:cs="Arial"/>
                <w:lang w:val="pt-PT"/>
              </w:rPr>
              <w:t>5</w:t>
            </w:r>
          </w:p>
        </w:tc>
        <w:tc>
          <w:tcPr>
            <w:tcW w:w="3690" w:type="dxa"/>
            <w:tcBorders>
              <w:top w:val="single" w:sz="4" w:space="0" w:color="auto"/>
              <w:left w:val="single" w:sz="4" w:space="0" w:color="auto"/>
              <w:bottom w:val="single" w:sz="4" w:space="0" w:color="auto"/>
              <w:right w:val="single" w:sz="4" w:space="0" w:color="auto"/>
            </w:tcBorders>
          </w:tcPr>
          <w:p w:rsidR="006E6CB9" w:rsidRPr="006A0E0A" w:rsidRDefault="006E6CB9" w:rsidP="006E6CB9">
            <w:pPr>
              <w:tabs>
                <w:tab w:val="left" w:pos="244"/>
              </w:tabs>
              <w:spacing w:after="60" w:line="600" w:lineRule="auto"/>
              <w:rPr>
                <w:rFonts w:cs="Arial"/>
                <w:iCs/>
                <w:lang w:val="pt-PT"/>
              </w:rPr>
            </w:pPr>
            <w:r w:rsidRPr="006A0E0A">
              <w:rPr>
                <w:rFonts w:cs="Arial"/>
                <w:iCs/>
                <w:lang w:val="pt-PT"/>
              </w:rPr>
              <w:t>Fármacos usados no Aparelho Gastrointestinal</w:t>
            </w:r>
          </w:p>
        </w:tc>
        <w:tc>
          <w:tcPr>
            <w:tcW w:w="4050" w:type="dxa"/>
            <w:tcBorders>
              <w:top w:val="single" w:sz="4" w:space="0" w:color="auto"/>
              <w:left w:val="single" w:sz="4" w:space="0" w:color="auto"/>
              <w:bottom w:val="single" w:sz="4" w:space="0" w:color="auto"/>
              <w:right w:val="single" w:sz="4" w:space="0" w:color="auto"/>
            </w:tcBorders>
          </w:tcPr>
          <w:p w:rsidR="006E6CB9" w:rsidRPr="006A0E0A" w:rsidRDefault="006E6CB9" w:rsidP="006E6CB9">
            <w:pPr>
              <w:spacing w:before="60" w:after="60" w:line="600" w:lineRule="auto"/>
              <w:ind w:left="-18" w:firstLine="18"/>
              <w:rPr>
                <w:rFonts w:cs="Arial"/>
                <w:lang w:val="pt-PT"/>
              </w:rPr>
            </w:pPr>
          </w:p>
        </w:tc>
        <w:tc>
          <w:tcPr>
            <w:tcW w:w="1710" w:type="dxa"/>
            <w:tcBorders>
              <w:top w:val="single" w:sz="4" w:space="0" w:color="auto"/>
              <w:left w:val="single" w:sz="4" w:space="0" w:color="auto"/>
              <w:bottom w:val="single" w:sz="4" w:space="0" w:color="auto"/>
            </w:tcBorders>
          </w:tcPr>
          <w:p w:rsidR="006E6CB9" w:rsidRPr="006A0E0A" w:rsidRDefault="006E6CB9" w:rsidP="006E6CB9">
            <w:pPr>
              <w:spacing w:before="60" w:after="60" w:line="600" w:lineRule="auto"/>
              <w:ind w:left="-18" w:firstLine="18"/>
              <w:jc w:val="right"/>
              <w:rPr>
                <w:rFonts w:cs="Arial"/>
                <w:lang w:val="pt-PT"/>
              </w:rPr>
            </w:pPr>
          </w:p>
        </w:tc>
      </w:tr>
      <w:tr w:rsidR="006E6CB9" w:rsidRPr="006A0E0A" w:rsidTr="006E6CB9">
        <w:tc>
          <w:tcPr>
            <w:tcW w:w="738" w:type="dxa"/>
            <w:tcBorders>
              <w:top w:val="single" w:sz="4" w:space="0" w:color="auto"/>
              <w:bottom w:val="single" w:sz="18" w:space="0" w:color="auto"/>
              <w:right w:val="single" w:sz="4" w:space="0" w:color="auto"/>
            </w:tcBorders>
            <w:shd w:val="clear" w:color="auto" w:fill="D9D9D9"/>
          </w:tcPr>
          <w:p w:rsidR="006E6CB9" w:rsidRPr="006A0E0A" w:rsidRDefault="006E6CB9" w:rsidP="006E6CB9">
            <w:pPr>
              <w:spacing w:before="60" w:after="60" w:line="600" w:lineRule="auto"/>
              <w:ind w:left="-110" w:right="-108"/>
              <w:jc w:val="center"/>
              <w:rPr>
                <w:rFonts w:cs="Arial"/>
                <w:lang w:val="pt-PT"/>
              </w:rPr>
            </w:pPr>
            <w:r w:rsidRPr="006A0E0A">
              <w:rPr>
                <w:rFonts w:cs="Arial"/>
                <w:lang w:val="pt-PT"/>
              </w:rPr>
              <w:t>6</w:t>
            </w:r>
          </w:p>
        </w:tc>
        <w:tc>
          <w:tcPr>
            <w:tcW w:w="3690" w:type="dxa"/>
            <w:tcBorders>
              <w:top w:val="single" w:sz="4" w:space="0" w:color="auto"/>
              <w:left w:val="single" w:sz="4" w:space="0" w:color="auto"/>
              <w:bottom w:val="single" w:sz="18" w:space="0" w:color="auto"/>
              <w:right w:val="single" w:sz="4" w:space="0" w:color="auto"/>
            </w:tcBorders>
            <w:shd w:val="clear" w:color="auto" w:fill="D9D9D9"/>
          </w:tcPr>
          <w:p w:rsidR="006E6CB9" w:rsidRPr="006A0E0A" w:rsidRDefault="006E6CB9" w:rsidP="006E6CB9">
            <w:pPr>
              <w:tabs>
                <w:tab w:val="left" w:pos="244"/>
              </w:tabs>
              <w:spacing w:before="60" w:after="60" w:line="600" w:lineRule="auto"/>
              <w:rPr>
                <w:rFonts w:cs="Arial"/>
                <w:iCs/>
                <w:lang w:val="pt-PT"/>
              </w:rPr>
            </w:pPr>
            <w:r w:rsidRPr="006A0E0A">
              <w:rPr>
                <w:rFonts w:cs="Arial"/>
                <w:iCs/>
                <w:lang w:val="pt-PT"/>
              </w:rPr>
              <w:t>Pontos-Chave</w:t>
            </w:r>
          </w:p>
        </w:tc>
        <w:tc>
          <w:tcPr>
            <w:tcW w:w="4050" w:type="dxa"/>
            <w:tcBorders>
              <w:top w:val="single" w:sz="4" w:space="0" w:color="auto"/>
              <w:left w:val="single" w:sz="4" w:space="0" w:color="auto"/>
              <w:bottom w:val="single" w:sz="18" w:space="0" w:color="auto"/>
              <w:right w:val="single" w:sz="4" w:space="0" w:color="auto"/>
            </w:tcBorders>
            <w:shd w:val="clear" w:color="auto" w:fill="D9D9D9"/>
          </w:tcPr>
          <w:p w:rsidR="006E6CB9" w:rsidRPr="006A0E0A" w:rsidRDefault="006E6CB9" w:rsidP="006E6CB9">
            <w:pPr>
              <w:spacing w:before="60" w:after="60" w:line="600" w:lineRule="auto"/>
              <w:ind w:left="-18" w:firstLine="18"/>
              <w:rPr>
                <w:rFonts w:cs="Arial"/>
                <w:lang w:val="pt-PT"/>
              </w:rPr>
            </w:pPr>
          </w:p>
        </w:tc>
        <w:tc>
          <w:tcPr>
            <w:tcW w:w="1710" w:type="dxa"/>
            <w:tcBorders>
              <w:top w:val="single" w:sz="4" w:space="0" w:color="auto"/>
              <w:left w:val="single" w:sz="4" w:space="0" w:color="auto"/>
              <w:bottom w:val="single" w:sz="18" w:space="0" w:color="auto"/>
            </w:tcBorders>
            <w:shd w:val="clear" w:color="auto" w:fill="D9D9D9"/>
          </w:tcPr>
          <w:p w:rsidR="006E6CB9" w:rsidRPr="006A0E0A" w:rsidRDefault="006E6CB9" w:rsidP="006E6CB9">
            <w:pPr>
              <w:spacing w:before="60" w:after="60" w:line="600" w:lineRule="auto"/>
              <w:ind w:left="-18" w:firstLine="18"/>
              <w:jc w:val="right"/>
              <w:rPr>
                <w:rFonts w:cs="Arial"/>
                <w:lang w:val="pt-PT"/>
              </w:rPr>
            </w:pPr>
          </w:p>
        </w:tc>
      </w:tr>
    </w:tbl>
    <w:p w:rsidR="006E6CB9" w:rsidRPr="006A0E0A" w:rsidRDefault="006E6CB9" w:rsidP="006E6CB9">
      <w:pPr>
        <w:tabs>
          <w:tab w:val="left" w:pos="424"/>
        </w:tabs>
        <w:spacing w:before="60"/>
        <w:jc w:val="both"/>
        <w:rPr>
          <w:rFonts w:cs="Arial"/>
          <w:b/>
          <w:lang w:val="pt-PT"/>
        </w:rPr>
      </w:pPr>
      <w:r w:rsidRPr="006A0E0A">
        <w:rPr>
          <w:rFonts w:cs="Arial"/>
          <w:b/>
          <w:lang w:val="pt-PT"/>
        </w:rPr>
        <w:lastRenderedPageBreak/>
        <w:t>Equipamentos e meios audiovisuais necessários:</w:t>
      </w:r>
    </w:p>
    <w:p w:rsidR="006E6CB9" w:rsidRPr="006A0E0A" w:rsidRDefault="006E6CB9" w:rsidP="006E6CB9">
      <w:pPr>
        <w:tabs>
          <w:tab w:val="left" w:pos="424"/>
        </w:tabs>
        <w:jc w:val="both"/>
        <w:rPr>
          <w:rFonts w:cs="Arial"/>
          <w:lang w:val="pt-PT"/>
        </w:rPr>
      </w:pPr>
    </w:p>
    <w:p w:rsidR="006E6CB9" w:rsidRDefault="006E6CB9" w:rsidP="006E6CB9">
      <w:pPr>
        <w:tabs>
          <w:tab w:val="left" w:pos="424"/>
        </w:tabs>
        <w:jc w:val="both"/>
        <w:rPr>
          <w:rFonts w:cs="Arial"/>
          <w:lang w:val="pt-PT"/>
        </w:rPr>
      </w:pPr>
    </w:p>
    <w:p w:rsidR="005F3F7B" w:rsidRDefault="005F3F7B" w:rsidP="006E6CB9">
      <w:pPr>
        <w:tabs>
          <w:tab w:val="left" w:pos="424"/>
        </w:tabs>
        <w:jc w:val="both"/>
        <w:rPr>
          <w:rFonts w:cs="Arial"/>
          <w:lang w:val="pt-PT"/>
        </w:rPr>
      </w:pPr>
    </w:p>
    <w:p w:rsidR="007701A8" w:rsidRDefault="007701A8" w:rsidP="006E6CB9">
      <w:pPr>
        <w:tabs>
          <w:tab w:val="left" w:pos="424"/>
        </w:tabs>
        <w:jc w:val="both"/>
        <w:rPr>
          <w:rFonts w:cs="Arial"/>
          <w:lang w:val="pt-PT"/>
        </w:rPr>
      </w:pPr>
    </w:p>
    <w:p w:rsidR="007701A8" w:rsidRDefault="007701A8" w:rsidP="006E6CB9">
      <w:pPr>
        <w:tabs>
          <w:tab w:val="left" w:pos="424"/>
        </w:tabs>
        <w:jc w:val="both"/>
        <w:rPr>
          <w:rFonts w:cs="Arial"/>
          <w:lang w:val="pt-PT"/>
        </w:rPr>
      </w:pPr>
    </w:p>
    <w:p w:rsidR="007701A8" w:rsidRDefault="007701A8" w:rsidP="006E6CB9">
      <w:pPr>
        <w:tabs>
          <w:tab w:val="left" w:pos="424"/>
        </w:tabs>
        <w:jc w:val="both"/>
        <w:rPr>
          <w:rFonts w:cs="Arial"/>
          <w:lang w:val="pt-PT"/>
        </w:rPr>
      </w:pPr>
    </w:p>
    <w:p w:rsidR="007701A8" w:rsidRDefault="007701A8" w:rsidP="006E6CB9">
      <w:pPr>
        <w:tabs>
          <w:tab w:val="left" w:pos="424"/>
        </w:tabs>
        <w:jc w:val="both"/>
        <w:rPr>
          <w:rFonts w:cs="Arial"/>
          <w:lang w:val="pt-PT"/>
        </w:rPr>
      </w:pPr>
    </w:p>
    <w:p w:rsidR="007701A8" w:rsidRDefault="007701A8" w:rsidP="006E6CB9">
      <w:pPr>
        <w:tabs>
          <w:tab w:val="left" w:pos="424"/>
        </w:tabs>
        <w:jc w:val="both"/>
        <w:rPr>
          <w:rFonts w:cs="Arial"/>
          <w:lang w:val="pt-PT"/>
        </w:rPr>
      </w:pPr>
    </w:p>
    <w:p w:rsidR="007701A8" w:rsidRDefault="007701A8" w:rsidP="006E6CB9">
      <w:pPr>
        <w:tabs>
          <w:tab w:val="left" w:pos="424"/>
        </w:tabs>
        <w:jc w:val="both"/>
        <w:rPr>
          <w:rFonts w:cs="Arial"/>
          <w:lang w:val="pt-PT"/>
        </w:rPr>
      </w:pPr>
    </w:p>
    <w:p w:rsidR="005F3F7B" w:rsidRPr="006A0E0A" w:rsidRDefault="005F3F7B" w:rsidP="006E6CB9">
      <w:pPr>
        <w:tabs>
          <w:tab w:val="left" w:pos="424"/>
        </w:tabs>
        <w:jc w:val="both"/>
        <w:rPr>
          <w:rFonts w:cs="Arial"/>
          <w:lang w:val="pt-PT"/>
        </w:rPr>
      </w:pPr>
    </w:p>
    <w:p w:rsidR="006E6CB9" w:rsidRPr="006A0E0A" w:rsidRDefault="006E6CB9" w:rsidP="006E6CB9">
      <w:pPr>
        <w:tabs>
          <w:tab w:val="left" w:pos="424"/>
        </w:tabs>
        <w:jc w:val="both"/>
        <w:rPr>
          <w:rFonts w:cs="Arial"/>
          <w:lang w:val="pt-PT"/>
        </w:rPr>
      </w:pPr>
      <w:r w:rsidRPr="006A0E0A">
        <w:rPr>
          <w:rFonts w:cs="Arial"/>
          <w:b/>
          <w:lang w:val="pt-PT"/>
        </w:rPr>
        <w:t>Trabalhos para casa (TPC), exercícios e textos para leitura – incluir data a ser entregue:</w:t>
      </w:r>
      <w:r w:rsidRPr="006A0E0A">
        <w:rPr>
          <w:rFonts w:cs="Arial"/>
          <w:lang w:val="pt-PT"/>
        </w:rPr>
        <w:t xml:space="preserve"> </w:t>
      </w:r>
    </w:p>
    <w:p w:rsidR="006E6CB9" w:rsidRDefault="006E6CB9" w:rsidP="006E6CB9">
      <w:pPr>
        <w:tabs>
          <w:tab w:val="left" w:pos="424"/>
        </w:tabs>
        <w:jc w:val="both"/>
        <w:rPr>
          <w:rFonts w:cs="Arial"/>
          <w:lang w:val="pt-PT"/>
        </w:rPr>
      </w:pPr>
    </w:p>
    <w:p w:rsidR="005F3F7B" w:rsidRDefault="005F3F7B" w:rsidP="006E6CB9">
      <w:pPr>
        <w:tabs>
          <w:tab w:val="left" w:pos="424"/>
        </w:tabs>
        <w:jc w:val="both"/>
        <w:rPr>
          <w:rFonts w:cs="Arial"/>
          <w:lang w:val="pt-PT"/>
        </w:rPr>
      </w:pPr>
    </w:p>
    <w:p w:rsidR="007701A8" w:rsidRDefault="007701A8" w:rsidP="006E6CB9">
      <w:pPr>
        <w:tabs>
          <w:tab w:val="left" w:pos="424"/>
        </w:tabs>
        <w:jc w:val="both"/>
        <w:rPr>
          <w:rFonts w:cs="Arial"/>
          <w:lang w:val="pt-PT"/>
        </w:rPr>
      </w:pPr>
    </w:p>
    <w:p w:rsidR="007701A8" w:rsidRDefault="007701A8" w:rsidP="006E6CB9">
      <w:pPr>
        <w:tabs>
          <w:tab w:val="left" w:pos="424"/>
        </w:tabs>
        <w:jc w:val="both"/>
        <w:rPr>
          <w:rFonts w:cs="Arial"/>
          <w:lang w:val="pt-PT"/>
        </w:rPr>
      </w:pPr>
    </w:p>
    <w:p w:rsidR="007701A8" w:rsidRDefault="007701A8" w:rsidP="006E6CB9">
      <w:pPr>
        <w:tabs>
          <w:tab w:val="left" w:pos="424"/>
        </w:tabs>
        <w:jc w:val="both"/>
        <w:rPr>
          <w:rFonts w:cs="Arial"/>
          <w:lang w:val="pt-PT"/>
        </w:rPr>
      </w:pPr>
    </w:p>
    <w:p w:rsidR="007701A8" w:rsidRDefault="007701A8" w:rsidP="006E6CB9">
      <w:pPr>
        <w:tabs>
          <w:tab w:val="left" w:pos="424"/>
        </w:tabs>
        <w:jc w:val="both"/>
        <w:rPr>
          <w:rFonts w:cs="Arial"/>
          <w:lang w:val="pt-PT"/>
        </w:rPr>
      </w:pPr>
    </w:p>
    <w:p w:rsidR="007701A8" w:rsidRDefault="007701A8" w:rsidP="006E6CB9">
      <w:pPr>
        <w:tabs>
          <w:tab w:val="left" w:pos="424"/>
        </w:tabs>
        <w:jc w:val="both"/>
        <w:rPr>
          <w:rFonts w:cs="Arial"/>
          <w:lang w:val="pt-PT"/>
        </w:rPr>
      </w:pPr>
    </w:p>
    <w:p w:rsidR="007701A8" w:rsidRDefault="007701A8" w:rsidP="006E6CB9">
      <w:pPr>
        <w:tabs>
          <w:tab w:val="left" w:pos="424"/>
        </w:tabs>
        <w:jc w:val="both"/>
        <w:rPr>
          <w:rFonts w:cs="Arial"/>
          <w:lang w:val="pt-PT"/>
        </w:rPr>
      </w:pPr>
    </w:p>
    <w:p w:rsidR="005F3F7B" w:rsidRDefault="005F3F7B" w:rsidP="006E6CB9">
      <w:pPr>
        <w:tabs>
          <w:tab w:val="left" w:pos="424"/>
        </w:tabs>
        <w:jc w:val="both"/>
        <w:rPr>
          <w:rFonts w:cs="Arial"/>
          <w:lang w:val="pt-PT"/>
        </w:rPr>
      </w:pPr>
    </w:p>
    <w:p w:rsidR="005F3F7B" w:rsidRDefault="005F3F7B" w:rsidP="006E6CB9">
      <w:pPr>
        <w:tabs>
          <w:tab w:val="left" w:pos="424"/>
        </w:tabs>
        <w:jc w:val="both"/>
        <w:rPr>
          <w:rFonts w:cs="Arial"/>
          <w:lang w:val="pt-PT"/>
        </w:rPr>
      </w:pPr>
    </w:p>
    <w:p w:rsidR="005F3F7B" w:rsidRDefault="005F3F7B" w:rsidP="006E6CB9">
      <w:pPr>
        <w:tabs>
          <w:tab w:val="left" w:pos="424"/>
        </w:tabs>
        <w:jc w:val="both"/>
        <w:rPr>
          <w:rFonts w:cs="Arial"/>
          <w:lang w:val="pt-PT"/>
        </w:rPr>
      </w:pPr>
    </w:p>
    <w:p w:rsidR="006E6CB9" w:rsidRPr="006A0E0A" w:rsidRDefault="006E6CB9" w:rsidP="006E6CB9">
      <w:pPr>
        <w:tabs>
          <w:tab w:val="left" w:pos="424"/>
        </w:tabs>
        <w:jc w:val="both"/>
        <w:rPr>
          <w:rFonts w:cs="Arial"/>
          <w:lang w:val="pt-PT"/>
        </w:rPr>
      </w:pPr>
    </w:p>
    <w:p w:rsidR="006E6CB9" w:rsidRPr="00927EAF" w:rsidRDefault="006E6CB9" w:rsidP="00927EAF">
      <w:pPr>
        <w:rPr>
          <w:b/>
          <w:lang w:val="pt-PT"/>
        </w:rPr>
      </w:pPr>
      <w:r w:rsidRPr="00927EAF">
        <w:rPr>
          <w:b/>
          <w:lang w:val="pt-PT"/>
        </w:rPr>
        <w:t>Bibliografia (referências usadas para o desenvolvimento do conteúdo):</w:t>
      </w:r>
    </w:p>
    <w:p w:rsidR="006E6CB9" w:rsidRPr="006A0E0A" w:rsidRDefault="006E6CB9" w:rsidP="006E6CB9">
      <w:pPr>
        <w:rPr>
          <w:lang w:val="pt-PT"/>
        </w:rPr>
      </w:pPr>
      <w:r w:rsidRPr="006A0E0A">
        <w:rPr>
          <w:lang w:val="en-GB"/>
        </w:rPr>
        <w:t xml:space="preserve">Brunton LL, Lazo JS, Parker KL. </w:t>
      </w:r>
      <w:r w:rsidRPr="006A0E0A">
        <w:rPr>
          <w:lang w:val="pt-PT"/>
        </w:rPr>
        <w:t>Goodman e Gilman - As bases farmacológicas da terapêutica. 11 Edição. Brasil: Mcgraw-Hill; 2006.</w:t>
      </w:r>
    </w:p>
    <w:p w:rsidR="006E6CB9" w:rsidRPr="006A0E0A" w:rsidRDefault="006E6CB9" w:rsidP="006E6CB9">
      <w:pPr>
        <w:rPr>
          <w:lang w:val="pt-PT"/>
        </w:rPr>
      </w:pPr>
      <w:r w:rsidRPr="006A0E0A">
        <w:rPr>
          <w:lang w:val="pt-PT"/>
        </w:rPr>
        <w:t>Katzung B. Farmacologia básica e clínica. 9 Edição. Brasil: Guanabara Koogan; 2006.</w:t>
      </w:r>
    </w:p>
    <w:p w:rsidR="006E6CB9" w:rsidRPr="006A0E0A" w:rsidRDefault="006E6CB9" w:rsidP="006E6CB9">
      <w:pPr>
        <w:rPr>
          <w:lang w:val="pt-PT"/>
        </w:rPr>
      </w:pPr>
      <w:r w:rsidRPr="006A0E0A">
        <w:rPr>
          <w:lang w:val="pt-PT"/>
        </w:rPr>
        <w:t>MISAU. Formulário Nacional de Medicamentos. 5ª edição. Maputo. +</w:t>
      </w:r>
    </w:p>
    <w:p w:rsidR="005F3F7B" w:rsidRDefault="006E6CB9" w:rsidP="006E6CB9">
      <w:pPr>
        <w:rPr>
          <w:lang w:val="pt-PT"/>
        </w:rPr>
      </w:pPr>
      <w:r w:rsidRPr="006A0E0A">
        <w:rPr>
          <w:lang w:val="pt-PT"/>
        </w:rPr>
        <w:t xml:space="preserve">Nelson DL, Cox MM. Princípios de bioquímica do Lehninger. 4 edição. W.H. Freeman; 2004. </w:t>
      </w:r>
    </w:p>
    <w:p w:rsidR="006E6CB9" w:rsidRPr="006E6CB9" w:rsidRDefault="005F3F7B" w:rsidP="005F3F7B">
      <w:pPr>
        <w:pStyle w:val="TM-1n"/>
        <w:numPr>
          <w:ilvl w:val="0"/>
          <w:numId w:val="0"/>
        </w:numPr>
        <w:shd w:val="clear" w:color="auto" w:fill="C6D9F1"/>
        <w:tabs>
          <w:tab w:val="clear" w:pos="9072"/>
          <w:tab w:val="left" w:pos="284"/>
        </w:tabs>
        <w:rPr>
          <w:sz w:val="22"/>
          <w:szCs w:val="22"/>
        </w:rPr>
      </w:pPr>
      <w:r>
        <w:rPr>
          <w:sz w:val="22"/>
          <w:szCs w:val="22"/>
        </w:rPr>
        <w:lastRenderedPageBreak/>
        <w:t xml:space="preserve">BLOCO 1: </w:t>
      </w:r>
      <w:r w:rsidR="006E6CB9" w:rsidRPr="006E6CB9">
        <w:rPr>
          <w:sz w:val="22"/>
          <w:szCs w:val="22"/>
        </w:rPr>
        <w:t>INTRODUÇÃO A AULA</w:t>
      </w:r>
    </w:p>
    <w:p w:rsidR="008E3E9B" w:rsidRDefault="006E6CB9" w:rsidP="00C52E09">
      <w:pPr>
        <w:pStyle w:val="TM-2n"/>
        <w:numPr>
          <w:ilvl w:val="1"/>
          <w:numId w:val="261"/>
        </w:numPr>
        <w:spacing w:before="120" w:after="0" w:line="276" w:lineRule="auto"/>
      </w:pPr>
      <w:r w:rsidRPr="006A0E0A">
        <w:t>Apresentação do tópico, conteúdos e objectivos de aprendizagem.</w:t>
      </w:r>
    </w:p>
    <w:p w:rsidR="008E3E9B" w:rsidRDefault="006E6CB9" w:rsidP="00C52E09">
      <w:pPr>
        <w:pStyle w:val="TM-2n"/>
        <w:numPr>
          <w:ilvl w:val="1"/>
          <w:numId w:val="261"/>
        </w:numPr>
        <w:spacing w:before="120" w:after="0" w:line="276" w:lineRule="auto"/>
      </w:pPr>
      <w:r w:rsidRPr="006A0E0A">
        <w:t>Apresentação da estrutura da aula.</w:t>
      </w:r>
    </w:p>
    <w:p w:rsidR="006E6CB9" w:rsidRDefault="006E6CB9" w:rsidP="00C52E09">
      <w:pPr>
        <w:pStyle w:val="TM-2n"/>
        <w:numPr>
          <w:ilvl w:val="1"/>
          <w:numId w:val="261"/>
        </w:numPr>
        <w:spacing w:before="120" w:after="0" w:line="276" w:lineRule="auto"/>
      </w:pPr>
      <w:r w:rsidRPr="006A0E0A">
        <w:t xml:space="preserve">Apresentação da bibliografia que o aluno deverá consultar para ampliar </w:t>
      </w:r>
      <w:r>
        <w:t xml:space="preserve">os </w:t>
      </w:r>
      <w:r w:rsidRPr="006A0E0A">
        <w:t>conhecimentos.</w:t>
      </w:r>
    </w:p>
    <w:p w:rsidR="005F3F7B" w:rsidRPr="006A0E0A" w:rsidRDefault="005F3F7B" w:rsidP="005F3F7B">
      <w:pPr>
        <w:pStyle w:val="TM-2n"/>
        <w:numPr>
          <w:ilvl w:val="0"/>
          <w:numId w:val="0"/>
        </w:numPr>
        <w:spacing w:before="120" w:after="0" w:line="276" w:lineRule="auto"/>
        <w:ind w:left="446"/>
      </w:pPr>
    </w:p>
    <w:p w:rsidR="006E6CB9" w:rsidRPr="006A0E0A" w:rsidRDefault="005F3F7B" w:rsidP="005F3F7B">
      <w:pPr>
        <w:pStyle w:val="TM-1n"/>
        <w:numPr>
          <w:ilvl w:val="0"/>
          <w:numId w:val="0"/>
        </w:numPr>
        <w:shd w:val="clear" w:color="auto" w:fill="C6D9F1"/>
        <w:tabs>
          <w:tab w:val="clear" w:pos="9072"/>
        </w:tabs>
        <w:spacing w:after="0"/>
        <w:rPr>
          <w:sz w:val="22"/>
          <w:szCs w:val="22"/>
        </w:rPr>
      </w:pPr>
      <w:r>
        <w:rPr>
          <w:sz w:val="22"/>
          <w:szCs w:val="22"/>
        </w:rPr>
        <w:t xml:space="preserve">BLOCO 2: </w:t>
      </w:r>
      <w:r w:rsidR="006E6CB9" w:rsidRPr="006A0E0A">
        <w:rPr>
          <w:sz w:val="22"/>
          <w:szCs w:val="22"/>
        </w:rPr>
        <w:t>FÁRMACOS USADOS NO SISTEMA NERVOSO</w:t>
      </w:r>
      <w:r w:rsidR="006E6CB9" w:rsidRPr="006A0E0A">
        <w:rPr>
          <w:sz w:val="22"/>
          <w:szCs w:val="22"/>
        </w:rPr>
        <w:tab/>
      </w:r>
    </w:p>
    <w:p w:rsidR="006E6CB9" w:rsidRPr="006A0E0A" w:rsidRDefault="006E6CB9" w:rsidP="00C52E09">
      <w:pPr>
        <w:pStyle w:val="TM-2n"/>
        <w:numPr>
          <w:ilvl w:val="1"/>
          <w:numId w:val="254"/>
        </w:numPr>
        <w:spacing w:before="120" w:after="0" w:line="276" w:lineRule="auto"/>
        <w:ind w:left="450" w:hanging="450"/>
      </w:pPr>
      <w:r w:rsidRPr="006A0E0A">
        <w:rPr>
          <w:b/>
        </w:rPr>
        <w:t>Anti-convulsivantes</w:t>
      </w:r>
      <w:r w:rsidRPr="006A0E0A">
        <w:t xml:space="preserve">. Grupo de fármacos utilizados para o tratamento das crises epilépticas e de convulsões. </w:t>
      </w:r>
    </w:p>
    <w:p w:rsidR="006E6CB9" w:rsidRPr="006A0E0A" w:rsidRDefault="006E6CB9" w:rsidP="00C52E09">
      <w:pPr>
        <w:pStyle w:val="TM-3n"/>
        <w:numPr>
          <w:ilvl w:val="2"/>
          <w:numId w:val="254"/>
        </w:numPr>
        <w:tabs>
          <w:tab w:val="clear" w:pos="1276"/>
        </w:tabs>
        <w:spacing w:before="120" w:after="0" w:line="276" w:lineRule="auto"/>
      </w:pPr>
      <w:r w:rsidRPr="006A0E0A">
        <w:rPr>
          <w:b/>
        </w:rPr>
        <w:t>Fenobarbital</w:t>
      </w:r>
      <w:r w:rsidRPr="006A0E0A">
        <w:t xml:space="preserve"> </w:t>
      </w:r>
    </w:p>
    <w:p w:rsidR="006E6CB9" w:rsidRDefault="006E6CB9" w:rsidP="00C52E09">
      <w:pPr>
        <w:pStyle w:val="TM-3n"/>
        <w:numPr>
          <w:ilvl w:val="0"/>
          <w:numId w:val="217"/>
        </w:numPr>
        <w:tabs>
          <w:tab w:val="clear" w:pos="1276"/>
        </w:tabs>
        <w:spacing w:before="120" w:after="0" w:line="276" w:lineRule="auto"/>
      </w:pPr>
      <w:r w:rsidRPr="006A0E0A">
        <w:t>Mecanismo de acção: Actua por inibição de determinadas moléc</w:t>
      </w:r>
      <w:r>
        <w:t>ulas no sistema nervoso central</w:t>
      </w:r>
    </w:p>
    <w:p w:rsidR="006E6CB9" w:rsidRDefault="006E6CB9" w:rsidP="00C52E09">
      <w:pPr>
        <w:pStyle w:val="TM-3n"/>
        <w:numPr>
          <w:ilvl w:val="0"/>
          <w:numId w:val="217"/>
        </w:numPr>
        <w:tabs>
          <w:tab w:val="clear" w:pos="1276"/>
        </w:tabs>
        <w:spacing w:before="120" w:after="0" w:line="276" w:lineRule="auto"/>
      </w:pPr>
      <w:r w:rsidRPr="006A0E0A">
        <w:t>Forma farmacêutica e via de administração: comprimidos e injectável, por via oral, EV ou IM</w:t>
      </w:r>
    </w:p>
    <w:p w:rsidR="006E6CB9" w:rsidRDefault="006E6CB9" w:rsidP="00C52E09">
      <w:pPr>
        <w:pStyle w:val="TM-3n"/>
        <w:numPr>
          <w:ilvl w:val="0"/>
          <w:numId w:val="217"/>
        </w:numPr>
        <w:tabs>
          <w:tab w:val="clear" w:pos="1276"/>
        </w:tabs>
        <w:spacing w:before="120" w:after="0" w:line="276" w:lineRule="auto"/>
      </w:pPr>
      <w:r w:rsidRPr="006A0E0A">
        <w:t xml:space="preserve">Indicações: tratamento das crises de convulsões e </w:t>
      </w:r>
      <w:r>
        <w:t>da epilepsia</w:t>
      </w:r>
    </w:p>
    <w:p w:rsidR="006E6CB9" w:rsidRPr="006A0E0A" w:rsidRDefault="006E6CB9" w:rsidP="00C52E09">
      <w:pPr>
        <w:pStyle w:val="TM-3n"/>
        <w:numPr>
          <w:ilvl w:val="0"/>
          <w:numId w:val="217"/>
        </w:numPr>
        <w:tabs>
          <w:tab w:val="clear" w:pos="1276"/>
        </w:tabs>
        <w:spacing w:before="120" w:after="0" w:line="276" w:lineRule="auto"/>
      </w:pPr>
      <w:r w:rsidRPr="006A0E0A">
        <w:t>Dose e dosagem: 50-200 mg por dia. A dose máxima pode ir até 600 mg/dia</w:t>
      </w:r>
    </w:p>
    <w:p w:rsidR="006E6CB9" w:rsidRPr="006A0E0A" w:rsidRDefault="006E6CB9" w:rsidP="00C52E09">
      <w:pPr>
        <w:pStyle w:val="TM-2n"/>
        <w:numPr>
          <w:ilvl w:val="1"/>
          <w:numId w:val="254"/>
        </w:numPr>
        <w:spacing w:before="120" w:after="0" w:line="276" w:lineRule="auto"/>
        <w:ind w:left="450" w:hanging="450"/>
      </w:pPr>
      <w:r w:rsidRPr="006A0E0A">
        <w:rPr>
          <w:b/>
        </w:rPr>
        <w:t>Ansiolíticos e hipno-sedativos</w:t>
      </w:r>
      <w:r w:rsidRPr="006A0E0A">
        <w:t>. Grupo diverso de fármacos utilizados para aliviar estados de ansiedade, irritabilidade ou excitação exagerada. As vezes podem ser usados como miorelaxantes e anticonvulsivantes.  Podem produzir dependência, e deve-se tentar que o tratamento seja o mais breve possível.</w:t>
      </w:r>
    </w:p>
    <w:p w:rsidR="006E6CB9" w:rsidRPr="006A0E0A" w:rsidRDefault="006E6CB9" w:rsidP="00C52E09">
      <w:pPr>
        <w:pStyle w:val="TM-3n"/>
        <w:numPr>
          <w:ilvl w:val="2"/>
          <w:numId w:val="254"/>
        </w:numPr>
        <w:tabs>
          <w:tab w:val="clear" w:pos="1276"/>
        </w:tabs>
        <w:spacing w:before="120" w:after="0" w:line="276" w:lineRule="auto"/>
        <w:ind w:hanging="630"/>
      </w:pPr>
      <w:r w:rsidRPr="006A0E0A">
        <w:rPr>
          <w:b/>
        </w:rPr>
        <w:t>Diazepam</w:t>
      </w:r>
      <w:r w:rsidRPr="006A0E0A">
        <w:t xml:space="preserve"> </w:t>
      </w:r>
    </w:p>
    <w:p w:rsidR="006E6CB9" w:rsidRDefault="006E6CB9" w:rsidP="00C52E09">
      <w:pPr>
        <w:pStyle w:val="TM-3n"/>
        <w:numPr>
          <w:ilvl w:val="0"/>
          <w:numId w:val="217"/>
        </w:numPr>
        <w:tabs>
          <w:tab w:val="clear" w:pos="1276"/>
        </w:tabs>
        <w:spacing w:before="120" w:after="0" w:line="276" w:lineRule="auto"/>
      </w:pPr>
      <w:r w:rsidRPr="006A0E0A">
        <w:t>Mecanismo de acção: actua reduzindo a capacidade dos neurónios para responder a moléculas transmissoras de informação no sistema nervoso central.</w:t>
      </w:r>
    </w:p>
    <w:p w:rsidR="006E6CB9" w:rsidRDefault="006E6CB9" w:rsidP="00C52E09">
      <w:pPr>
        <w:pStyle w:val="TM-3n"/>
        <w:numPr>
          <w:ilvl w:val="0"/>
          <w:numId w:val="217"/>
        </w:numPr>
        <w:tabs>
          <w:tab w:val="clear" w:pos="1276"/>
        </w:tabs>
        <w:spacing w:before="120" w:after="0" w:line="276" w:lineRule="auto"/>
      </w:pPr>
      <w:r w:rsidRPr="006A0E0A">
        <w:t>Forma farmacêutica e via de administração: comprimidos e injectável, por via oral, EV ou IM ou rectal</w:t>
      </w:r>
    </w:p>
    <w:p w:rsidR="006E6CB9" w:rsidRDefault="006E6CB9" w:rsidP="00C52E09">
      <w:pPr>
        <w:pStyle w:val="TM-3n"/>
        <w:numPr>
          <w:ilvl w:val="0"/>
          <w:numId w:val="217"/>
        </w:numPr>
        <w:tabs>
          <w:tab w:val="clear" w:pos="1276"/>
        </w:tabs>
        <w:spacing w:before="120" w:after="0" w:line="276" w:lineRule="auto"/>
      </w:pPr>
      <w:r w:rsidRPr="006A0E0A">
        <w:t>Indicações: tratamento de estados ansiosos, insónia, e espasmos musculares (como no tétano), estados convulsivos</w:t>
      </w:r>
    </w:p>
    <w:p w:rsidR="006E6CB9" w:rsidRPr="006A0E0A" w:rsidRDefault="006E6CB9" w:rsidP="00C52E09">
      <w:pPr>
        <w:pStyle w:val="TM-3n"/>
        <w:numPr>
          <w:ilvl w:val="0"/>
          <w:numId w:val="217"/>
        </w:numPr>
        <w:tabs>
          <w:tab w:val="clear" w:pos="1276"/>
        </w:tabs>
        <w:spacing w:before="120" w:after="0" w:line="276" w:lineRule="auto"/>
      </w:pPr>
      <w:r w:rsidRPr="006A0E0A">
        <w:t xml:space="preserve">Dose e dosagem: a dose recomendada é variável, dependendo da condição patológica que o paciente apresenta: </w:t>
      </w:r>
    </w:p>
    <w:p w:rsidR="006E6CB9" w:rsidRPr="006A0E0A" w:rsidRDefault="006E6CB9" w:rsidP="00C52E09">
      <w:pPr>
        <w:pStyle w:val="TM-4n"/>
        <w:numPr>
          <w:ilvl w:val="2"/>
          <w:numId w:val="205"/>
        </w:numPr>
        <w:tabs>
          <w:tab w:val="clear" w:pos="1134"/>
        </w:tabs>
        <w:spacing w:before="120" w:after="0" w:line="276" w:lineRule="auto"/>
      </w:pPr>
      <w:r w:rsidRPr="006A0E0A">
        <w:t>Na ansiedade: 2 mg até 3 vezes por dia; aumentar se necessário até 5-10 mg 3x/dia</w:t>
      </w:r>
    </w:p>
    <w:p w:rsidR="006E6CB9" w:rsidRPr="006A0E0A" w:rsidRDefault="006E6CB9" w:rsidP="00C52E09">
      <w:pPr>
        <w:pStyle w:val="TM-4n"/>
        <w:numPr>
          <w:ilvl w:val="2"/>
          <w:numId w:val="205"/>
        </w:numPr>
        <w:tabs>
          <w:tab w:val="clear" w:pos="1134"/>
        </w:tabs>
        <w:spacing w:before="120" w:after="0" w:line="276" w:lineRule="auto"/>
      </w:pPr>
      <w:r w:rsidRPr="006A0E0A">
        <w:t>Na insónia: 5 a 15 mg meia hora antes de deitar (dormir)</w:t>
      </w:r>
    </w:p>
    <w:p w:rsidR="006E6CB9" w:rsidRPr="006A0E0A" w:rsidRDefault="006E6CB9" w:rsidP="00C52E09">
      <w:pPr>
        <w:pStyle w:val="TM-4n"/>
        <w:numPr>
          <w:ilvl w:val="2"/>
          <w:numId w:val="205"/>
        </w:numPr>
        <w:tabs>
          <w:tab w:val="clear" w:pos="1134"/>
        </w:tabs>
        <w:spacing w:before="120" w:after="0" w:line="276" w:lineRule="auto"/>
      </w:pPr>
      <w:r w:rsidRPr="006A0E0A">
        <w:t>Espasmos musculares: 2-15 mg/dia (máximo de 60 mg/dia) em doses divididas (no tétano usar inicialmente a forma injectável, na dose de 20 mg a cada 2-8 horas EV, segundo as necessidades)</w:t>
      </w:r>
    </w:p>
    <w:p w:rsidR="006E6CB9" w:rsidRDefault="006E6CB9" w:rsidP="00C52E09">
      <w:pPr>
        <w:pStyle w:val="TM-4n"/>
        <w:numPr>
          <w:ilvl w:val="2"/>
          <w:numId w:val="205"/>
        </w:numPr>
        <w:tabs>
          <w:tab w:val="clear" w:pos="1134"/>
        </w:tabs>
        <w:spacing w:before="120" w:after="0" w:line="276" w:lineRule="auto"/>
      </w:pPr>
      <w:r w:rsidRPr="006A0E0A">
        <w:t>Convulsões: 10 a 20 mg EV lento (1 mL/min)</w:t>
      </w:r>
    </w:p>
    <w:p w:rsidR="006E6CB9" w:rsidRPr="006A0E0A" w:rsidRDefault="006E6CB9" w:rsidP="00C52E09">
      <w:pPr>
        <w:pStyle w:val="TM-3n"/>
        <w:numPr>
          <w:ilvl w:val="2"/>
          <w:numId w:val="254"/>
        </w:numPr>
        <w:tabs>
          <w:tab w:val="clear" w:pos="1276"/>
        </w:tabs>
        <w:spacing w:before="120" w:after="0" w:line="276" w:lineRule="auto"/>
        <w:ind w:hanging="630"/>
      </w:pPr>
      <w:r w:rsidRPr="006A0E0A">
        <w:rPr>
          <w:b/>
        </w:rPr>
        <w:t>Clordiazepóxido</w:t>
      </w:r>
      <w:r w:rsidRPr="006A0E0A">
        <w:t xml:space="preserve"> </w:t>
      </w:r>
    </w:p>
    <w:p w:rsidR="006E6CB9" w:rsidRDefault="006E6CB9" w:rsidP="00C52E09">
      <w:pPr>
        <w:pStyle w:val="TM-3n"/>
        <w:numPr>
          <w:ilvl w:val="0"/>
          <w:numId w:val="217"/>
        </w:numPr>
        <w:tabs>
          <w:tab w:val="clear" w:pos="1276"/>
        </w:tabs>
        <w:spacing w:before="120" w:after="0" w:line="276" w:lineRule="auto"/>
      </w:pPr>
      <w:r w:rsidRPr="006A0E0A">
        <w:t>Mecanismo de acção: actua reduzindo a capacidade dos neurónios para responder a moléculas transmissoras de informação no sistema nervoso central.</w:t>
      </w:r>
    </w:p>
    <w:p w:rsidR="006E6CB9" w:rsidRDefault="006E6CB9" w:rsidP="00C52E09">
      <w:pPr>
        <w:pStyle w:val="TM-3n"/>
        <w:numPr>
          <w:ilvl w:val="0"/>
          <w:numId w:val="217"/>
        </w:numPr>
        <w:tabs>
          <w:tab w:val="clear" w:pos="1276"/>
        </w:tabs>
        <w:spacing w:before="120" w:after="0" w:line="276" w:lineRule="auto"/>
      </w:pPr>
      <w:r w:rsidRPr="006A0E0A">
        <w:t>Forma farmacêutica e via de administração: comprimidos, por via oral</w:t>
      </w:r>
    </w:p>
    <w:p w:rsidR="006E6CB9" w:rsidRDefault="006E6CB9" w:rsidP="00C52E09">
      <w:pPr>
        <w:pStyle w:val="TM-3n"/>
        <w:numPr>
          <w:ilvl w:val="0"/>
          <w:numId w:val="217"/>
        </w:numPr>
        <w:tabs>
          <w:tab w:val="clear" w:pos="1276"/>
        </w:tabs>
        <w:spacing w:before="120" w:after="0" w:line="276" w:lineRule="auto"/>
      </w:pPr>
      <w:r w:rsidRPr="006A0E0A">
        <w:t>Indicações: tratamento de estados ansiosos e ansioso-depressivos.</w:t>
      </w:r>
    </w:p>
    <w:p w:rsidR="006E6CB9" w:rsidRDefault="006E6CB9" w:rsidP="00C52E09">
      <w:pPr>
        <w:pStyle w:val="TM-3n"/>
        <w:numPr>
          <w:ilvl w:val="0"/>
          <w:numId w:val="217"/>
        </w:numPr>
        <w:tabs>
          <w:tab w:val="clear" w:pos="1276"/>
        </w:tabs>
        <w:spacing w:before="120" w:after="0" w:line="276" w:lineRule="auto"/>
      </w:pPr>
      <w:r w:rsidRPr="006A0E0A">
        <w:lastRenderedPageBreak/>
        <w:t xml:space="preserve">Dose dosagem: a dose recomendada é de 5-20 mg de 12 em 12 horas. </w:t>
      </w:r>
    </w:p>
    <w:p w:rsidR="005F3F7B" w:rsidRPr="006A0E0A" w:rsidRDefault="005F3F7B" w:rsidP="005F3F7B">
      <w:pPr>
        <w:pStyle w:val="TM-3n"/>
        <w:numPr>
          <w:ilvl w:val="0"/>
          <w:numId w:val="0"/>
        </w:numPr>
        <w:tabs>
          <w:tab w:val="clear" w:pos="1276"/>
        </w:tabs>
        <w:spacing w:before="120" w:after="0" w:line="276" w:lineRule="auto"/>
        <w:ind w:left="1170"/>
      </w:pPr>
    </w:p>
    <w:p w:rsidR="006E6CB9" w:rsidRPr="006A0E0A" w:rsidRDefault="005F3F7B" w:rsidP="005F3F7B">
      <w:pPr>
        <w:pStyle w:val="TM-1n"/>
        <w:numPr>
          <w:ilvl w:val="0"/>
          <w:numId w:val="0"/>
        </w:numPr>
        <w:shd w:val="clear" w:color="auto" w:fill="C6D9F1"/>
        <w:tabs>
          <w:tab w:val="clear" w:pos="9072"/>
        </w:tabs>
        <w:rPr>
          <w:sz w:val="22"/>
          <w:szCs w:val="22"/>
        </w:rPr>
      </w:pPr>
      <w:r>
        <w:rPr>
          <w:sz w:val="22"/>
          <w:szCs w:val="22"/>
        </w:rPr>
        <w:t xml:space="preserve">BLOCO 3: </w:t>
      </w:r>
      <w:r w:rsidR="006E6CB9" w:rsidRPr="006A0E0A">
        <w:rPr>
          <w:sz w:val="22"/>
          <w:szCs w:val="22"/>
        </w:rPr>
        <w:t>FÁRMACOS USADOS NO APARELHO CARDIO-VASCULAR</w:t>
      </w:r>
      <w:r w:rsidR="006E6CB9" w:rsidRPr="006A0E0A">
        <w:rPr>
          <w:sz w:val="22"/>
          <w:szCs w:val="22"/>
        </w:rPr>
        <w:tab/>
      </w:r>
    </w:p>
    <w:p w:rsidR="006E6CB9" w:rsidRPr="006A0E0A" w:rsidRDefault="006E6CB9" w:rsidP="006E6CB9">
      <w:pPr>
        <w:pStyle w:val="TM-2n"/>
        <w:numPr>
          <w:ilvl w:val="0"/>
          <w:numId w:val="0"/>
        </w:numPr>
        <w:spacing w:before="120" w:after="0" w:line="276" w:lineRule="auto"/>
        <w:ind w:left="284" w:hanging="284"/>
      </w:pPr>
      <w:r w:rsidRPr="00492F0C">
        <w:rPr>
          <w:b/>
        </w:rPr>
        <w:t>3.1</w:t>
      </w:r>
      <w:r>
        <w:t xml:space="preserve"> </w:t>
      </w:r>
      <w:r w:rsidRPr="006A0E0A">
        <w:rPr>
          <w:b/>
        </w:rPr>
        <w:t>Cardiotónicos</w:t>
      </w:r>
      <w:r w:rsidRPr="006A0E0A">
        <w:t>. Grupo de fármacos que estimulam o funcionamento normal do coração, influindo no ritmo cardíaco, ou na força com que a fibras cardíacas se contraem.</w:t>
      </w:r>
    </w:p>
    <w:p w:rsidR="006E6CB9" w:rsidRPr="006A0E0A" w:rsidRDefault="006E6CB9" w:rsidP="00C52E09">
      <w:pPr>
        <w:pStyle w:val="TM-3n"/>
        <w:numPr>
          <w:ilvl w:val="2"/>
          <w:numId w:val="292"/>
        </w:numPr>
        <w:tabs>
          <w:tab w:val="clear" w:pos="1276"/>
        </w:tabs>
        <w:spacing w:before="120" w:after="0" w:line="276" w:lineRule="auto"/>
      </w:pPr>
      <w:r w:rsidRPr="006A0E0A">
        <w:rPr>
          <w:b/>
        </w:rPr>
        <w:t>Digoxina</w:t>
      </w:r>
    </w:p>
    <w:p w:rsidR="006E6CB9" w:rsidRDefault="006E6CB9" w:rsidP="00C52E09">
      <w:pPr>
        <w:pStyle w:val="TM-3n"/>
        <w:numPr>
          <w:ilvl w:val="0"/>
          <w:numId w:val="217"/>
        </w:numPr>
        <w:tabs>
          <w:tab w:val="clear" w:pos="1276"/>
        </w:tabs>
        <w:spacing w:before="120" w:after="0" w:line="276" w:lineRule="auto"/>
      </w:pPr>
      <w:r w:rsidRPr="006A0E0A">
        <w:t>Mecanismo de acção: actua por inibição da bomba Na/K ATPase, aumentando a concentração de cálcio intracelular favorecendo o aumento da contracção do coração</w:t>
      </w:r>
    </w:p>
    <w:p w:rsidR="006E6CB9" w:rsidRDefault="006E6CB9" w:rsidP="00C52E09">
      <w:pPr>
        <w:pStyle w:val="TM-3n"/>
        <w:numPr>
          <w:ilvl w:val="0"/>
          <w:numId w:val="217"/>
        </w:numPr>
        <w:tabs>
          <w:tab w:val="clear" w:pos="1276"/>
        </w:tabs>
        <w:spacing w:before="120" w:after="0" w:line="276" w:lineRule="auto"/>
      </w:pPr>
      <w:r w:rsidRPr="006A0E0A">
        <w:t>Forma farmacêutica e via de administração: comprimidos, gotas orais, injectável, por via oral e IM ou EV</w:t>
      </w:r>
    </w:p>
    <w:p w:rsidR="006E6CB9" w:rsidRDefault="006E6CB9" w:rsidP="00C52E09">
      <w:pPr>
        <w:pStyle w:val="TM-3n"/>
        <w:numPr>
          <w:ilvl w:val="0"/>
          <w:numId w:val="217"/>
        </w:numPr>
        <w:tabs>
          <w:tab w:val="clear" w:pos="1276"/>
        </w:tabs>
        <w:spacing w:before="120" w:after="0" w:line="276" w:lineRule="auto"/>
      </w:pPr>
      <w:r w:rsidRPr="006A0E0A">
        <w:t>Indicações: trata</w:t>
      </w:r>
      <w:r>
        <w:t>mento da insuficiência cardíaca</w:t>
      </w:r>
    </w:p>
    <w:p w:rsidR="006E6CB9" w:rsidRPr="006A0E0A" w:rsidRDefault="006E6CB9" w:rsidP="00C52E09">
      <w:pPr>
        <w:pStyle w:val="TM-3n"/>
        <w:numPr>
          <w:ilvl w:val="0"/>
          <w:numId w:val="217"/>
        </w:numPr>
        <w:tabs>
          <w:tab w:val="clear" w:pos="1276"/>
        </w:tabs>
        <w:spacing w:before="120" w:after="0" w:line="276" w:lineRule="auto"/>
      </w:pPr>
      <w:r w:rsidRPr="006A0E0A">
        <w:t>Dose e dosagem: A dose recomendada em adultos é de 0,125-0,5 mg diária (geralmente 0.25 mg)</w:t>
      </w:r>
    </w:p>
    <w:p w:rsidR="006E6CB9" w:rsidRPr="006A0E0A" w:rsidRDefault="006E6CB9" w:rsidP="00C52E09">
      <w:pPr>
        <w:pStyle w:val="TM-2n"/>
        <w:numPr>
          <w:ilvl w:val="1"/>
          <w:numId w:val="292"/>
        </w:numPr>
        <w:spacing w:before="120" w:after="0" w:line="276" w:lineRule="auto"/>
        <w:ind w:left="450" w:hanging="450"/>
      </w:pPr>
      <w:r w:rsidRPr="006A0E0A">
        <w:rPr>
          <w:b/>
        </w:rPr>
        <w:t>Anti-hipertensivos</w:t>
      </w:r>
      <w:r w:rsidRPr="006A0E0A">
        <w:t>. Grupo de fármacos utilizados para o tratamento da hipertensão arterial (pressão sanguínea elevada). Existem várias classes diferentes de anti-hipertensivos, que diminuem a pressão sanguínea através de diversos mecanismos.</w:t>
      </w:r>
    </w:p>
    <w:p w:rsidR="006E6CB9" w:rsidRPr="006A0E0A" w:rsidRDefault="006E6CB9" w:rsidP="00C52E09">
      <w:pPr>
        <w:pStyle w:val="TM-3n"/>
        <w:numPr>
          <w:ilvl w:val="2"/>
          <w:numId w:val="292"/>
        </w:numPr>
        <w:tabs>
          <w:tab w:val="clear" w:pos="1276"/>
        </w:tabs>
        <w:spacing w:before="120" w:after="0" w:line="276" w:lineRule="auto"/>
        <w:ind w:hanging="630"/>
        <w:rPr>
          <w:b/>
        </w:rPr>
      </w:pPr>
      <w:r w:rsidRPr="006A0E0A">
        <w:rPr>
          <w:b/>
        </w:rPr>
        <w:t>Hidralazina</w:t>
      </w:r>
    </w:p>
    <w:p w:rsidR="006E6CB9" w:rsidRDefault="006E6CB9" w:rsidP="00C52E09">
      <w:pPr>
        <w:pStyle w:val="TM-3n"/>
        <w:numPr>
          <w:ilvl w:val="0"/>
          <w:numId w:val="217"/>
        </w:numPr>
        <w:tabs>
          <w:tab w:val="clear" w:pos="1276"/>
        </w:tabs>
        <w:spacing w:before="120" w:after="0" w:line="276" w:lineRule="auto"/>
      </w:pPr>
      <w:r w:rsidRPr="006A0E0A">
        <w:t>Mecanismo de acção: actua por alteração da concentração de cálcio no músculo que rodeia os vasos sanguíneos,</w:t>
      </w:r>
      <w:r>
        <w:t xml:space="preserve"> relaxando as paredes arteriais</w:t>
      </w:r>
    </w:p>
    <w:p w:rsidR="006E6CB9" w:rsidRDefault="006E6CB9" w:rsidP="00C52E09">
      <w:pPr>
        <w:pStyle w:val="TM-3n"/>
        <w:numPr>
          <w:ilvl w:val="0"/>
          <w:numId w:val="217"/>
        </w:numPr>
        <w:tabs>
          <w:tab w:val="clear" w:pos="1276"/>
        </w:tabs>
        <w:spacing w:before="120" w:after="0" w:line="276" w:lineRule="auto"/>
      </w:pPr>
      <w:r w:rsidRPr="006A0E0A">
        <w:t>Forma farmacêutica e via de administração: comprimidos, por via oral</w:t>
      </w:r>
    </w:p>
    <w:p w:rsidR="006E6CB9" w:rsidRDefault="006E6CB9" w:rsidP="00C52E09">
      <w:pPr>
        <w:pStyle w:val="TM-3n"/>
        <w:numPr>
          <w:ilvl w:val="0"/>
          <w:numId w:val="217"/>
        </w:numPr>
        <w:tabs>
          <w:tab w:val="clear" w:pos="1276"/>
        </w:tabs>
        <w:spacing w:before="120" w:after="0" w:line="276" w:lineRule="auto"/>
      </w:pPr>
      <w:r w:rsidRPr="006A0E0A">
        <w:t>Indicações: Tratamento de hipertensão arterial e na in</w:t>
      </w:r>
      <w:r>
        <w:t>suficiência cardíaca congestiva</w:t>
      </w:r>
    </w:p>
    <w:p w:rsidR="006E6CB9" w:rsidRPr="006A0E0A" w:rsidRDefault="006E6CB9" w:rsidP="00C52E09">
      <w:pPr>
        <w:pStyle w:val="TM-3n"/>
        <w:numPr>
          <w:ilvl w:val="0"/>
          <w:numId w:val="217"/>
        </w:numPr>
        <w:tabs>
          <w:tab w:val="clear" w:pos="1276"/>
        </w:tabs>
        <w:spacing w:before="120" w:after="0" w:line="276" w:lineRule="auto"/>
      </w:pPr>
      <w:r w:rsidRPr="006A0E0A">
        <w:t>Dose e dosagem:  25 mg de 12 em 12 horas, aumentando até 75 mg em cada 8 horas se necessário.</w:t>
      </w:r>
    </w:p>
    <w:p w:rsidR="006E6CB9" w:rsidRPr="006A0E0A" w:rsidRDefault="006E6CB9" w:rsidP="00C52E09">
      <w:pPr>
        <w:pStyle w:val="TM-3n"/>
        <w:numPr>
          <w:ilvl w:val="2"/>
          <w:numId w:val="292"/>
        </w:numPr>
        <w:tabs>
          <w:tab w:val="clear" w:pos="1276"/>
        </w:tabs>
        <w:spacing w:before="120" w:after="0" w:line="276" w:lineRule="auto"/>
        <w:ind w:hanging="630"/>
        <w:rPr>
          <w:b/>
        </w:rPr>
      </w:pPr>
      <w:r>
        <w:rPr>
          <w:b/>
        </w:rPr>
        <w:t>Metildopa</w:t>
      </w:r>
      <w:r w:rsidRPr="006A0E0A">
        <w:rPr>
          <w:b/>
        </w:rPr>
        <w:t xml:space="preserve"> </w:t>
      </w:r>
    </w:p>
    <w:p w:rsidR="006E6CB9" w:rsidRDefault="006E6CB9" w:rsidP="00C52E09">
      <w:pPr>
        <w:pStyle w:val="TM-3n"/>
        <w:numPr>
          <w:ilvl w:val="0"/>
          <w:numId w:val="217"/>
        </w:numPr>
        <w:tabs>
          <w:tab w:val="clear" w:pos="1276"/>
        </w:tabs>
        <w:spacing w:before="120" w:after="0" w:line="276" w:lineRule="auto"/>
      </w:pPr>
      <w:r w:rsidRPr="006A0E0A">
        <w:t>Mecanismo de acção: actua por inibição de enzimas envolvidas na manutenção da pressão arterial ao nível do Sistema Nervoso Central</w:t>
      </w:r>
    </w:p>
    <w:p w:rsidR="006E6CB9" w:rsidRDefault="006E6CB9" w:rsidP="00C52E09">
      <w:pPr>
        <w:pStyle w:val="TM-3n"/>
        <w:numPr>
          <w:ilvl w:val="0"/>
          <w:numId w:val="217"/>
        </w:numPr>
        <w:tabs>
          <w:tab w:val="clear" w:pos="1276"/>
        </w:tabs>
        <w:spacing w:before="120" w:after="0" w:line="276" w:lineRule="auto"/>
      </w:pPr>
      <w:r w:rsidRPr="006A0E0A">
        <w:t>Forma farmacêutica e via de administração: comprimidos, por via oral</w:t>
      </w:r>
    </w:p>
    <w:p w:rsidR="006E6CB9" w:rsidRDefault="006E6CB9" w:rsidP="00C52E09">
      <w:pPr>
        <w:pStyle w:val="TM-3n"/>
        <w:numPr>
          <w:ilvl w:val="0"/>
          <w:numId w:val="217"/>
        </w:numPr>
        <w:tabs>
          <w:tab w:val="clear" w:pos="1276"/>
        </w:tabs>
        <w:spacing w:before="120" w:after="0" w:line="276" w:lineRule="auto"/>
      </w:pPr>
      <w:r w:rsidRPr="006A0E0A">
        <w:t>Indicações: Tratamento da hipertensão arterial ligeira a moderad</w:t>
      </w:r>
      <w:r>
        <w:t>a, e em hipertensão na gravidez</w:t>
      </w:r>
    </w:p>
    <w:p w:rsidR="006E6CB9" w:rsidRPr="006A0E0A" w:rsidRDefault="006E6CB9" w:rsidP="00C52E09">
      <w:pPr>
        <w:pStyle w:val="TM-3n"/>
        <w:numPr>
          <w:ilvl w:val="0"/>
          <w:numId w:val="217"/>
        </w:numPr>
        <w:tabs>
          <w:tab w:val="clear" w:pos="1276"/>
        </w:tabs>
        <w:spacing w:before="120" w:after="0" w:line="276" w:lineRule="auto"/>
      </w:pPr>
      <w:r w:rsidRPr="006A0E0A">
        <w:t>Dose e dosagem: 125 mg de 12 em 12 horas, podendo aumentar até 1 gram</w:t>
      </w:r>
      <w:r>
        <w:t>a em cada 8 horas se necessário</w:t>
      </w:r>
    </w:p>
    <w:p w:rsidR="006E6CB9" w:rsidRPr="006A0E0A" w:rsidRDefault="006E6CB9" w:rsidP="00C52E09">
      <w:pPr>
        <w:pStyle w:val="TM-2n"/>
        <w:numPr>
          <w:ilvl w:val="1"/>
          <w:numId w:val="292"/>
        </w:numPr>
        <w:spacing w:before="120" w:after="0" w:line="276" w:lineRule="auto"/>
        <w:ind w:left="450" w:hanging="450"/>
      </w:pPr>
      <w:r w:rsidRPr="006A0E0A">
        <w:rPr>
          <w:b/>
        </w:rPr>
        <w:t>Beta-bloqueadores</w:t>
      </w:r>
      <w:r w:rsidRPr="006A0E0A">
        <w:t>. Grupo de fármacos utilizados em diferentes condições médicas, como arritmia cardíaca (alteração do ritmo cardíaco), protecção em caso de enfarto cardíaco, e hipertensão arterial.</w:t>
      </w:r>
    </w:p>
    <w:p w:rsidR="006E6CB9" w:rsidRPr="006A0E0A" w:rsidRDefault="006E6CB9" w:rsidP="00C52E09">
      <w:pPr>
        <w:pStyle w:val="TM-3n"/>
        <w:numPr>
          <w:ilvl w:val="2"/>
          <w:numId w:val="292"/>
        </w:numPr>
        <w:tabs>
          <w:tab w:val="clear" w:pos="1276"/>
        </w:tabs>
        <w:spacing w:before="120" w:after="0" w:line="276" w:lineRule="auto"/>
        <w:ind w:hanging="630"/>
      </w:pPr>
      <w:r w:rsidRPr="006A0E0A">
        <w:rPr>
          <w:b/>
        </w:rPr>
        <w:t>Propranolol</w:t>
      </w:r>
    </w:p>
    <w:p w:rsidR="006E6CB9" w:rsidRDefault="006E6CB9" w:rsidP="00C52E09">
      <w:pPr>
        <w:pStyle w:val="TM-3n"/>
        <w:numPr>
          <w:ilvl w:val="0"/>
          <w:numId w:val="217"/>
        </w:numPr>
        <w:tabs>
          <w:tab w:val="clear" w:pos="1276"/>
        </w:tabs>
        <w:spacing w:before="120" w:after="0" w:line="276" w:lineRule="auto"/>
      </w:pPr>
      <w:r w:rsidRPr="006A0E0A">
        <w:t>Mecanismo de acção: actua por bloqueio não selectivo dos receptores para algumas moléculas reguladoras utilizadas pelo sistema nervoso autónomo, resultando em diminuição da frequência cardíaca, consumo de oxigénio pelo coração, contracção do coração e da pressão arterial</w:t>
      </w:r>
    </w:p>
    <w:p w:rsidR="006E6CB9" w:rsidRDefault="006E6CB9" w:rsidP="00C52E09">
      <w:pPr>
        <w:pStyle w:val="TM-3n"/>
        <w:numPr>
          <w:ilvl w:val="0"/>
          <w:numId w:val="217"/>
        </w:numPr>
        <w:tabs>
          <w:tab w:val="clear" w:pos="1276"/>
        </w:tabs>
        <w:spacing w:before="120" w:after="0" w:line="276" w:lineRule="auto"/>
      </w:pPr>
      <w:r w:rsidRPr="006A0E0A">
        <w:t>Forma farmacêutica e via de administração: comprimidos, por via oral</w:t>
      </w:r>
    </w:p>
    <w:p w:rsidR="006E6CB9" w:rsidRDefault="006E6CB9" w:rsidP="00C52E09">
      <w:pPr>
        <w:pStyle w:val="TM-3n"/>
        <w:numPr>
          <w:ilvl w:val="0"/>
          <w:numId w:val="217"/>
        </w:numPr>
        <w:tabs>
          <w:tab w:val="clear" w:pos="1276"/>
        </w:tabs>
        <w:spacing w:before="120" w:after="0" w:line="276" w:lineRule="auto"/>
      </w:pPr>
      <w:r w:rsidRPr="006A0E0A">
        <w:lastRenderedPageBreak/>
        <w:t>Indicações: arritmia cardíaca, profilaxia da  angina de peito, hipertensão arterial e tireotoxicose</w:t>
      </w:r>
    </w:p>
    <w:p w:rsidR="006E6CB9" w:rsidRPr="006A0E0A" w:rsidRDefault="006E6CB9" w:rsidP="00C52E09">
      <w:pPr>
        <w:pStyle w:val="TM-3n"/>
        <w:numPr>
          <w:ilvl w:val="0"/>
          <w:numId w:val="217"/>
        </w:numPr>
        <w:tabs>
          <w:tab w:val="clear" w:pos="1276"/>
        </w:tabs>
        <w:spacing w:before="120" w:after="0" w:line="276" w:lineRule="auto"/>
      </w:pPr>
      <w:r w:rsidRPr="006A0E0A">
        <w:t>Dose e dosagem:  iniciar com 20-40 mg de 12 em 12 horas podendo se aumentar até 360 mg/dia, divididos em duas ou três tomas diárias.</w:t>
      </w:r>
    </w:p>
    <w:p w:rsidR="006E6CB9" w:rsidRPr="006A0E0A" w:rsidRDefault="006E6CB9" w:rsidP="00C52E09">
      <w:pPr>
        <w:pStyle w:val="TM-2n"/>
        <w:numPr>
          <w:ilvl w:val="1"/>
          <w:numId w:val="292"/>
        </w:numPr>
        <w:spacing w:before="120" w:after="0" w:line="276" w:lineRule="auto"/>
        <w:ind w:left="450" w:hanging="450"/>
      </w:pPr>
      <w:r w:rsidRPr="006A0E0A">
        <w:rPr>
          <w:b/>
        </w:rPr>
        <w:t>Bloqueadores dos canais de cálcio</w:t>
      </w:r>
      <w:r w:rsidRPr="006A0E0A">
        <w:t>. Grupo de fármacos que interrompem a passagem de iões pelos canais de cálcio das membranas celulares, particularmente em células musculares e vasculares. Assim, reduzem a contracção muscular e relaxam as paredes vasculares. Estão indicados no tratamento da hipertensão arterial e da angina de peito.</w:t>
      </w:r>
    </w:p>
    <w:p w:rsidR="006E6CB9" w:rsidRPr="006A0E0A" w:rsidRDefault="006E6CB9" w:rsidP="00C52E09">
      <w:pPr>
        <w:pStyle w:val="TM-3n"/>
        <w:numPr>
          <w:ilvl w:val="2"/>
          <w:numId w:val="292"/>
        </w:numPr>
        <w:tabs>
          <w:tab w:val="clear" w:pos="1276"/>
        </w:tabs>
        <w:spacing w:before="120" w:after="0" w:line="276" w:lineRule="auto"/>
        <w:ind w:hanging="630"/>
        <w:rPr>
          <w:b/>
        </w:rPr>
      </w:pPr>
      <w:r w:rsidRPr="006A0E0A">
        <w:rPr>
          <w:b/>
        </w:rPr>
        <w:t xml:space="preserve">Nifedipina </w:t>
      </w:r>
    </w:p>
    <w:p w:rsidR="006E6CB9" w:rsidRDefault="006E6CB9" w:rsidP="00C52E09">
      <w:pPr>
        <w:pStyle w:val="TM-3n"/>
        <w:numPr>
          <w:ilvl w:val="0"/>
          <w:numId w:val="217"/>
        </w:numPr>
        <w:tabs>
          <w:tab w:val="clear" w:pos="1276"/>
        </w:tabs>
        <w:spacing w:before="120" w:after="0" w:line="276" w:lineRule="auto"/>
      </w:pPr>
      <w:r w:rsidRPr="006A0E0A">
        <w:t>Mecanismo de acção: actua por Bloqueio dos canais de cálcio das membranas celulares em músculo cardíaco e vascular.</w:t>
      </w:r>
    </w:p>
    <w:p w:rsidR="006E6CB9" w:rsidRDefault="006E6CB9" w:rsidP="00C52E09">
      <w:pPr>
        <w:pStyle w:val="TM-3n"/>
        <w:numPr>
          <w:ilvl w:val="0"/>
          <w:numId w:val="217"/>
        </w:numPr>
        <w:tabs>
          <w:tab w:val="clear" w:pos="1276"/>
        </w:tabs>
        <w:spacing w:before="120" w:after="0" w:line="276" w:lineRule="auto"/>
      </w:pPr>
      <w:r w:rsidRPr="006A0E0A">
        <w:t>Forma farmacêutica e via de administração: comprimidos, por via oral</w:t>
      </w:r>
    </w:p>
    <w:p w:rsidR="006E6CB9" w:rsidRDefault="006E6CB9" w:rsidP="00C52E09">
      <w:pPr>
        <w:pStyle w:val="TM-3n"/>
        <w:numPr>
          <w:ilvl w:val="0"/>
          <w:numId w:val="217"/>
        </w:numPr>
        <w:tabs>
          <w:tab w:val="clear" w:pos="1276"/>
        </w:tabs>
        <w:spacing w:before="120" w:after="0" w:line="276" w:lineRule="auto"/>
      </w:pPr>
      <w:r w:rsidRPr="006A0E0A">
        <w:t>Indicações: angina de peito e na hipertensão arterial (com</w:t>
      </w:r>
      <w:r>
        <w:t>o terceira linha de tratamento)</w:t>
      </w:r>
    </w:p>
    <w:p w:rsidR="006E6CB9" w:rsidRPr="006A0E0A" w:rsidRDefault="006E6CB9" w:rsidP="00C52E09">
      <w:pPr>
        <w:pStyle w:val="TM-3n"/>
        <w:numPr>
          <w:ilvl w:val="0"/>
          <w:numId w:val="217"/>
        </w:numPr>
        <w:tabs>
          <w:tab w:val="clear" w:pos="1276"/>
        </w:tabs>
        <w:spacing w:before="120" w:after="0" w:line="276" w:lineRule="auto"/>
      </w:pPr>
      <w:r w:rsidRPr="006A0E0A">
        <w:t>Dose e dosagem: 30-60 mg por dia, em dose única.</w:t>
      </w:r>
    </w:p>
    <w:p w:rsidR="006E6CB9" w:rsidRPr="006A0E0A" w:rsidRDefault="006E6CB9" w:rsidP="00C52E09">
      <w:pPr>
        <w:pStyle w:val="TM-2n"/>
        <w:numPr>
          <w:ilvl w:val="1"/>
          <w:numId w:val="292"/>
        </w:numPr>
        <w:spacing w:before="120" w:after="0" w:line="276" w:lineRule="auto"/>
        <w:ind w:left="450" w:hanging="450"/>
      </w:pPr>
      <w:r w:rsidRPr="006A0E0A">
        <w:rPr>
          <w:b/>
        </w:rPr>
        <w:t>Vasodilatadores</w:t>
      </w:r>
      <w:r w:rsidRPr="006A0E0A">
        <w:t>. Grupo de fármacos que produzem relaxamento do músculo da parede vascular. Indicados para o tratamento da hipertensão arterial, na prevenção das crises de angina de peito, e no enfarto cardíaco.</w:t>
      </w:r>
    </w:p>
    <w:p w:rsidR="006E6CB9" w:rsidRPr="006A0E0A" w:rsidRDefault="006E6CB9" w:rsidP="006E6CB9">
      <w:pPr>
        <w:pStyle w:val="TM-3n"/>
        <w:numPr>
          <w:ilvl w:val="0"/>
          <w:numId w:val="0"/>
        </w:numPr>
        <w:tabs>
          <w:tab w:val="clear" w:pos="1276"/>
        </w:tabs>
        <w:spacing w:before="120" w:after="0" w:line="276" w:lineRule="auto"/>
        <w:ind w:left="851" w:hanging="284"/>
      </w:pPr>
      <w:r w:rsidRPr="006A0E0A">
        <w:t>Os diuréticos (exemplos: hidroclortiazida, furosemida), que também são vasodilatadores, serão abordados na aula 22</w:t>
      </w:r>
    </w:p>
    <w:p w:rsidR="006E6CB9" w:rsidRPr="006A0E0A" w:rsidRDefault="006E6CB9" w:rsidP="00C52E09">
      <w:pPr>
        <w:pStyle w:val="TM-3n"/>
        <w:numPr>
          <w:ilvl w:val="2"/>
          <w:numId w:val="292"/>
        </w:numPr>
        <w:tabs>
          <w:tab w:val="clear" w:pos="1276"/>
        </w:tabs>
        <w:spacing w:before="120" w:after="0" w:line="276" w:lineRule="auto"/>
        <w:ind w:hanging="630"/>
        <w:rPr>
          <w:b/>
        </w:rPr>
      </w:pPr>
      <w:r w:rsidRPr="006A0E0A">
        <w:rPr>
          <w:b/>
        </w:rPr>
        <w:t xml:space="preserve">Nitroglicerina </w:t>
      </w:r>
    </w:p>
    <w:p w:rsidR="006E6CB9" w:rsidRDefault="006E6CB9" w:rsidP="00C52E09">
      <w:pPr>
        <w:pStyle w:val="TM-3n"/>
        <w:numPr>
          <w:ilvl w:val="0"/>
          <w:numId w:val="217"/>
        </w:numPr>
        <w:tabs>
          <w:tab w:val="clear" w:pos="1276"/>
        </w:tabs>
        <w:spacing w:before="120" w:after="0" w:line="276" w:lineRule="auto"/>
      </w:pPr>
      <w:r w:rsidRPr="006A0E0A">
        <w:t>Mecanismo de acção - no organismo, a nitroglicerina transforma-se em óxido nitroso, que produz relaxamento da parede vascular das artérias coronárias que irrigam</w:t>
      </w:r>
      <w:r>
        <w:t xml:space="preserve"> o músculo cardíaco</w:t>
      </w:r>
    </w:p>
    <w:p w:rsidR="006E6CB9" w:rsidRDefault="006E6CB9" w:rsidP="00C52E09">
      <w:pPr>
        <w:pStyle w:val="TM-3n"/>
        <w:numPr>
          <w:ilvl w:val="0"/>
          <w:numId w:val="217"/>
        </w:numPr>
        <w:tabs>
          <w:tab w:val="clear" w:pos="1276"/>
        </w:tabs>
        <w:spacing w:before="120" w:after="0" w:line="276" w:lineRule="auto"/>
      </w:pPr>
      <w:r w:rsidRPr="006A0E0A">
        <w:t>Forma farmacêutica e via de administração: comprimidos, por via sub-lingual</w:t>
      </w:r>
    </w:p>
    <w:p w:rsidR="006E6CB9" w:rsidRDefault="006E6CB9" w:rsidP="00C52E09">
      <w:pPr>
        <w:pStyle w:val="TM-3n"/>
        <w:numPr>
          <w:ilvl w:val="0"/>
          <w:numId w:val="217"/>
        </w:numPr>
        <w:tabs>
          <w:tab w:val="clear" w:pos="1276"/>
        </w:tabs>
        <w:spacing w:before="120" w:after="0" w:line="276" w:lineRule="auto"/>
      </w:pPr>
      <w:r w:rsidRPr="006A0E0A">
        <w:t>Indicações: alívio e profilaxia das crises de angina de peito, alívio, a curto prazo, da congestão pulmonar em situações de insuficiência cardíaca esquerda</w:t>
      </w:r>
    </w:p>
    <w:p w:rsidR="006E6CB9" w:rsidRPr="006A0E0A" w:rsidRDefault="006E6CB9" w:rsidP="00C52E09">
      <w:pPr>
        <w:pStyle w:val="TM-3n"/>
        <w:numPr>
          <w:ilvl w:val="0"/>
          <w:numId w:val="217"/>
        </w:numPr>
        <w:tabs>
          <w:tab w:val="clear" w:pos="1276"/>
        </w:tabs>
        <w:spacing w:before="120" w:after="0" w:line="276" w:lineRule="auto"/>
      </w:pPr>
      <w:r w:rsidRPr="006A0E0A">
        <w:t>Dose e dosagem:  0,5 mg, que pode ser repetido de 3-5 min, até ao alívio da dor e dispneia, não podendo ultrapassar os 2 mg.</w:t>
      </w:r>
    </w:p>
    <w:p w:rsidR="006E6CB9" w:rsidRPr="006A0E0A" w:rsidRDefault="006E6CB9" w:rsidP="006E6CB9">
      <w:pPr>
        <w:pStyle w:val="TM-4n"/>
        <w:numPr>
          <w:ilvl w:val="0"/>
          <w:numId w:val="0"/>
        </w:numPr>
        <w:spacing w:before="120" w:after="0" w:line="276" w:lineRule="auto"/>
        <w:ind w:left="1440"/>
      </w:pPr>
    </w:p>
    <w:p w:rsidR="006E6CB9" w:rsidRPr="006A0E0A" w:rsidRDefault="005F3F7B" w:rsidP="005F3F7B">
      <w:pPr>
        <w:pStyle w:val="TM-1n"/>
        <w:numPr>
          <w:ilvl w:val="0"/>
          <w:numId w:val="0"/>
        </w:numPr>
        <w:shd w:val="clear" w:color="auto" w:fill="C6D9F1"/>
        <w:tabs>
          <w:tab w:val="clear" w:pos="9072"/>
          <w:tab w:val="left" w:pos="284"/>
        </w:tabs>
        <w:rPr>
          <w:sz w:val="22"/>
          <w:szCs w:val="22"/>
        </w:rPr>
      </w:pPr>
      <w:r>
        <w:rPr>
          <w:sz w:val="22"/>
          <w:szCs w:val="22"/>
        </w:rPr>
        <w:t xml:space="preserve">BLOCO 4: </w:t>
      </w:r>
      <w:r w:rsidR="006E6CB9" w:rsidRPr="006A0E0A">
        <w:rPr>
          <w:sz w:val="22"/>
          <w:szCs w:val="22"/>
        </w:rPr>
        <w:t>FÁRMACOS USADOS NO APARELHO RESPIRATÓRIO</w:t>
      </w:r>
      <w:r w:rsidR="006E6CB9" w:rsidRPr="006A0E0A">
        <w:rPr>
          <w:sz w:val="22"/>
          <w:szCs w:val="22"/>
        </w:rPr>
        <w:tab/>
      </w:r>
    </w:p>
    <w:p w:rsidR="006E6CB9" w:rsidRPr="006A0E0A" w:rsidRDefault="006E6CB9" w:rsidP="008E3E9B">
      <w:pPr>
        <w:pStyle w:val="TM-2n"/>
        <w:numPr>
          <w:ilvl w:val="0"/>
          <w:numId w:val="0"/>
        </w:numPr>
        <w:spacing w:before="120" w:after="0" w:line="276" w:lineRule="auto"/>
      </w:pPr>
      <w:r w:rsidRPr="006A0E0A">
        <w:t>O tratamento farmacológico de muitas doenças respiratórias é realizado utilizando fármacos pertencentes a diversas classes de medicamentos que não são específicos dum determinado sistema orgânico, uma vez que as doenças respiratórias têm várias etiologias tais como: origem infecciosa, alérgicas, tumorais e outras. Entre as categorias de fármacos que são específicos ao aparelho respiratório, estão os anti-asmáticos e os anti-tússicos.</w:t>
      </w:r>
    </w:p>
    <w:p w:rsidR="006E6CB9" w:rsidRPr="006A0E0A" w:rsidRDefault="006E6CB9" w:rsidP="00C52E09">
      <w:pPr>
        <w:pStyle w:val="TM-2n"/>
        <w:numPr>
          <w:ilvl w:val="1"/>
          <w:numId w:val="262"/>
        </w:numPr>
        <w:spacing w:before="120" w:after="0" w:line="276" w:lineRule="auto"/>
      </w:pPr>
      <w:r w:rsidRPr="00045A88">
        <w:rPr>
          <w:b/>
        </w:rPr>
        <w:t>Anti-asmáticos</w:t>
      </w:r>
      <w:r w:rsidRPr="006A0E0A">
        <w:t>. Grupo de fármacos utilizados no tratamento da asma para aliviar a dificuldade respiratória ocasionada pela obstrução brônquica.</w:t>
      </w:r>
    </w:p>
    <w:p w:rsidR="006E6CB9" w:rsidRPr="00045A88" w:rsidRDefault="006E6CB9" w:rsidP="00C52E09">
      <w:pPr>
        <w:pStyle w:val="TM-3n"/>
        <w:numPr>
          <w:ilvl w:val="2"/>
          <w:numId w:val="262"/>
        </w:numPr>
        <w:tabs>
          <w:tab w:val="clear" w:pos="1276"/>
          <w:tab w:val="left" w:pos="1080"/>
        </w:tabs>
        <w:spacing w:before="120" w:after="0" w:line="276" w:lineRule="auto"/>
        <w:ind w:hanging="270"/>
        <w:rPr>
          <w:b/>
        </w:rPr>
      </w:pPr>
      <w:r w:rsidRPr="00045A88">
        <w:rPr>
          <w:b/>
        </w:rPr>
        <w:t>Aminofilina</w:t>
      </w:r>
    </w:p>
    <w:p w:rsidR="006E6CB9" w:rsidRDefault="006E6CB9" w:rsidP="00C52E09">
      <w:pPr>
        <w:pStyle w:val="TM-3n"/>
        <w:numPr>
          <w:ilvl w:val="0"/>
          <w:numId w:val="263"/>
        </w:numPr>
        <w:tabs>
          <w:tab w:val="clear" w:pos="1276"/>
        </w:tabs>
        <w:spacing w:before="120" w:after="0" w:line="276" w:lineRule="auto"/>
      </w:pPr>
      <w:r w:rsidRPr="006A0E0A">
        <w:t>Mecanismo de acção: é um broncodilatador. Actua por inibição de sistemas enzimáticos (fosfodiesterase) que prod</w:t>
      </w:r>
      <w:r>
        <w:t>uzem a contracção dos brônquios</w:t>
      </w:r>
    </w:p>
    <w:p w:rsidR="006E6CB9" w:rsidRDefault="006E6CB9" w:rsidP="00C52E09">
      <w:pPr>
        <w:pStyle w:val="TM-3n"/>
        <w:numPr>
          <w:ilvl w:val="0"/>
          <w:numId w:val="263"/>
        </w:numPr>
        <w:tabs>
          <w:tab w:val="clear" w:pos="1276"/>
        </w:tabs>
        <w:spacing w:before="120" w:after="0" w:line="276" w:lineRule="auto"/>
      </w:pPr>
      <w:r w:rsidRPr="006A0E0A">
        <w:t>Forma farmacêutica e via de administração: comprimidos e injectável, por via oral e EV</w:t>
      </w:r>
    </w:p>
    <w:p w:rsidR="006E6CB9" w:rsidRPr="006A0E0A" w:rsidRDefault="006E6CB9" w:rsidP="00C52E09">
      <w:pPr>
        <w:pStyle w:val="TM-3n"/>
        <w:numPr>
          <w:ilvl w:val="0"/>
          <w:numId w:val="263"/>
        </w:numPr>
        <w:tabs>
          <w:tab w:val="clear" w:pos="1276"/>
        </w:tabs>
        <w:spacing w:before="120" w:after="0" w:line="276" w:lineRule="auto"/>
      </w:pPr>
      <w:r w:rsidRPr="006A0E0A">
        <w:lastRenderedPageBreak/>
        <w:t>Indicações: tratamento da asma brônquica (crise e manutenção) e de outras situações acompanhadas de bronco</w:t>
      </w:r>
      <w:r>
        <w:t>e</w:t>
      </w:r>
      <w:r w:rsidRPr="006A0E0A">
        <w:t>spasmo (enfisema e bronquite)</w:t>
      </w:r>
    </w:p>
    <w:p w:rsidR="006E6CB9" w:rsidRPr="006A0E0A" w:rsidRDefault="006E6CB9" w:rsidP="00C52E09">
      <w:pPr>
        <w:pStyle w:val="TM-4n"/>
        <w:numPr>
          <w:ilvl w:val="0"/>
          <w:numId w:val="263"/>
        </w:numPr>
        <w:tabs>
          <w:tab w:val="clear" w:pos="1134"/>
        </w:tabs>
        <w:spacing w:before="120" w:after="0" w:line="276" w:lineRule="auto"/>
      </w:pPr>
      <w:r w:rsidRPr="006A0E0A">
        <w:t xml:space="preserve">Dose e dosagem: </w:t>
      </w:r>
    </w:p>
    <w:p w:rsidR="006E6CB9" w:rsidRPr="006A0E0A" w:rsidRDefault="006E6CB9" w:rsidP="00C52E09">
      <w:pPr>
        <w:pStyle w:val="TM-4n"/>
        <w:numPr>
          <w:ilvl w:val="2"/>
          <w:numId w:val="218"/>
        </w:numPr>
        <w:tabs>
          <w:tab w:val="clear" w:pos="1134"/>
        </w:tabs>
        <w:spacing w:before="120" w:after="0" w:line="276" w:lineRule="auto"/>
      </w:pPr>
      <w:r w:rsidRPr="006A0E0A">
        <w:t>Dose de ataque na crise asmática: 6mg/kg em perfusão com soro fisiológico ou dextrose a 5% durante 30 minutos</w:t>
      </w:r>
    </w:p>
    <w:p w:rsidR="006E6CB9" w:rsidRPr="006A0E0A" w:rsidRDefault="006E6CB9" w:rsidP="00C52E09">
      <w:pPr>
        <w:pStyle w:val="TM-4n"/>
        <w:numPr>
          <w:ilvl w:val="2"/>
          <w:numId w:val="218"/>
        </w:numPr>
        <w:tabs>
          <w:tab w:val="clear" w:pos="1134"/>
        </w:tabs>
        <w:spacing w:before="120" w:after="0" w:line="276" w:lineRule="auto"/>
      </w:pPr>
      <w:r w:rsidRPr="006A0E0A">
        <w:t>Dose de manutenção: 5-10 mg/kg por dia, divididos em 3 tomas (100 mg de 8 em 8 horas).</w:t>
      </w:r>
    </w:p>
    <w:p w:rsidR="006E6CB9" w:rsidRPr="00045A88" w:rsidRDefault="006E6CB9" w:rsidP="00C52E09">
      <w:pPr>
        <w:pStyle w:val="TM-3n"/>
        <w:numPr>
          <w:ilvl w:val="2"/>
          <w:numId w:val="262"/>
        </w:numPr>
        <w:tabs>
          <w:tab w:val="clear" w:pos="1276"/>
        </w:tabs>
        <w:spacing w:before="120" w:after="0" w:line="276" w:lineRule="auto"/>
        <w:ind w:left="1080" w:hanging="630"/>
        <w:rPr>
          <w:b/>
        </w:rPr>
      </w:pPr>
      <w:r w:rsidRPr="00045A88">
        <w:rPr>
          <w:b/>
        </w:rPr>
        <w:t>Salbutamol</w:t>
      </w:r>
    </w:p>
    <w:p w:rsidR="006E6CB9" w:rsidRDefault="006E6CB9" w:rsidP="00C52E09">
      <w:pPr>
        <w:pStyle w:val="TM-3n"/>
        <w:numPr>
          <w:ilvl w:val="0"/>
          <w:numId w:val="217"/>
        </w:numPr>
        <w:tabs>
          <w:tab w:val="clear" w:pos="1276"/>
        </w:tabs>
        <w:spacing w:before="120" w:after="0" w:line="276" w:lineRule="auto"/>
      </w:pPr>
      <w:r w:rsidRPr="006A0E0A">
        <w:t>Mecanismo de acção: é um broncodilatador. Actua estimulando de determinados receptores (receptores ß2) da membrana celular do músculo bronquial, produzindo r</w:t>
      </w:r>
      <w:r>
        <w:t>elaxação das células musculares</w:t>
      </w:r>
    </w:p>
    <w:p w:rsidR="006E6CB9" w:rsidRDefault="006E6CB9" w:rsidP="00C52E09">
      <w:pPr>
        <w:pStyle w:val="TM-3n"/>
        <w:numPr>
          <w:ilvl w:val="0"/>
          <w:numId w:val="217"/>
        </w:numPr>
        <w:tabs>
          <w:tab w:val="clear" w:pos="1276"/>
        </w:tabs>
        <w:spacing w:before="120" w:after="0" w:line="276" w:lineRule="auto"/>
      </w:pPr>
      <w:r w:rsidRPr="006A0E0A">
        <w:t>Forma farmacêutica e via de administração: comprimidos, xarope, aerossol, por via oral e inalatória</w:t>
      </w:r>
    </w:p>
    <w:p w:rsidR="006E6CB9" w:rsidRDefault="006E6CB9" w:rsidP="00C52E09">
      <w:pPr>
        <w:pStyle w:val="TM-3n"/>
        <w:numPr>
          <w:ilvl w:val="0"/>
          <w:numId w:val="217"/>
        </w:numPr>
        <w:tabs>
          <w:tab w:val="clear" w:pos="1276"/>
        </w:tabs>
        <w:spacing w:before="120" w:after="0" w:line="276" w:lineRule="auto"/>
      </w:pPr>
      <w:r w:rsidRPr="006A0E0A">
        <w:t>Indicaçõe</w:t>
      </w:r>
      <w:r>
        <w:t>s: tratamento da asma brônquica</w:t>
      </w:r>
    </w:p>
    <w:p w:rsidR="006E6CB9" w:rsidRPr="006A0E0A" w:rsidRDefault="006E6CB9" w:rsidP="00C52E09">
      <w:pPr>
        <w:pStyle w:val="TM-3n"/>
        <w:numPr>
          <w:ilvl w:val="0"/>
          <w:numId w:val="217"/>
        </w:numPr>
        <w:tabs>
          <w:tab w:val="clear" w:pos="1276"/>
        </w:tabs>
        <w:spacing w:before="120" w:after="0" w:line="276" w:lineRule="auto"/>
      </w:pPr>
      <w:r w:rsidRPr="006A0E0A">
        <w:t>Dose e dosagem: na terapêutica de manutenção geralmente é de 2-4 mg de 6/6 horas ou de 8/8 horas. Os aerossóis pressurizados são usados na dose de 2 a 3 jactos 3 a 4 vezes por dia</w:t>
      </w:r>
    </w:p>
    <w:p w:rsidR="006E6CB9" w:rsidRDefault="006E6CB9" w:rsidP="00C52E09">
      <w:pPr>
        <w:pStyle w:val="TM-2n"/>
        <w:numPr>
          <w:ilvl w:val="1"/>
          <w:numId w:val="262"/>
        </w:numPr>
        <w:spacing w:before="120" w:after="0" w:line="276" w:lineRule="auto"/>
        <w:ind w:left="450" w:hanging="450"/>
      </w:pPr>
      <w:r w:rsidRPr="00045A88">
        <w:rPr>
          <w:b/>
        </w:rPr>
        <w:t>Anti-tússicos e fluidificantes das secreções brônquicas</w:t>
      </w:r>
      <w:r w:rsidRPr="006A0E0A">
        <w:t>. Grupo de fármacos utilizados para tratar a tosse e as condições associadas. No caso da tosse produtiva, o objectivo é fluidificar as secreções para facilitar a sua expectoração.</w:t>
      </w:r>
    </w:p>
    <w:p w:rsidR="006E6CB9" w:rsidRPr="006A0E0A" w:rsidRDefault="006E6CB9" w:rsidP="00C52E09">
      <w:pPr>
        <w:pStyle w:val="TM-3n"/>
        <w:numPr>
          <w:ilvl w:val="2"/>
          <w:numId w:val="262"/>
        </w:numPr>
        <w:tabs>
          <w:tab w:val="clear" w:pos="1276"/>
        </w:tabs>
        <w:spacing w:before="120" w:after="0" w:line="276" w:lineRule="auto"/>
        <w:ind w:left="1080" w:hanging="630"/>
      </w:pPr>
      <w:r w:rsidRPr="00045A88">
        <w:rPr>
          <w:b/>
        </w:rPr>
        <w:t>Benzoato de sódio</w:t>
      </w:r>
      <w:r w:rsidRPr="006A0E0A">
        <w:t xml:space="preserve"> </w:t>
      </w:r>
    </w:p>
    <w:p w:rsidR="006E6CB9" w:rsidRDefault="006E6CB9" w:rsidP="00C52E09">
      <w:pPr>
        <w:pStyle w:val="TM-3n"/>
        <w:numPr>
          <w:ilvl w:val="0"/>
          <w:numId w:val="217"/>
        </w:numPr>
        <w:tabs>
          <w:tab w:val="clear" w:pos="1276"/>
        </w:tabs>
        <w:spacing w:before="120" w:after="0" w:line="276" w:lineRule="auto"/>
      </w:pPr>
      <w:r w:rsidRPr="006A0E0A">
        <w:t>Mecanismo de acção: actua fluidificando as secreções brônquicas. O seu efeito é muito duvidoso, sendo que a medida mais eficaz para fluidificar estas</w:t>
      </w:r>
      <w:r>
        <w:t xml:space="preserve"> secreções é a ingestão de água</w:t>
      </w:r>
    </w:p>
    <w:p w:rsidR="006E6CB9" w:rsidRDefault="006E6CB9" w:rsidP="00C52E09">
      <w:pPr>
        <w:pStyle w:val="TM-3n"/>
        <w:numPr>
          <w:ilvl w:val="0"/>
          <w:numId w:val="217"/>
        </w:numPr>
        <w:tabs>
          <w:tab w:val="clear" w:pos="1276"/>
        </w:tabs>
        <w:spacing w:before="120" w:after="0" w:line="276" w:lineRule="auto"/>
      </w:pPr>
      <w:r w:rsidRPr="006A0E0A">
        <w:t>Forma farmacêutica e via de administração: xarope, por via oral</w:t>
      </w:r>
    </w:p>
    <w:p w:rsidR="006E6CB9" w:rsidRDefault="006E6CB9" w:rsidP="00C52E09">
      <w:pPr>
        <w:pStyle w:val="TM-3n"/>
        <w:numPr>
          <w:ilvl w:val="0"/>
          <w:numId w:val="217"/>
        </w:numPr>
        <w:tabs>
          <w:tab w:val="clear" w:pos="1276"/>
        </w:tabs>
        <w:spacing w:before="120" w:after="0" w:line="276" w:lineRule="auto"/>
      </w:pPr>
      <w:r>
        <w:t>Indicações: tosse produtiva</w:t>
      </w:r>
    </w:p>
    <w:p w:rsidR="006E6CB9" w:rsidRDefault="006E6CB9" w:rsidP="00C52E09">
      <w:pPr>
        <w:pStyle w:val="TM-3n"/>
        <w:numPr>
          <w:ilvl w:val="0"/>
          <w:numId w:val="217"/>
        </w:numPr>
        <w:tabs>
          <w:tab w:val="clear" w:pos="1276"/>
        </w:tabs>
        <w:spacing w:before="120" w:after="0" w:line="276" w:lineRule="auto"/>
      </w:pPr>
      <w:r w:rsidRPr="006A0E0A">
        <w:t>Dose e dosagem: 15 ml de 8 em 8 horas</w:t>
      </w:r>
    </w:p>
    <w:p w:rsidR="007701A8" w:rsidRPr="006A0E0A" w:rsidRDefault="007701A8" w:rsidP="007701A8">
      <w:pPr>
        <w:pStyle w:val="TM-3n"/>
        <w:numPr>
          <w:ilvl w:val="0"/>
          <w:numId w:val="0"/>
        </w:numPr>
        <w:tabs>
          <w:tab w:val="clear" w:pos="1276"/>
        </w:tabs>
        <w:spacing w:before="120" w:after="0" w:line="276" w:lineRule="auto"/>
        <w:ind w:left="1170"/>
      </w:pPr>
    </w:p>
    <w:p w:rsidR="006E6CB9" w:rsidRPr="006A0E0A" w:rsidRDefault="005F3F7B" w:rsidP="005F3F7B">
      <w:pPr>
        <w:pStyle w:val="TM-1n"/>
        <w:numPr>
          <w:ilvl w:val="0"/>
          <w:numId w:val="0"/>
        </w:numPr>
        <w:shd w:val="clear" w:color="auto" w:fill="C6D9F1"/>
        <w:tabs>
          <w:tab w:val="clear" w:pos="9072"/>
          <w:tab w:val="left" w:pos="284"/>
        </w:tabs>
        <w:rPr>
          <w:sz w:val="22"/>
          <w:szCs w:val="22"/>
        </w:rPr>
      </w:pPr>
      <w:r>
        <w:rPr>
          <w:sz w:val="22"/>
          <w:szCs w:val="22"/>
        </w:rPr>
        <w:t xml:space="preserve">BLOCO 5: </w:t>
      </w:r>
      <w:r w:rsidR="006E6CB9" w:rsidRPr="006A0E0A">
        <w:rPr>
          <w:sz w:val="22"/>
          <w:szCs w:val="22"/>
        </w:rPr>
        <w:t>FÁRMACOS USADOS NO APARELHO DIGESTIVO</w:t>
      </w:r>
      <w:r w:rsidR="006E6CB9" w:rsidRPr="006A0E0A">
        <w:rPr>
          <w:sz w:val="22"/>
          <w:szCs w:val="22"/>
        </w:rPr>
        <w:tab/>
      </w:r>
    </w:p>
    <w:p w:rsidR="006E6CB9" w:rsidRPr="006A0E0A" w:rsidRDefault="006E6CB9" w:rsidP="00C52E09">
      <w:pPr>
        <w:pStyle w:val="TM-2n"/>
        <w:numPr>
          <w:ilvl w:val="1"/>
          <w:numId w:val="262"/>
        </w:numPr>
        <w:spacing w:before="120" w:after="0" w:line="276" w:lineRule="auto"/>
        <w:ind w:left="450" w:hanging="450"/>
      </w:pPr>
      <w:r w:rsidRPr="006A0E0A">
        <w:t>Os fármacos utilizados no tratamento específico de doenças gastrointestinais podem-se dividir em várias categorias, sendo as mais importantes as seguintes:</w:t>
      </w:r>
    </w:p>
    <w:p w:rsidR="006E6CB9" w:rsidRPr="006A0E0A" w:rsidRDefault="006E6CB9" w:rsidP="00C52E09">
      <w:pPr>
        <w:pStyle w:val="TM-3n"/>
        <w:numPr>
          <w:ilvl w:val="2"/>
          <w:numId w:val="262"/>
        </w:numPr>
        <w:tabs>
          <w:tab w:val="clear" w:pos="1276"/>
        </w:tabs>
        <w:spacing w:before="120" w:after="0" w:line="276" w:lineRule="auto"/>
        <w:ind w:left="1080" w:hanging="630"/>
      </w:pPr>
      <w:r w:rsidRPr="006A0E0A">
        <w:t>Fármacos utilizados no controlo da acidez gástrica (anti-ácidos) e transtornos de tipo ulceroso.</w:t>
      </w:r>
    </w:p>
    <w:p w:rsidR="006E6CB9" w:rsidRPr="006A0E0A" w:rsidRDefault="006E6CB9" w:rsidP="00C52E09">
      <w:pPr>
        <w:pStyle w:val="TM-3n"/>
        <w:numPr>
          <w:ilvl w:val="2"/>
          <w:numId w:val="262"/>
        </w:numPr>
        <w:tabs>
          <w:tab w:val="clear" w:pos="1276"/>
        </w:tabs>
        <w:spacing w:before="120" w:after="0" w:line="276" w:lineRule="auto"/>
        <w:ind w:left="1080" w:hanging="630"/>
      </w:pPr>
      <w:r w:rsidRPr="006A0E0A">
        <w:t>Fármacos utilizados no controlo da motilidade digestiva</w:t>
      </w:r>
    </w:p>
    <w:p w:rsidR="006E6CB9" w:rsidRPr="006A0E0A" w:rsidRDefault="006E6CB9" w:rsidP="00C52E09">
      <w:pPr>
        <w:pStyle w:val="TM-2n"/>
        <w:numPr>
          <w:ilvl w:val="0"/>
          <w:numId w:val="219"/>
        </w:numPr>
      </w:pPr>
      <w:r w:rsidRPr="006A0E0A">
        <w:t>Anti-espasmódicos</w:t>
      </w:r>
    </w:p>
    <w:p w:rsidR="006E6CB9" w:rsidRPr="006A0E0A" w:rsidRDefault="006E6CB9" w:rsidP="00C52E09">
      <w:pPr>
        <w:pStyle w:val="TM-2n"/>
        <w:numPr>
          <w:ilvl w:val="0"/>
          <w:numId w:val="219"/>
        </w:numPr>
      </w:pPr>
      <w:r w:rsidRPr="006A0E0A">
        <w:t>Estimulantes da motilidade digestiva</w:t>
      </w:r>
    </w:p>
    <w:p w:rsidR="006E6CB9" w:rsidRPr="006A0E0A" w:rsidRDefault="006E6CB9" w:rsidP="00C52E09">
      <w:pPr>
        <w:pStyle w:val="TM-2n"/>
        <w:numPr>
          <w:ilvl w:val="0"/>
          <w:numId w:val="219"/>
        </w:numPr>
      </w:pPr>
      <w:r w:rsidRPr="006A0E0A">
        <w:t>Laxantes</w:t>
      </w:r>
    </w:p>
    <w:p w:rsidR="006E6CB9" w:rsidRPr="006A0E0A" w:rsidRDefault="006E6CB9" w:rsidP="00C52E09">
      <w:pPr>
        <w:pStyle w:val="TM-2n"/>
        <w:numPr>
          <w:ilvl w:val="0"/>
          <w:numId w:val="219"/>
        </w:numPr>
      </w:pPr>
      <w:r w:rsidRPr="006A0E0A">
        <w:t>Anti-diarreicos</w:t>
      </w:r>
    </w:p>
    <w:p w:rsidR="005F3F7B" w:rsidRDefault="005F3F7B" w:rsidP="006E6CB9">
      <w:pPr>
        <w:pStyle w:val="TM-3n"/>
        <w:numPr>
          <w:ilvl w:val="0"/>
          <w:numId w:val="0"/>
        </w:numPr>
        <w:tabs>
          <w:tab w:val="clear" w:pos="1276"/>
        </w:tabs>
        <w:spacing w:before="120" w:after="0" w:line="276" w:lineRule="auto"/>
        <w:rPr>
          <w:b/>
        </w:rPr>
      </w:pPr>
    </w:p>
    <w:p w:rsidR="005F3F7B" w:rsidRDefault="005F3F7B" w:rsidP="006E6CB9">
      <w:pPr>
        <w:pStyle w:val="TM-3n"/>
        <w:numPr>
          <w:ilvl w:val="0"/>
          <w:numId w:val="0"/>
        </w:numPr>
        <w:tabs>
          <w:tab w:val="clear" w:pos="1276"/>
        </w:tabs>
        <w:spacing w:before="120" w:after="0" w:line="276" w:lineRule="auto"/>
        <w:rPr>
          <w:b/>
        </w:rPr>
      </w:pPr>
    </w:p>
    <w:p w:rsidR="006E6CB9" w:rsidRPr="006A0E0A" w:rsidRDefault="006E6CB9" w:rsidP="006E6CB9">
      <w:pPr>
        <w:pStyle w:val="TM-3n"/>
        <w:numPr>
          <w:ilvl w:val="0"/>
          <w:numId w:val="0"/>
        </w:numPr>
        <w:tabs>
          <w:tab w:val="clear" w:pos="1276"/>
        </w:tabs>
        <w:spacing w:before="120" w:after="0" w:line="276" w:lineRule="auto"/>
        <w:rPr>
          <w:b/>
        </w:rPr>
      </w:pPr>
      <w:r w:rsidRPr="006A0E0A">
        <w:rPr>
          <w:b/>
        </w:rPr>
        <w:t>Fármacos utilizados no controlo da acidez gástrica e transtornos do tipo ulceroso</w:t>
      </w:r>
    </w:p>
    <w:p w:rsidR="006E6CB9" w:rsidRPr="006A0E0A" w:rsidRDefault="006E6CB9" w:rsidP="00C52E09">
      <w:pPr>
        <w:pStyle w:val="TM-2n"/>
        <w:numPr>
          <w:ilvl w:val="1"/>
          <w:numId w:val="262"/>
        </w:numPr>
        <w:spacing w:before="120" w:after="0" w:line="276" w:lineRule="auto"/>
        <w:ind w:left="450" w:hanging="450"/>
      </w:pPr>
      <w:r w:rsidRPr="00045A88">
        <w:rPr>
          <w:b/>
        </w:rPr>
        <w:t>Anti-ácidos e anti-ulcerosos</w:t>
      </w:r>
      <w:r w:rsidRPr="006A0E0A">
        <w:t>. Grupo de fármacos utilizados no tratamento dos sintomas produzidos pelo ácido gástrico em situações de refluxo gástrico e dispepsia. Alguns deles são compostos químicos alcalinos, que elevam o pH gástrico. Outros podem inibir a secreção do ácido gástrico, reduzindo assim o conteúdo ácido no estômago.</w:t>
      </w:r>
    </w:p>
    <w:p w:rsidR="006E6CB9" w:rsidRPr="006A0E0A" w:rsidRDefault="006E6CB9" w:rsidP="00C52E09">
      <w:pPr>
        <w:pStyle w:val="TM-3n"/>
        <w:numPr>
          <w:ilvl w:val="2"/>
          <w:numId w:val="262"/>
        </w:numPr>
        <w:tabs>
          <w:tab w:val="clear" w:pos="1276"/>
        </w:tabs>
        <w:spacing w:before="120" w:after="0" w:line="276" w:lineRule="auto"/>
        <w:ind w:left="1080" w:hanging="630"/>
      </w:pPr>
      <w:r w:rsidRPr="00045A88">
        <w:rPr>
          <w:b/>
        </w:rPr>
        <w:t>Hidróxido de alumínio</w:t>
      </w:r>
      <w:r w:rsidRPr="006A0E0A">
        <w:t xml:space="preserve"> </w:t>
      </w:r>
    </w:p>
    <w:p w:rsidR="006E6CB9" w:rsidRDefault="006E6CB9" w:rsidP="00C52E09">
      <w:pPr>
        <w:pStyle w:val="TM-3n"/>
        <w:numPr>
          <w:ilvl w:val="0"/>
          <w:numId w:val="220"/>
        </w:numPr>
        <w:tabs>
          <w:tab w:val="clear" w:pos="1276"/>
        </w:tabs>
        <w:spacing w:before="120" w:after="0" w:line="276" w:lineRule="auto"/>
      </w:pPr>
      <w:r w:rsidRPr="006A0E0A">
        <w:t>Mecanismo de acção: reage com o ácido gástrico aumen</w:t>
      </w:r>
      <w:r>
        <w:t>tando o pH do conteúdo gástrico</w:t>
      </w:r>
    </w:p>
    <w:p w:rsidR="006E6CB9" w:rsidRDefault="006E6CB9" w:rsidP="00C52E09">
      <w:pPr>
        <w:pStyle w:val="TM-3n"/>
        <w:numPr>
          <w:ilvl w:val="0"/>
          <w:numId w:val="220"/>
        </w:numPr>
        <w:tabs>
          <w:tab w:val="clear" w:pos="1276"/>
        </w:tabs>
        <w:spacing w:before="120" w:after="0" w:line="276" w:lineRule="auto"/>
      </w:pPr>
      <w:r w:rsidRPr="006A0E0A">
        <w:t>Forma farmacêutica e via de administração: comprimidos, por via oral</w:t>
      </w:r>
    </w:p>
    <w:p w:rsidR="006E6CB9" w:rsidRDefault="006E6CB9" w:rsidP="00C52E09">
      <w:pPr>
        <w:pStyle w:val="TM-3n"/>
        <w:numPr>
          <w:ilvl w:val="0"/>
          <w:numId w:val="220"/>
        </w:numPr>
        <w:tabs>
          <w:tab w:val="clear" w:pos="1276"/>
        </w:tabs>
        <w:spacing w:before="120" w:after="0" w:line="276" w:lineRule="auto"/>
      </w:pPr>
      <w:r w:rsidRPr="006A0E0A">
        <w:t>Indicações: alívio sintomático da dispepsia ulcerosa (dificuldade na digestão, com dor abdominal e sensação de saciedade) e do refluxo gastroesofágico (refluxo do conteúdo alimen</w:t>
      </w:r>
      <w:r>
        <w:t>tar do estômago para o esófago)</w:t>
      </w:r>
    </w:p>
    <w:p w:rsidR="006E6CB9" w:rsidRPr="006A0E0A" w:rsidRDefault="006E6CB9" w:rsidP="00C52E09">
      <w:pPr>
        <w:pStyle w:val="TM-3n"/>
        <w:numPr>
          <w:ilvl w:val="0"/>
          <w:numId w:val="220"/>
        </w:numPr>
        <w:tabs>
          <w:tab w:val="clear" w:pos="1276"/>
        </w:tabs>
        <w:spacing w:before="120" w:after="0" w:line="276" w:lineRule="auto"/>
      </w:pPr>
      <w:r w:rsidRPr="006A0E0A">
        <w:t>Dose e dosagem: 0,5-1,5 gramas entre as refeições e ao deitar.</w:t>
      </w:r>
    </w:p>
    <w:p w:rsidR="006E6CB9" w:rsidRPr="004102DF" w:rsidRDefault="006E6CB9" w:rsidP="00C52E09">
      <w:pPr>
        <w:pStyle w:val="TM-3n"/>
        <w:numPr>
          <w:ilvl w:val="2"/>
          <w:numId w:val="262"/>
        </w:numPr>
        <w:tabs>
          <w:tab w:val="clear" w:pos="1276"/>
        </w:tabs>
        <w:spacing w:before="120" w:after="0" w:line="276" w:lineRule="auto"/>
        <w:ind w:left="1080" w:hanging="630"/>
        <w:rPr>
          <w:b/>
        </w:rPr>
      </w:pPr>
      <w:r w:rsidRPr="004102DF">
        <w:rPr>
          <w:b/>
        </w:rPr>
        <w:t xml:space="preserve">Ranitidina </w:t>
      </w:r>
    </w:p>
    <w:p w:rsidR="006E6CB9" w:rsidRDefault="006E6CB9" w:rsidP="00C52E09">
      <w:pPr>
        <w:pStyle w:val="TM-3n"/>
        <w:numPr>
          <w:ilvl w:val="0"/>
          <w:numId w:val="220"/>
        </w:numPr>
        <w:tabs>
          <w:tab w:val="clear" w:pos="1276"/>
        </w:tabs>
        <w:spacing w:before="120" w:after="0" w:line="276" w:lineRule="auto"/>
      </w:pPr>
      <w:r w:rsidRPr="006A0E0A">
        <w:t>Mecanismo de acção: actua por inibição da secreção de ácido gástrico, reduzin</w:t>
      </w:r>
      <w:r>
        <w:t>do o conteúdo ácido do estômago</w:t>
      </w:r>
    </w:p>
    <w:p w:rsidR="006E6CB9" w:rsidRDefault="006E6CB9" w:rsidP="00C52E09">
      <w:pPr>
        <w:pStyle w:val="TM-3n"/>
        <w:numPr>
          <w:ilvl w:val="0"/>
          <w:numId w:val="220"/>
        </w:numPr>
        <w:tabs>
          <w:tab w:val="clear" w:pos="1276"/>
        </w:tabs>
        <w:spacing w:before="120" w:after="0" w:line="276" w:lineRule="auto"/>
      </w:pPr>
      <w:r w:rsidRPr="006A0E0A">
        <w:t>Forma farmacêutica e via de administração: comprimidos, injectável, por via oral e EV ou IM</w:t>
      </w:r>
      <w:r>
        <w:t>. A formulação injectável é de nível 3</w:t>
      </w:r>
    </w:p>
    <w:p w:rsidR="006E6CB9" w:rsidRDefault="006E6CB9" w:rsidP="00C52E09">
      <w:pPr>
        <w:pStyle w:val="TM-3n"/>
        <w:numPr>
          <w:ilvl w:val="0"/>
          <w:numId w:val="220"/>
        </w:numPr>
        <w:tabs>
          <w:tab w:val="clear" w:pos="1276"/>
        </w:tabs>
        <w:spacing w:before="120" w:after="0" w:line="276" w:lineRule="auto"/>
      </w:pPr>
      <w:r w:rsidRPr="006A0E0A">
        <w:t xml:space="preserve">Indicações: tratamento da úlcera gástrica e duodenal, do refluxo </w:t>
      </w:r>
      <w:r>
        <w:t>gastroesofágico, e da esofagite</w:t>
      </w:r>
    </w:p>
    <w:p w:rsidR="006E6CB9" w:rsidRPr="006A0E0A" w:rsidRDefault="006E6CB9" w:rsidP="00C52E09">
      <w:pPr>
        <w:pStyle w:val="TM-3n"/>
        <w:numPr>
          <w:ilvl w:val="0"/>
          <w:numId w:val="220"/>
        </w:numPr>
        <w:tabs>
          <w:tab w:val="clear" w:pos="1276"/>
        </w:tabs>
        <w:spacing w:before="120" w:after="0" w:line="276" w:lineRule="auto"/>
      </w:pPr>
      <w:r w:rsidRPr="006A0E0A">
        <w:t>Dose e dosagem: geralmente 150 mg de 12 em 12 horas ou 300 mg à noite.</w:t>
      </w:r>
    </w:p>
    <w:p w:rsidR="006E6CB9" w:rsidRPr="006A0E0A" w:rsidRDefault="006E6CB9" w:rsidP="006E6CB9">
      <w:pPr>
        <w:pStyle w:val="TM-4n"/>
        <w:numPr>
          <w:ilvl w:val="0"/>
          <w:numId w:val="0"/>
        </w:numPr>
        <w:spacing w:before="120" w:after="0" w:line="276" w:lineRule="auto"/>
        <w:rPr>
          <w:b/>
        </w:rPr>
      </w:pPr>
      <w:r w:rsidRPr="006A0E0A">
        <w:rPr>
          <w:b/>
        </w:rPr>
        <w:t>Fármacos utilizados no controlo da motilidade digestiva</w:t>
      </w:r>
    </w:p>
    <w:p w:rsidR="006E6CB9" w:rsidRPr="006A0E0A" w:rsidRDefault="006E6CB9" w:rsidP="00C52E09">
      <w:pPr>
        <w:pStyle w:val="TM-2n"/>
        <w:numPr>
          <w:ilvl w:val="1"/>
          <w:numId w:val="262"/>
        </w:numPr>
        <w:spacing w:before="120" w:after="0" w:line="276" w:lineRule="auto"/>
        <w:ind w:left="450" w:hanging="450"/>
      </w:pPr>
      <w:r w:rsidRPr="004102DF">
        <w:rPr>
          <w:b/>
        </w:rPr>
        <w:t>Anti-espasmódicos</w:t>
      </w:r>
      <w:r w:rsidRPr="006A0E0A">
        <w:t>. Fármacos utilizados no tratamento dos sintomas produzidos pela contracção das fibras do tecido muscular liso. São especialmente úteis para o tratamento de sintomas nos aparelhos digestivo e genito-urinário.</w:t>
      </w:r>
    </w:p>
    <w:p w:rsidR="006E6CB9" w:rsidRPr="004102DF" w:rsidRDefault="006E6CB9" w:rsidP="00C52E09">
      <w:pPr>
        <w:pStyle w:val="TM-3n"/>
        <w:numPr>
          <w:ilvl w:val="2"/>
          <w:numId w:val="262"/>
        </w:numPr>
        <w:tabs>
          <w:tab w:val="clear" w:pos="1276"/>
        </w:tabs>
        <w:spacing w:before="120" w:after="0" w:line="276" w:lineRule="auto"/>
        <w:ind w:left="1080" w:hanging="630"/>
        <w:rPr>
          <w:b/>
        </w:rPr>
      </w:pPr>
      <w:r w:rsidRPr="004102DF">
        <w:rPr>
          <w:b/>
        </w:rPr>
        <w:t xml:space="preserve">Butilescopolamina </w:t>
      </w:r>
    </w:p>
    <w:p w:rsidR="006E6CB9" w:rsidRDefault="006E6CB9" w:rsidP="00C52E09">
      <w:pPr>
        <w:pStyle w:val="TM-3n"/>
        <w:numPr>
          <w:ilvl w:val="0"/>
          <w:numId w:val="220"/>
        </w:numPr>
        <w:tabs>
          <w:tab w:val="clear" w:pos="1276"/>
        </w:tabs>
        <w:spacing w:before="120" w:after="0" w:line="276" w:lineRule="auto"/>
      </w:pPr>
      <w:r w:rsidRPr="006A0E0A">
        <w:t>Mecanismo de acção: actua pelo bloqueio dos receptores celulares para determinadas moléculas que transmite</w:t>
      </w:r>
      <w:r>
        <w:t>m informação no sistema nervoso</w:t>
      </w:r>
    </w:p>
    <w:p w:rsidR="006E6CB9" w:rsidRDefault="006E6CB9" w:rsidP="00C52E09">
      <w:pPr>
        <w:pStyle w:val="TM-3n"/>
        <w:numPr>
          <w:ilvl w:val="0"/>
          <w:numId w:val="220"/>
        </w:numPr>
        <w:tabs>
          <w:tab w:val="clear" w:pos="1276"/>
        </w:tabs>
        <w:spacing w:before="120" w:after="0" w:line="276" w:lineRule="auto"/>
      </w:pPr>
      <w:r w:rsidRPr="006A0E0A">
        <w:t>Forma farmacêutica e via de administração: comprimidos, injectável, por via oral e IM ou EV</w:t>
      </w:r>
    </w:p>
    <w:p w:rsidR="006E6CB9" w:rsidRDefault="006E6CB9" w:rsidP="00C52E09">
      <w:pPr>
        <w:pStyle w:val="TM-3n"/>
        <w:numPr>
          <w:ilvl w:val="0"/>
          <w:numId w:val="220"/>
        </w:numPr>
        <w:tabs>
          <w:tab w:val="clear" w:pos="1276"/>
        </w:tabs>
        <w:spacing w:before="120" w:after="0" w:line="276" w:lineRule="auto"/>
      </w:pPr>
      <w:r w:rsidRPr="006A0E0A">
        <w:t>Indicações: alívio sintomático de cólicas gastro</w:t>
      </w:r>
      <w:r>
        <w:t>intestinais ou genito-urinárias</w:t>
      </w:r>
    </w:p>
    <w:p w:rsidR="006E6CB9" w:rsidRPr="006A0E0A" w:rsidRDefault="006E6CB9" w:rsidP="00C52E09">
      <w:pPr>
        <w:pStyle w:val="TM-3n"/>
        <w:numPr>
          <w:ilvl w:val="0"/>
          <w:numId w:val="220"/>
        </w:numPr>
        <w:tabs>
          <w:tab w:val="clear" w:pos="1276"/>
        </w:tabs>
        <w:spacing w:before="120" w:after="0" w:line="276" w:lineRule="auto"/>
      </w:pPr>
      <w:r w:rsidRPr="006A0E0A">
        <w:t>Dose e dosagem: 10-20 mg de 6 em 6 horas ou de 8 em 8 horas. Em situações de urgência, preferir a via IM ou EV lenta na dose de 20 mg 3-4 vezes por dia.</w:t>
      </w:r>
      <w:r>
        <w:t xml:space="preserve"> Dose máxima de 100 mg por dia</w:t>
      </w:r>
    </w:p>
    <w:p w:rsidR="006E6CB9" w:rsidRPr="006A0E0A" w:rsidRDefault="006E6CB9" w:rsidP="00C52E09">
      <w:pPr>
        <w:pStyle w:val="TM-2n"/>
        <w:numPr>
          <w:ilvl w:val="1"/>
          <w:numId w:val="262"/>
        </w:numPr>
        <w:spacing w:before="120" w:after="0" w:line="276" w:lineRule="auto"/>
        <w:ind w:left="450" w:hanging="450"/>
      </w:pPr>
      <w:r w:rsidRPr="004102DF">
        <w:rPr>
          <w:b/>
        </w:rPr>
        <w:t>Estimulantes da motilidade digestiva</w:t>
      </w:r>
      <w:r w:rsidRPr="006A0E0A">
        <w:t>. Grupo de fármacos que melhoram a motilidade digestiva, aumentando a frequência e a potência das contracções do intestino delgado. São utilizados para o alívio de sintomas gastrointestinais como desconforto abdominal, obstipação, náuseas e vómitos.</w:t>
      </w:r>
    </w:p>
    <w:p w:rsidR="006E6CB9" w:rsidRPr="004102DF" w:rsidRDefault="006E6CB9" w:rsidP="00C52E09">
      <w:pPr>
        <w:pStyle w:val="TM-3n"/>
        <w:numPr>
          <w:ilvl w:val="2"/>
          <w:numId w:val="262"/>
        </w:numPr>
        <w:tabs>
          <w:tab w:val="clear" w:pos="1276"/>
        </w:tabs>
        <w:spacing w:before="120" w:after="0" w:line="276" w:lineRule="auto"/>
        <w:ind w:left="1080" w:hanging="630"/>
        <w:rPr>
          <w:b/>
        </w:rPr>
      </w:pPr>
      <w:r w:rsidRPr="004102DF">
        <w:rPr>
          <w:b/>
        </w:rPr>
        <w:t xml:space="preserve">Metoclopramida </w:t>
      </w:r>
    </w:p>
    <w:p w:rsidR="006E6CB9" w:rsidRDefault="006E6CB9" w:rsidP="00C52E09">
      <w:pPr>
        <w:pStyle w:val="TM-3n"/>
        <w:numPr>
          <w:ilvl w:val="0"/>
          <w:numId w:val="220"/>
        </w:numPr>
        <w:tabs>
          <w:tab w:val="clear" w:pos="1276"/>
        </w:tabs>
        <w:spacing w:before="120" w:after="0" w:line="276" w:lineRule="auto"/>
      </w:pPr>
      <w:r w:rsidRPr="006A0E0A">
        <w:t>Mecanismo de acção: actua bloqueando os receptores de determinadas moléculas a nível do sistema nervoso, produzindo um aumento da amplitude do peristaltismo do esófago, elevam a pressão do esfíncter esofágico inferior e aceleram o esvaziamento gástrico. Tem também poderosa acção antináusea</w:t>
      </w:r>
      <w:r>
        <w:t>s e antiemética (anti vómitos)</w:t>
      </w:r>
    </w:p>
    <w:p w:rsidR="006E6CB9" w:rsidRDefault="006E6CB9" w:rsidP="00C52E09">
      <w:pPr>
        <w:pStyle w:val="TM-3n"/>
        <w:numPr>
          <w:ilvl w:val="0"/>
          <w:numId w:val="220"/>
        </w:numPr>
        <w:tabs>
          <w:tab w:val="clear" w:pos="1276"/>
        </w:tabs>
        <w:spacing w:before="120" w:after="0" w:line="276" w:lineRule="auto"/>
      </w:pPr>
      <w:r w:rsidRPr="006A0E0A">
        <w:lastRenderedPageBreak/>
        <w:t>Forma farmacêutica e via de administração: comprimidos, xarope e injectável, por via oral e EV ou IM</w:t>
      </w:r>
    </w:p>
    <w:p w:rsidR="006E6CB9" w:rsidRDefault="006E6CB9" w:rsidP="00C52E09">
      <w:pPr>
        <w:pStyle w:val="TM-3n"/>
        <w:numPr>
          <w:ilvl w:val="0"/>
          <w:numId w:val="220"/>
        </w:numPr>
        <w:tabs>
          <w:tab w:val="clear" w:pos="1276"/>
        </w:tabs>
        <w:spacing w:before="120" w:after="0" w:line="276" w:lineRule="auto"/>
      </w:pPr>
      <w:r w:rsidRPr="006A0E0A">
        <w:t xml:space="preserve">Indicações: </w:t>
      </w:r>
      <w:r>
        <w:t>tratamento de náuseas e vómitos</w:t>
      </w:r>
    </w:p>
    <w:p w:rsidR="006E6CB9" w:rsidRPr="006A0E0A" w:rsidRDefault="006E6CB9" w:rsidP="00C52E09">
      <w:pPr>
        <w:pStyle w:val="TM-3n"/>
        <w:numPr>
          <w:ilvl w:val="0"/>
          <w:numId w:val="220"/>
        </w:numPr>
        <w:tabs>
          <w:tab w:val="clear" w:pos="1276"/>
        </w:tabs>
        <w:spacing w:before="120" w:after="0" w:line="276" w:lineRule="auto"/>
      </w:pPr>
      <w:r w:rsidRPr="006A0E0A">
        <w:t xml:space="preserve">Dose e dosagem: 10 mg de 8 em </w:t>
      </w:r>
      <w:r>
        <w:t>8 horas</w:t>
      </w:r>
    </w:p>
    <w:p w:rsidR="006E6CB9" w:rsidRPr="006A0E0A" w:rsidRDefault="006E6CB9" w:rsidP="00C52E09">
      <w:pPr>
        <w:pStyle w:val="TM-2n"/>
        <w:numPr>
          <w:ilvl w:val="1"/>
          <w:numId w:val="262"/>
        </w:numPr>
        <w:spacing w:before="120" w:after="0" w:line="276" w:lineRule="auto"/>
        <w:ind w:left="450" w:hanging="450"/>
      </w:pPr>
      <w:r w:rsidRPr="00DD39AF">
        <w:rPr>
          <w:b/>
        </w:rPr>
        <w:t>Laxantes</w:t>
      </w:r>
      <w:r w:rsidRPr="006A0E0A">
        <w:t>. Grupo de fármacos utilizados para o tratamento da obstipação. Eles têm diferentes mecanismos de acção, como: estímulo da motilidade intestinal, aumento da massa do bolo fecal, ou amolecimento do bolo fecal.</w:t>
      </w:r>
    </w:p>
    <w:p w:rsidR="006E6CB9" w:rsidRPr="00DD39AF" w:rsidRDefault="006E6CB9" w:rsidP="00C52E09">
      <w:pPr>
        <w:pStyle w:val="TM-3n"/>
        <w:numPr>
          <w:ilvl w:val="2"/>
          <w:numId w:val="262"/>
        </w:numPr>
        <w:tabs>
          <w:tab w:val="clear" w:pos="1276"/>
        </w:tabs>
        <w:spacing w:before="120" w:after="0" w:line="276" w:lineRule="auto"/>
        <w:ind w:left="1080" w:hanging="630"/>
        <w:rPr>
          <w:b/>
        </w:rPr>
      </w:pPr>
      <w:r w:rsidRPr="00DD39AF">
        <w:rPr>
          <w:b/>
        </w:rPr>
        <w:t xml:space="preserve">Bisacodil </w:t>
      </w:r>
    </w:p>
    <w:p w:rsidR="006E6CB9" w:rsidRDefault="006E6CB9" w:rsidP="00C52E09">
      <w:pPr>
        <w:pStyle w:val="TM-3n"/>
        <w:numPr>
          <w:ilvl w:val="0"/>
          <w:numId w:val="220"/>
        </w:numPr>
        <w:tabs>
          <w:tab w:val="clear" w:pos="1276"/>
        </w:tabs>
        <w:spacing w:before="120" w:after="0" w:line="276" w:lineRule="auto"/>
      </w:pPr>
      <w:r w:rsidRPr="006A0E0A">
        <w:t>Mecanismo de acção: actua estimulando a motilidade intestinal e promovendo a acumulação de</w:t>
      </w:r>
      <w:r>
        <w:t xml:space="preserve"> água, que amolece o bolo fecal</w:t>
      </w:r>
    </w:p>
    <w:p w:rsidR="006E6CB9" w:rsidRDefault="006E6CB9" w:rsidP="00C52E09">
      <w:pPr>
        <w:pStyle w:val="TM-3n"/>
        <w:numPr>
          <w:ilvl w:val="0"/>
          <w:numId w:val="220"/>
        </w:numPr>
        <w:tabs>
          <w:tab w:val="clear" w:pos="1276"/>
        </w:tabs>
        <w:spacing w:before="120" w:after="0" w:line="276" w:lineRule="auto"/>
      </w:pPr>
      <w:r w:rsidRPr="006A0E0A">
        <w:t>Forma farmacêutica e via de administração: comprimidos, por via oral</w:t>
      </w:r>
    </w:p>
    <w:p w:rsidR="006E6CB9" w:rsidRDefault="006E6CB9" w:rsidP="00C52E09">
      <w:pPr>
        <w:pStyle w:val="TM-3n"/>
        <w:numPr>
          <w:ilvl w:val="0"/>
          <w:numId w:val="220"/>
        </w:numPr>
        <w:tabs>
          <w:tab w:val="clear" w:pos="1276"/>
        </w:tabs>
        <w:spacing w:before="120" w:after="0" w:line="276" w:lineRule="auto"/>
      </w:pPr>
      <w:r w:rsidRPr="006A0E0A">
        <w:t>Indicações: a</w:t>
      </w:r>
      <w:r>
        <w:t>lívio sintomático da obstipação</w:t>
      </w:r>
    </w:p>
    <w:p w:rsidR="006E6CB9" w:rsidRPr="006A0E0A" w:rsidRDefault="006E6CB9" w:rsidP="00C52E09">
      <w:pPr>
        <w:pStyle w:val="TM-3n"/>
        <w:numPr>
          <w:ilvl w:val="0"/>
          <w:numId w:val="220"/>
        </w:numPr>
        <w:tabs>
          <w:tab w:val="clear" w:pos="1276"/>
        </w:tabs>
        <w:spacing w:before="120" w:after="0" w:line="276" w:lineRule="auto"/>
      </w:pPr>
      <w:r w:rsidRPr="006A0E0A">
        <w:t>Dose e dosagem: 5-10 mg à noite.</w:t>
      </w:r>
    </w:p>
    <w:p w:rsidR="006E6CB9" w:rsidRPr="00DD39AF" w:rsidRDefault="006E6CB9" w:rsidP="00C52E09">
      <w:pPr>
        <w:pStyle w:val="TM-3n"/>
        <w:numPr>
          <w:ilvl w:val="2"/>
          <w:numId w:val="262"/>
        </w:numPr>
        <w:tabs>
          <w:tab w:val="clear" w:pos="1276"/>
        </w:tabs>
        <w:spacing w:before="120" w:after="0" w:line="276" w:lineRule="auto"/>
        <w:ind w:left="1080" w:hanging="630"/>
        <w:rPr>
          <w:b/>
        </w:rPr>
      </w:pPr>
      <w:r w:rsidRPr="00DD39AF">
        <w:rPr>
          <w:b/>
        </w:rPr>
        <w:t xml:space="preserve">Glicerina </w:t>
      </w:r>
    </w:p>
    <w:p w:rsidR="006E6CB9" w:rsidRDefault="006E6CB9" w:rsidP="00C52E09">
      <w:pPr>
        <w:pStyle w:val="TM-3n"/>
        <w:numPr>
          <w:ilvl w:val="0"/>
          <w:numId w:val="220"/>
        </w:numPr>
        <w:tabs>
          <w:tab w:val="clear" w:pos="1276"/>
        </w:tabs>
        <w:spacing w:before="120" w:after="0" w:line="276" w:lineRule="auto"/>
      </w:pPr>
      <w:r w:rsidRPr="006A0E0A">
        <w:t>Mecanismo de acção: actua por estimulação mecânica do cólon, facilitando a evacuaç</w:t>
      </w:r>
      <w:r>
        <w:t>ão de fezes do intestino grosso</w:t>
      </w:r>
    </w:p>
    <w:p w:rsidR="006E6CB9" w:rsidRDefault="006E6CB9" w:rsidP="00C52E09">
      <w:pPr>
        <w:pStyle w:val="TM-3n"/>
        <w:numPr>
          <w:ilvl w:val="0"/>
          <w:numId w:val="220"/>
        </w:numPr>
        <w:tabs>
          <w:tab w:val="clear" w:pos="1276"/>
        </w:tabs>
        <w:spacing w:before="120" w:after="0" w:line="276" w:lineRule="auto"/>
      </w:pPr>
      <w:r w:rsidRPr="006A0E0A">
        <w:t>Forma farmacêutica e via de administração: supositório, por via rectal</w:t>
      </w:r>
    </w:p>
    <w:p w:rsidR="006E6CB9" w:rsidRDefault="006E6CB9" w:rsidP="00C52E09">
      <w:pPr>
        <w:pStyle w:val="TM-3n"/>
        <w:numPr>
          <w:ilvl w:val="0"/>
          <w:numId w:val="220"/>
        </w:numPr>
        <w:tabs>
          <w:tab w:val="clear" w:pos="1276"/>
        </w:tabs>
        <w:spacing w:before="120" w:after="0" w:line="276" w:lineRule="auto"/>
      </w:pPr>
      <w:r w:rsidRPr="006A0E0A">
        <w:t xml:space="preserve">Indicações: alívio sintomático da </w:t>
      </w:r>
      <w:r>
        <w:t>obstipação</w:t>
      </w:r>
    </w:p>
    <w:p w:rsidR="006E6CB9" w:rsidRPr="006A0E0A" w:rsidRDefault="006E6CB9" w:rsidP="00C52E09">
      <w:pPr>
        <w:pStyle w:val="TM-3n"/>
        <w:numPr>
          <w:ilvl w:val="0"/>
          <w:numId w:val="220"/>
        </w:numPr>
        <w:tabs>
          <w:tab w:val="clear" w:pos="1276"/>
        </w:tabs>
        <w:spacing w:before="120" w:after="0" w:line="276" w:lineRule="auto"/>
      </w:pPr>
      <w:r w:rsidRPr="006A0E0A">
        <w:t>Dose e dosagem: 1,5 g a 6 g.</w:t>
      </w:r>
    </w:p>
    <w:p w:rsidR="006E6CB9" w:rsidRPr="006A0E0A" w:rsidRDefault="006E6CB9" w:rsidP="00C52E09">
      <w:pPr>
        <w:pStyle w:val="TM-2n"/>
        <w:numPr>
          <w:ilvl w:val="1"/>
          <w:numId w:val="262"/>
        </w:numPr>
        <w:spacing w:before="120" w:after="0" w:line="276" w:lineRule="auto"/>
        <w:ind w:left="450" w:hanging="450"/>
      </w:pPr>
      <w:r w:rsidRPr="00DD39AF">
        <w:rPr>
          <w:b/>
        </w:rPr>
        <w:t>Anti-diarreicos</w:t>
      </w:r>
      <w:r w:rsidRPr="006A0E0A">
        <w:t xml:space="preserve">. Grupo diverso de medicamentos utilizados no alívio sintomático da diarreia. </w:t>
      </w:r>
    </w:p>
    <w:p w:rsidR="006E6CB9" w:rsidRPr="00DD39AF" w:rsidRDefault="006E6CB9" w:rsidP="00C52E09">
      <w:pPr>
        <w:pStyle w:val="TM-3n"/>
        <w:numPr>
          <w:ilvl w:val="2"/>
          <w:numId w:val="262"/>
        </w:numPr>
        <w:tabs>
          <w:tab w:val="clear" w:pos="1276"/>
        </w:tabs>
        <w:spacing w:before="120" w:after="0" w:line="276" w:lineRule="auto"/>
        <w:ind w:left="1080" w:hanging="630"/>
        <w:rPr>
          <w:b/>
        </w:rPr>
      </w:pPr>
      <w:r w:rsidRPr="00DD39AF">
        <w:rPr>
          <w:b/>
        </w:rPr>
        <w:t>Difenoxilato e atropina</w:t>
      </w:r>
    </w:p>
    <w:p w:rsidR="006E6CB9" w:rsidRDefault="006E6CB9" w:rsidP="00C52E09">
      <w:pPr>
        <w:pStyle w:val="TM-3n"/>
        <w:numPr>
          <w:ilvl w:val="0"/>
          <w:numId w:val="220"/>
        </w:numPr>
        <w:tabs>
          <w:tab w:val="clear" w:pos="1276"/>
        </w:tabs>
        <w:spacing w:before="120" w:after="0" w:line="276" w:lineRule="auto"/>
      </w:pPr>
      <w:r w:rsidRPr="006A0E0A">
        <w:t>Mecanismo de acção: actua pela diminuição dos movimentos peristálticos do intestino, prolongando a passagem das fezes pelo tracto gastrointestinal. Isto permite ao organismo retirar água do bolo feca</w:t>
      </w:r>
      <w:r>
        <w:t>l, tornando-as mais consistente</w:t>
      </w:r>
    </w:p>
    <w:p w:rsidR="006E6CB9" w:rsidRDefault="006E6CB9" w:rsidP="00C52E09">
      <w:pPr>
        <w:pStyle w:val="TM-3n"/>
        <w:numPr>
          <w:ilvl w:val="0"/>
          <w:numId w:val="220"/>
        </w:numPr>
        <w:tabs>
          <w:tab w:val="clear" w:pos="1276"/>
        </w:tabs>
        <w:spacing w:before="120" w:after="0" w:line="276" w:lineRule="auto"/>
      </w:pPr>
      <w:r w:rsidRPr="006A0E0A">
        <w:t>Foram farmacêutica e via de administração: comprimidos, por via oral</w:t>
      </w:r>
    </w:p>
    <w:p w:rsidR="006E6CB9" w:rsidRDefault="006E6CB9" w:rsidP="00C52E09">
      <w:pPr>
        <w:pStyle w:val="TM-3n"/>
        <w:numPr>
          <w:ilvl w:val="0"/>
          <w:numId w:val="220"/>
        </w:numPr>
        <w:tabs>
          <w:tab w:val="clear" w:pos="1276"/>
        </w:tabs>
        <w:spacing w:before="120" w:after="0" w:line="276" w:lineRule="auto"/>
      </w:pPr>
      <w:r w:rsidRPr="006A0E0A">
        <w:t>Indicações: complemento da re</w:t>
      </w:r>
      <w:r>
        <w:t>-</w:t>
      </w:r>
      <w:r w:rsidRPr="006A0E0A">
        <w:t>hidratação oral na dia</w:t>
      </w:r>
      <w:r>
        <w:t>rreia aguda não complicada</w:t>
      </w:r>
    </w:p>
    <w:p w:rsidR="006E6CB9" w:rsidRPr="006A0E0A" w:rsidRDefault="006E6CB9" w:rsidP="00C52E09">
      <w:pPr>
        <w:pStyle w:val="TM-3n"/>
        <w:numPr>
          <w:ilvl w:val="0"/>
          <w:numId w:val="220"/>
        </w:numPr>
        <w:tabs>
          <w:tab w:val="clear" w:pos="1276"/>
        </w:tabs>
        <w:spacing w:before="120" w:after="0" w:line="276" w:lineRule="auto"/>
      </w:pPr>
      <w:r w:rsidRPr="006A0E0A">
        <w:t xml:space="preserve">Dose e dosagem: Dose inicial de 5 mg de difenoxilato, seguida de 2.5 mg de difenoxilato de 6 em 6 horas ou de 8 em 8 horas </w:t>
      </w:r>
    </w:p>
    <w:p w:rsidR="006E6CB9" w:rsidRPr="00DD39AF" w:rsidRDefault="006E6CB9" w:rsidP="00C52E09">
      <w:pPr>
        <w:pStyle w:val="TM-3n"/>
        <w:numPr>
          <w:ilvl w:val="2"/>
          <w:numId w:val="262"/>
        </w:numPr>
        <w:tabs>
          <w:tab w:val="clear" w:pos="1276"/>
        </w:tabs>
        <w:spacing w:before="120" w:after="0" w:line="276" w:lineRule="auto"/>
        <w:ind w:left="1080" w:hanging="630"/>
        <w:rPr>
          <w:b/>
        </w:rPr>
      </w:pPr>
      <w:r>
        <w:rPr>
          <w:b/>
        </w:rPr>
        <w:t>Loperamida</w:t>
      </w:r>
    </w:p>
    <w:p w:rsidR="006E6CB9" w:rsidRDefault="006E6CB9" w:rsidP="00C52E09">
      <w:pPr>
        <w:pStyle w:val="TM-3n"/>
        <w:numPr>
          <w:ilvl w:val="0"/>
          <w:numId w:val="220"/>
        </w:numPr>
        <w:tabs>
          <w:tab w:val="clear" w:pos="1276"/>
        </w:tabs>
        <w:spacing w:before="120" w:after="0" w:line="276" w:lineRule="auto"/>
      </w:pPr>
      <w:r w:rsidRPr="006A0E0A">
        <w:t>Mecanismo de acção: actua pela diminuição dos movimentos peristálticos do intestino, prolongando a passagem das fezes pelo tracto gastrointestinal. Isto permite ao organismo retirar água do bolo feca</w:t>
      </w:r>
      <w:r>
        <w:t>l, tornando-as mais consistente</w:t>
      </w:r>
    </w:p>
    <w:p w:rsidR="006E6CB9" w:rsidRDefault="006E6CB9" w:rsidP="00C52E09">
      <w:pPr>
        <w:pStyle w:val="TM-3n"/>
        <w:numPr>
          <w:ilvl w:val="0"/>
          <w:numId w:val="220"/>
        </w:numPr>
        <w:tabs>
          <w:tab w:val="clear" w:pos="1276"/>
        </w:tabs>
        <w:spacing w:before="120" w:after="0" w:line="276" w:lineRule="auto"/>
      </w:pPr>
      <w:r w:rsidRPr="006A0E0A">
        <w:t>Forma farmacêutica e via de administração: comprimidos, por via oral</w:t>
      </w:r>
    </w:p>
    <w:p w:rsidR="006E6CB9" w:rsidRDefault="006E6CB9" w:rsidP="00C52E09">
      <w:pPr>
        <w:pStyle w:val="TM-3n"/>
        <w:numPr>
          <w:ilvl w:val="0"/>
          <w:numId w:val="220"/>
        </w:numPr>
        <w:tabs>
          <w:tab w:val="clear" w:pos="1276"/>
        </w:tabs>
        <w:spacing w:before="120" w:after="0" w:line="276" w:lineRule="auto"/>
      </w:pPr>
      <w:r w:rsidRPr="006A0E0A">
        <w:t>Indicações: tratamento sintomático da diarreia aguda. Também está indicado na diarreia cróni</w:t>
      </w:r>
      <w:r>
        <w:t>ca, mas só em pacientes adultos</w:t>
      </w:r>
    </w:p>
    <w:p w:rsidR="006E6CB9" w:rsidRPr="006A0E0A" w:rsidRDefault="006E6CB9" w:rsidP="00C52E09">
      <w:pPr>
        <w:pStyle w:val="TM-3n"/>
        <w:numPr>
          <w:ilvl w:val="0"/>
          <w:numId w:val="220"/>
        </w:numPr>
        <w:tabs>
          <w:tab w:val="clear" w:pos="1276"/>
        </w:tabs>
        <w:spacing w:before="120" w:after="0" w:line="276" w:lineRule="auto"/>
      </w:pPr>
      <w:r w:rsidRPr="006A0E0A">
        <w:t>Dose e dosagem: dose inicial de 4 mg, depois 2 mg depois de cada dejecção, até um máximo de 16 mg por dia.</w:t>
      </w:r>
    </w:p>
    <w:p w:rsidR="006E6CB9" w:rsidRPr="006A0E0A" w:rsidRDefault="006E6CB9" w:rsidP="006E6CB9">
      <w:pPr>
        <w:pStyle w:val="TM-0"/>
      </w:pPr>
      <w:r>
        <w:br w:type="page"/>
      </w:r>
    </w:p>
    <w:p w:rsidR="006E6CB9" w:rsidRPr="006A0E0A" w:rsidRDefault="005F3F7B" w:rsidP="005F3F7B">
      <w:pPr>
        <w:pStyle w:val="TM-1n"/>
        <w:numPr>
          <w:ilvl w:val="0"/>
          <w:numId w:val="0"/>
        </w:numPr>
        <w:shd w:val="clear" w:color="auto" w:fill="C6D9F1"/>
        <w:tabs>
          <w:tab w:val="clear" w:pos="9072"/>
        </w:tabs>
        <w:rPr>
          <w:sz w:val="22"/>
          <w:szCs w:val="22"/>
        </w:rPr>
      </w:pPr>
      <w:r>
        <w:rPr>
          <w:sz w:val="22"/>
          <w:szCs w:val="22"/>
        </w:rPr>
        <w:lastRenderedPageBreak/>
        <w:t xml:space="preserve">BLOCO 6: </w:t>
      </w:r>
      <w:r w:rsidR="006E6CB9" w:rsidRPr="006A0E0A">
        <w:rPr>
          <w:sz w:val="22"/>
          <w:szCs w:val="22"/>
        </w:rPr>
        <w:t>PONTOS-CHAVE</w:t>
      </w:r>
    </w:p>
    <w:p w:rsidR="006E6CB9" w:rsidRPr="006A0E0A" w:rsidRDefault="006E6CB9" w:rsidP="006E6CB9">
      <w:pPr>
        <w:pStyle w:val="TM-1n"/>
        <w:numPr>
          <w:ilvl w:val="0"/>
          <w:numId w:val="0"/>
        </w:numPr>
        <w:rPr>
          <w:b w:val="0"/>
          <w:sz w:val="22"/>
          <w:szCs w:val="22"/>
        </w:rPr>
      </w:pPr>
      <w:r w:rsidRPr="006A0E0A">
        <w:rPr>
          <w:b w:val="0"/>
          <w:sz w:val="22"/>
          <w:szCs w:val="22"/>
        </w:rPr>
        <w:t>6.1 Os anti-convulsivantes, como o fenobarbital, são grupo de fármacos usados para o tratamento das crises epilépticas e de convulsões</w:t>
      </w:r>
    </w:p>
    <w:p w:rsidR="006E6CB9" w:rsidRPr="006A0E0A" w:rsidRDefault="006E6CB9" w:rsidP="006E6CB9">
      <w:pPr>
        <w:pStyle w:val="TM-1n"/>
        <w:numPr>
          <w:ilvl w:val="0"/>
          <w:numId w:val="0"/>
        </w:numPr>
        <w:rPr>
          <w:b w:val="0"/>
          <w:sz w:val="22"/>
          <w:szCs w:val="22"/>
        </w:rPr>
      </w:pPr>
      <w:r w:rsidRPr="006A0E0A">
        <w:rPr>
          <w:b w:val="0"/>
          <w:sz w:val="22"/>
          <w:szCs w:val="22"/>
        </w:rPr>
        <w:t xml:space="preserve">6.2 Os ansiolíticos e hipnosedativos, como o diazepam e clordiazepóxido, são grupo de fármacos usados no alívio de estados ansiosos, insónia, e o diazepam também no tratamento das  convulsões e  dos espasmos musculares </w:t>
      </w:r>
    </w:p>
    <w:p w:rsidR="006E6CB9" w:rsidRPr="006A0E0A" w:rsidRDefault="006E6CB9" w:rsidP="006E6CB9">
      <w:pPr>
        <w:pStyle w:val="TM-1n"/>
        <w:numPr>
          <w:ilvl w:val="0"/>
          <w:numId w:val="0"/>
        </w:numPr>
        <w:rPr>
          <w:b w:val="0"/>
          <w:sz w:val="22"/>
          <w:szCs w:val="22"/>
        </w:rPr>
      </w:pPr>
      <w:r w:rsidRPr="006A0E0A">
        <w:rPr>
          <w:b w:val="0"/>
          <w:sz w:val="22"/>
          <w:szCs w:val="22"/>
        </w:rPr>
        <w:t>6.4  A digoxina é um cardiotónico usado no tratamento da insuficiência cardíaca</w:t>
      </w:r>
    </w:p>
    <w:p w:rsidR="006E6CB9" w:rsidRPr="006A0E0A" w:rsidRDefault="006E6CB9" w:rsidP="006E6CB9">
      <w:pPr>
        <w:pStyle w:val="TM-1n"/>
        <w:numPr>
          <w:ilvl w:val="0"/>
          <w:numId w:val="0"/>
        </w:numPr>
        <w:rPr>
          <w:b w:val="0"/>
          <w:sz w:val="22"/>
          <w:szCs w:val="22"/>
        </w:rPr>
      </w:pPr>
      <w:r w:rsidRPr="006A0E0A">
        <w:rPr>
          <w:b w:val="0"/>
          <w:sz w:val="22"/>
          <w:szCs w:val="22"/>
        </w:rPr>
        <w:t>6.5 Os anti-hipertensivos (hidralazina, metildopa, propranolol, nifedipina) são fármacos usados no tratamento e controlo da hipertensão arterial</w:t>
      </w:r>
    </w:p>
    <w:p w:rsidR="006E6CB9" w:rsidRPr="006A0E0A" w:rsidRDefault="006E6CB9" w:rsidP="006E6CB9">
      <w:pPr>
        <w:pStyle w:val="TM-1n"/>
        <w:numPr>
          <w:ilvl w:val="0"/>
          <w:numId w:val="0"/>
        </w:numPr>
        <w:rPr>
          <w:b w:val="0"/>
          <w:sz w:val="22"/>
          <w:szCs w:val="22"/>
        </w:rPr>
      </w:pPr>
      <w:r w:rsidRPr="006A0E0A">
        <w:rPr>
          <w:b w:val="0"/>
          <w:sz w:val="22"/>
          <w:szCs w:val="22"/>
        </w:rPr>
        <w:t>6.6 A aminofilina e o salbutamol são fármacos broncodilatadores usados no tratamento e controlo das crises asmáticas</w:t>
      </w:r>
    </w:p>
    <w:p w:rsidR="006E6CB9" w:rsidRPr="006A0E0A" w:rsidRDefault="006E6CB9" w:rsidP="006E6CB9">
      <w:pPr>
        <w:pStyle w:val="TM-1n"/>
        <w:numPr>
          <w:ilvl w:val="0"/>
          <w:numId w:val="0"/>
        </w:numPr>
        <w:rPr>
          <w:b w:val="0"/>
          <w:sz w:val="22"/>
          <w:szCs w:val="22"/>
        </w:rPr>
      </w:pPr>
      <w:r w:rsidRPr="006A0E0A">
        <w:rPr>
          <w:b w:val="0"/>
          <w:sz w:val="22"/>
          <w:szCs w:val="22"/>
        </w:rPr>
        <w:t>6.7 O hidróxido de alumínio e a ranitidina são fármacos usados no controlo da acidez gástrica e transtornos do tipo ulceroso</w:t>
      </w:r>
    </w:p>
    <w:p w:rsidR="006E6CB9" w:rsidRPr="006A0E0A" w:rsidRDefault="006E6CB9" w:rsidP="006E6CB9">
      <w:pPr>
        <w:pStyle w:val="TM-1n"/>
        <w:numPr>
          <w:ilvl w:val="0"/>
          <w:numId w:val="0"/>
        </w:numPr>
        <w:rPr>
          <w:b w:val="0"/>
          <w:sz w:val="22"/>
          <w:szCs w:val="22"/>
        </w:rPr>
      </w:pPr>
      <w:r w:rsidRPr="006A0E0A">
        <w:rPr>
          <w:b w:val="0"/>
          <w:sz w:val="22"/>
          <w:szCs w:val="22"/>
        </w:rPr>
        <w:t>6.8 A butilescopolamina é um anti-espasmódico usado no tratamento dos sintomas nos aparelhos gastrointestinal e genito-urinário</w:t>
      </w:r>
    </w:p>
    <w:p w:rsidR="006E6CB9" w:rsidRPr="006A0E0A" w:rsidRDefault="006E6CB9" w:rsidP="006E6CB9">
      <w:pPr>
        <w:pStyle w:val="TM-1n"/>
        <w:numPr>
          <w:ilvl w:val="0"/>
          <w:numId w:val="0"/>
        </w:numPr>
        <w:rPr>
          <w:b w:val="0"/>
          <w:sz w:val="22"/>
          <w:szCs w:val="22"/>
        </w:rPr>
      </w:pPr>
      <w:r w:rsidRPr="006A0E0A">
        <w:rPr>
          <w:b w:val="0"/>
          <w:sz w:val="22"/>
          <w:szCs w:val="22"/>
        </w:rPr>
        <w:t>6.9 A metoclopramida é um estimulante da motilidade digestiva usado para o alívio de sintomas gastrointestinais como náuseas, vómitos.</w:t>
      </w:r>
    </w:p>
    <w:p w:rsidR="006E6CB9" w:rsidRPr="006A0E0A" w:rsidRDefault="006E6CB9" w:rsidP="006E6CB9">
      <w:pPr>
        <w:pStyle w:val="TM-1n"/>
        <w:numPr>
          <w:ilvl w:val="0"/>
          <w:numId w:val="0"/>
        </w:numPr>
        <w:rPr>
          <w:b w:val="0"/>
          <w:sz w:val="22"/>
          <w:szCs w:val="22"/>
        </w:rPr>
      </w:pPr>
      <w:r w:rsidRPr="006A0E0A">
        <w:rPr>
          <w:b w:val="0"/>
          <w:sz w:val="22"/>
          <w:szCs w:val="22"/>
        </w:rPr>
        <w:t>6.10 Os laxantes (bisacodil, glicerina) são usados para o tratamento da obstipação.</w:t>
      </w:r>
    </w:p>
    <w:p w:rsidR="006E6CB9" w:rsidRPr="006A0E0A" w:rsidRDefault="006E6CB9" w:rsidP="006E6CB9">
      <w:pPr>
        <w:pStyle w:val="TM-1n"/>
        <w:numPr>
          <w:ilvl w:val="0"/>
          <w:numId w:val="0"/>
        </w:numPr>
        <w:rPr>
          <w:b w:val="0"/>
          <w:sz w:val="22"/>
          <w:szCs w:val="22"/>
        </w:rPr>
      </w:pPr>
      <w:r w:rsidRPr="006A0E0A">
        <w:rPr>
          <w:b w:val="0"/>
          <w:sz w:val="22"/>
          <w:szCs w:val="22"/>
        </w:rPr>
        <w:t>6.11 O difenoxilato de atropina e loperamida são fármacos usados no alívio sintomático da diarreia.</w:t>
      </w:r>
    </w:p>
    <w:p w:rsidR="005F3F7B" w:rsidRDefault="005F3F7B">
      <w:pPr>
        <w:rPr>
          <w:rFonts w:eastAsia="Times New Roman" w:cs="Arial"/>
          <w:b/>
          <w:lang w:val="pt-PT" w:eastAsia="es-ES"/>
        </w:rPr>
      </w:pPr>
      <w:r w:rsidRPr="00850CFC">
        <w:rPr>
          <w:lang w:val="pt-PT"/>
        </w:rPr>
        <w:br w:type="page"/>
      </w:r>
    </w:p>
    <w:tbl>
      <w:tblPr>
        <w:tblW w:w="10150" w:type="dxa"/>
        <w:tblLayout w:type="fixed"/>
        <w:tblCellMar>
          <w:left w:w="70" w:type="dxa"/>
          <w:right w:w="70" w:type="dxa"/>
        </w:tblCellMar>
        <w:tblLook w:val="0020" w:firstRow="1" w:lastRow="0" w:firstColumn="0" w:lastColumn="0" w:noHBand="0" w:noVBand="0"/>
      </w:tblPr>
      <w:tblGrid>
        <w:gridCol w:w="1418"/>
        <w:gridCol w:w="4502"/>
        <w:gridCol w:w="2430"/>
        <w:gridCol w:w="1800"/>
      </w:tblGrid>
      <w:tr w:rsidR="006E6CB9" w:rsidRPr="00376D1C" w:rsidTr="006E6CB9">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6E6CB9" w:rsidRPr="00376D1C" w:rsidRDefault="006E6CB9" w:rsidP="006E6CB9">
            <w:pPr>
              <w:spacing w:line="240" w:lineRule="auto"/>
              <w:rPr>
                <w:rFonts w:eastAsia="Calibri" w:cs="Arial"/>
                <w:b/>
                <w:lang w:val="pt-PT"/>
              </w:rPr>
            </w:pPr>
            <w:r w:rsidRPr="00376D1C">
              <w:rPr>
                <w:rFonts w:eastAsia="Calibri" w:cs="Arial"/>
                <w:b/>
                <w:lang w:val="pt-PT"/>
              </w:rPr>
              <w:lastRenderedPageBreak/>
              <w:t>Disciplina</w:t>
            </w:r>
          </w:p>
        </w:tc>
        <w:tc>
          <w:tcPr>
            <w:tcW w:w="4502" w:type="dxa"/>
            <w:tcBorders>
              <w:top w:val="single" w:sz="6" w:space="0" w:color="000000"/>
              <w:left w:val="single" w:sz="6" w:space="0" w:color="000000"/>
              <w:bottom w:val="single" w:sz="6" w:space="0" w:color="000000"/>
              <w:right w:val="single" w:sz="6" w:space="0" w:color="000000"/>
            </w:tcBorders>
            <w:vAlign w:val="center"/>
          </w:tcPr>
          <w:p w:rsidR="006E6CB9" w:rsidRPr="00376D1C" w:rsidRDefault="006E6CB9" w:rsidP="006E6CB9">
            <w:pPr>
              <w:spacing w:line="240" w:lineRule="auto"/>
              <w:rPr>
                <w:rFonts w:eastAsia="Calibri" w:cs="Arial"/>
                <w:lang w:val="pt-PT"/>
              </w:rPr>
            </w:pPr>
            <w:r w:rsidRPr="00376D1C">
              <w:rPr>
                <w:rFonts w:eastAsia="Calibri" w:cs="Arial"/>
                <w:lang w:val="pt-PT"/>
              </w:rPr>
              <w:t>Introdução às Ciências Médicas</w:t>
            </w:r>
          </w:p>
        </w:tc>
        <w:tc>
          <w:tcPr>
            <w:tcW w:w="2430" w:type="dxa"/>
            <w:tcBorders>
              <w:top w:val="single" w:sz="6" w:space="0" w:color="000000"/>
              <w:left w:val="single" w:sz="6" w:space="0" w:color="000000"/>
              <w:bottom w:val="single" w:sz="6" w:space="0" w:color="000000"/>
              <w:right w:val="single" w:sz="6" w:space="0" w:color="000000"/>
            </w:tcBorders>
            <w:vAlign w:val="center"/>
          </w:tcPr>
          <w:p w:rsidR="006E6CB9" w:rsidRPr="00376D1C" w:rsidRDefault="006E6CB9" w:rsidP="006E6CB9">
            <w:pPr>
              <w:spacing w:line="240" w:lineRule="auto"/>
              <w:rPr>
                <w:rFonts w:eastAsia="Calibri" w:cs="Arial"/>
                <w:b/>
                <w:lang w:val="pt-PT"/>
              </w:rPr>
            </w:pPr>
            <w:r w:rsidRPr="00376D1C">
              <w:rPr>
                <w:rFonts w:eastAsia="Calibri" w:cs="Arial"/>
                <w:b/>
                <w:lang w:val="pt-PT"/>
              </w:rPr>
              <w:t xml:space="preserve">N° da Aula </w:t>
            </w:r>
          </w:p>
        </w:tc>
        <w:tc>
          <w:tcPr>
            <w:tcW w:w="1800" w:type="dxa"/>
            <w:tcBorders>
              <w:top w:val="single" w:sz="6" w:space="0" w:color="000000"/>
              <w:left w:val="single" w:sz="6" w:space="0" w:color="000000"/>
              <w:bottom w:val="single" w:sz="6" w:space="0" w:color="000000"/>
              <w:right w:val="single" w:sz="6" w:space="0" w:color="000000"/>
            </w:tcBorders>
            <w:vAlign w:val="center"/>
          </w:tcPr>
          <w:p w:rsidR="006E6CB9" w:rsidRPr="00376D1C" w:rsidRDefault="006E6CB9" w:rsidP="006E6CB9">
            <w:pPr>
              <w:spacing w:line="240" w:lineRule="auto"/>
              <w:jc w:val="center"/>
              <w:rPr>
                <w:rFonts w:eastAsia="Calibri" w:cs="Arial"/>
                <w:lang w:val="pt-PT"/>
              </w:rPr>
            </w:pPr>
            <w:r w:rsidRPr="00376D1C">
              <w:rPr>
                <w:rFonts w:eastAsia="Calibri" w:cs="Arial"/>
                <w:lang w:val="pt-PT"/>
              </w:rPr>
              <w:t>22</w:t>
            </w:r>
          </w:p>
        </w:tc>
      </w:tr>
      <w:tr w:rsidR="006E6CB9" w:rsidRPr="00376D1C" w:rsidTr="006E6CB9">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6E6CB9" w:rsidRPr="00376D1C" w:rsidRDefault="006E6CB9" w:rsidP="006E6CB9">
            <w:pPr>
              <w:spacing w:line="240" w:lineRule="auto"/>
              <w:rPr>
                <w:rFonts w:eastAsia="Calibri" w:cs="Arial"/>
                <w:b/>
                <w:lang w:val="pt-PT"/>
              </w:rPr>
            </w:pPr>
            <w:r w:rsidRPr="00376D1C">
              <w:rPr>
                <w:rFonts w:eastAsia="Calibri" w:cs="Arial"/>
                <w:b/>
                <w:lang w:val="pt-PT"/>
              </w:rPr>
              <w:t>Tópico</w:t>
            </w:r>
          </w:p>
        </w:tc>
        <w:tc>
          <w:tcPr>
            <w:tcW w:w="4502" w:type="dxa"/>
            <w:tcBorders>
              <w:top w:val="single" w:sz="6" w:space="0" w:color="000000"/>
              <w:left w:val="single" w:sz="6" w:space="0" w:color="000000"/>
              <w:bottom w:val="single" w:sz="6" w:space="0" w:color="000000"/>
              <w:right w:val="single" w:sz="6" w:space="0" w:color="000000"/>
            </w:tcBorders>
            <w:vAlign w:val="center"/>
          </w:tcPr>
          <w:p w:rsidR="006E6CB9" w:rsidRPr="00376D1C" w:rsidRDefault="006E6CB9" w:rsidP="006E6CB9">
            <w:pPr>
              <w:spacing w:line="240" w:lineRule="auto"/>
              <w:rPr>
                <w:rFonts w:eastAsia="Calibri" w:cs="Arial"/>
                <w:lang w:val="pt-PT"/>
              </w:rPr>
            </w:pPr>
            <w:r w:rsidRPr="00376D1C">
              <w:rPr>
                <w:rFonts w:eastAsia="Calibri" w:cs="Arial"/>
                <w:lang w:val="pt-PT"/>
              </w:rPr>
              <w:t>Farmacologia</w:t>
            </w:r>
          </w:p>
        </w:tc>
        <w:tc>
          <w:tcPr>
            <w:tcW w:w="2430" w:type="dxa"/>
            <w:tcBorders>
              <w:top w:val="single" w:sz="6" w:space="0" w:color="000000"/>
              <w:left w:val="single" w:sz="6" w:space="0" w:color="000000"/>
              <w:bottom w:val="single" w:sz="6" w:space="0" w:color="000000"/>
              <w:right w:val="single" w:sz="6" w:space="0" w:color="000000"/>
            </w:tcBorders>
            <w:vAlign w:val="center"/>
          </w:tcPr>
          <w:p w:rsidR="006E6CB9" w:rsidRPr="00376D1C" w:rsidRDefault="006E6CB9" w:rsidP="006E6CB9">
            <w:pPr>
              <w:spacing w:line="240" w:lineRule="auto"/>
              <w:rPr>
                <w:rFonts w:eastAsia="Calibri" w:cs="Arial"/>
                <w:b/>
                <w:lang w:val="pt-PT"/>
              </w:rPr>
            </w:pPr>
            <w:r w:rsidRPr="00376D1C">
              <w:rPr>
                <w:rFonts w:eastAsia="Calibri" w:cs="Arial"/>
                <w:b/>
                <w:lang w:val="pt-PT"/>
              </w:rPr>
              <w:t xml:space="preserve">Tipo </w:t>
            </w:r>
          </w:p>
        </w:tc>
        <w:tc>
          <w:tcPr>
            <w:tcW w:w="1800" w:type="dxa"/>
            <w:tcBorders>
              <w:top w:val="single" w:sz="6" w:space="0" w:color="000000"/>
              <w:left w:val="single" w:sz="6" w:space="0" w:color="000000"/>
              <w:bottom w:val="single" w:sz="6" w:space="0" w:color="000000"/>
              <w:right w:val="single" w:sz="6" w:space="0" w:color="000000"/>
            </w:tcBorders>
            <w:vAlign w:val="center"/>
          </w:tcPr>
          <w:p w:rsidR="006E6CB9" w:rsidRPr="00376D1C" w:rsidRDefault="006E6CB9" w:rsidP="006E6CB9">
            <w:pPr>
              <w:spacing w:line="240" w:lineRule="auto"/>
              <w:jc w:val="center"/>
              <w:rPr>
                <w:rFonts w:eastAsia="Calibri" w:cs="Arial"/>
                <w:lang w:val="pt-PT"/>
              </w:rPr>
            </w:pPr>
            <w:r w:rsidRPr="00376D1C">
              <w:rPr>
                <w:rFonts w:eastAsia="Calibri" w:cs="Arial"/>
                <w:lang w:val="pt-PT"/>
              </w:rPr>
              <w:t>Teórica</w:t>
            </w:r>
          </w:p>
        </w:tc>
      </w:tr>
      <w:tr w:rsidR="006E6CB9" w:rsidRPr="00376D1C" w:rsidTr="006E6CB9">
        <w:trPr>
          <w:cantSplit/>
          <w:trHeight w:val="414"/>
        </w:trPr>
        <w:tc>
          <w:tcPr>
            <w:tcW w:w="1418" w:type="dxa"/>
            <w:tcBorders>
              <w:top w:val="single" w:sz="6" w:space="0" w:color="000000"/>
              <w:left w:val="single" w:sz="6" w:space="0" w:color="000000"/>
              <w:bottom w:val="single" w:sz="6" w:space="0" w:color="000000"/>
              <w:right w:val="single" w:sz="6" w:space="0" w:color="000000"/>
            </w:tcBorders>
            <w:vAlign w:val="center"/>
          </w:tcPr>
          <w:p w:rsidR="006E6CB9" w:rsidRPr="00376D1C" w:rsidRDefault="006E6CB9" w:rsidP="006E6CB9">
            <w:pPr>
              <w:spacing w:line="240" w:lineRule="auto"/>
              <w:rPr>
                <w:rFonts w:eastAsia="Calibri" w:cs="Arial"/>
                <w:b/>
                <w:lang w:val="pt-PT"/>
              </w:rPr>
            </w:pPr>
            <w:r w:rsidRPr="00376D1C">
              <w:rPr>
                <w:rFonts w:eastAsia="Calibri" w:cs="Arial"/>
                <w:b/>
                <w:lang w:val="pt-PT"/>
              </w:rPr>
              <w:t>Conteúdos</w:t>
            </w:r>
          </w:p>
        </w:tc>
        <w:tc>
          <w:tcPr>
            <w:tcW w:w="4502" w:type="dxa"/>
            <w:tcBorders>
              <w:top w:val="single" w:sz="6" w:space="0" w:color="000000"/>
              <w:left w:val="single" w:sz="6" w:space="0" w:color="000000"/>
              <w:bottom w:val="single" w:sz="6" w:space="0" w:color="000000"/>
              <w:right w:val="single" w:sz="6" w:space="0" w:color="000000"/>
            </w:tcBorders>
            <w:vAlign w:val="center"/>
          </w:tcPr>
          <w:p w:rsidR="006E6CB9" w:rsidRPr="005F3F7B" w:rsidRDefault="006E6CB9" w:rsidP="006E6CB9">
            <w:pPr>
              <w:spacing w:after="60"/>
              <w:rPr>
                <w:rFonts w:cs="Arial"/>
                <w:lang w:val="pt-BR"/>
              </w:rPr>
            </w:pPr>
            <w:bookmarkStart w:id="27" w:name="_Toc329099770"/>
            <w:r w:rsidRPr="005F3F7B">
              <w:rPr>
                <w:rStyle w:val="Heading1Char"/>
                <w:b w:val="0"/>
                <w:sz w:val="22"/>
                <w:szCs w:val="22"/>
                <w:lang w:val="pt-BR"/>
              </w:rPr>
              <w:t>Farmacologia Especial de Sistemas</w:t>
            </w:r>
            <w:bookmarkEnd w:id="27"/>
            <w:r w:rsidRPr="005F3F7B">
              <w:rPr>
                <w:rFonts w:cs="Arial"/>
                <w:lang w:val="pt-BR"/>
              </w:rPr>
              <w:t xml:space="preserve"> 5:</w:t>
            </w:r>
          </w:p>
          <w:p w:rsidR="006E6CB9" w:rsidRPr="005F3F7B" w:rsidRDefault="006E6CB9" w:rsidP="006E6CB9">
            <w:pPr>
              <w:framePr w:hSpace="180" w:wrap="around" w:vAnchor="text" w:hAnchor="text" w:y="1"/>
              <w:spacing w:after="60"/>
              <w:suppressOverlap/>
              <w:rPr>
                <w:rFonts w:cs="Arial"/>
                <w:lang w:val="pt-BR"/>
              </w:rPr>
            </w:pPr>
            <w:r w:rsidRPr="005F3F7B">
              <w:rPr>
                <w:rFonts w:cs="Arial"/>
                <w:lang w:val="pt-BR"/>
              </w:rPr>
              <w:t>- Aparelho Genito-Urinário</w:t>
            </w:r>
          </w:p>
          <w:p w:rsidR="006E6CB9" w:rsidRPr="00376D1C" w:rsidRDefault="006E6CB9" w:rsidP="006E6CB9">
            <w:pPr>
              <w:spacing w:line="240" w:lineRule="auto"/>
              <w:rPr>
                <w:rFonts w:eastAsia="Calibri" w:cs="Arial"/>
                <w:lang w:val="pt-PT"/>
              </w:rPr>
            </w:pPr>
            <w:r w:rsidRPr="005F3F7B">
              <w:rPr>
                <w:rFonts w:cs="Arial"/>
                <w:lang w:val="pt-BR"/>
              </w:rPr>
              <w:t>-Equilíbrio Hidro-Electrolítico e Ácido- Base</w:t>
            </w:r>
          </w:p>
        </w:tc>
        <w:tc>
          <w:tcPr>
            <w:tcW w:w="2430" w:type="dxa"/>
            <w:tcBorders>
              <w:top w:val="single" w:sz="6" w:space="0" w:color="000000"/>
              <w:left w:val="single" w:sz="6" w:space="0" w:color="000000"/>
              <w:bottom w:val="single" w:sz="6" w:space="0" w:color="000000"/>
              <w:right w:val="single" w:sz="6" w:space="0" w:color="000000"/>
            </w:tcBorders>
            <w:vAlign w:val="center"/>
          </w:tcPr>
          <w:p w:rsidR="006E6CB9" w:rsidRPr="00376D1C" w:rsidRDefault="006E6CB9" w:rsidP="006E6CB9">
            <w:pPr>
              <w:spacing w:line="240" w:lineRule="auto"/>
              <w:rPr>
                <w:rFonts w:eastAsia="Calibri" w:cs="Arial"/>
                <w:b/>
                <w:lang w:val="pt-PT"/>
              </w:rPr>
            </w:pPr>
            <w:r w:rsidRPr="00376D1C">
              <w:rPr>
                <w:rFonts w:eastAsia="Calibri" w:cs="Arial"/>
                <w:b/>
                <w:lang w:val="pt-PT"/>
              </w:rPr>
              <w:t>Duração</w:t>
            </w:r>
          </w:p>
        </w:tc>
        <w:tc>
          <w:tcPr>
            <w:tcW w:w="1800" w:type="dxa"/>
            <w:tcBorders>
              <w:top w:val="single" w:sz="6" w:space="0" w:color="000000"/>
              <w:left w:val="single" w:sz="6" w:space="0" w:color="000000"/>
              <w:bottom w:val="single" w:sz="6" w:space="0" w:color="000000"/>
              <w:right w:val="single" w:sz="6" w:space="0" w:color="000000"/>
            </w:tcBorders>
            <w:vAlign w:val="center"/>
          </w:tcPr>
          <w:p w:rsidR="006E6CB9" w:rsidRPr="00376D1C" w:rsidRDefault="006E6CB9" w:rsidP="006E6CB9">
            <w:pPr>
              <w:spacing w:line="240" w:lineRule="auto"/>
              <w:jc w:val="center"/>
              <w:rPr>
                <w:rFonts w:eastAsia="Calibri" w:cs="Arial"/>
                <w:lang w:val="pt-PT"/>
              </w:rPr>
            </w:pPr>
            <w:r w:rsidRPr="00376D1C">
              <w:rPr>
                <w:rFonts w:eastAsia="Calibri" w:cs="Arial"/>
                <w:lang w:val="pt-PT"/>
              </w:rPr>
              <w:t>2 h</w:t>
            </w:r>
          </w:p>
        </w:tc>
      </w:tr>
    </w:tbl>
    <w:p w:rsidR="006E6CB9" w:rsidRPr="0052785B" w:rsidRDefault="006E6CB9" w:rsidP="00F46483">
      <w:pPr>
        <w:spacing w:line="240" w:lineRule="auto"/>
        <w:rPr>
          <w:b/>
          <w:lang w:val="pt-PT"/>
        </w:rPr>
      </w:pPr>
    </w:p>
    <w:p w:rsidR="006E6CB9" w:rsidRPr="0052785B" w:rsidRDefault="006E6CB9" w:rsidP="0052785B">
      <w:pPr>
        <w:rPr>
          <w:b/>
          <w:lang w:val="pt-PT"/>
        </w:rPr>
      </w:pPr>
      <w:r w:rsidRPr="0052785B">
        <w:rPr>
          <w:b/>
          <w:lang w:val="pt-PT"/>
        </w:rPr>
        <w:t>Objectivos de Aprendizagem:</w:t>
      </w:r>
    </w:p>
    <w:p w:rsidR="006E6CB9" w:rsidRPr="00376D1C" w:rsidRDefault="006E6CB9" w:rsidP="006E6CB9">
      <w:pPr>
        <w:rPr>
          <w:rFonts w:cs="Arial"/>
          <w:lang w:val="pt-PT"/>
        </w:rPr>
      </w:pPr>
      <w:r w:rsidRPr="00376D1C">
        <w:rPr>
          <w:rFonts w:cs="Arial"/>
          <w:lang w:val="pt-PT"/>
        </w:rPr>
        <w:t>Até ao fim da aula os alunos devem ser capazes de:</w:t>
      </w:r>
    </w:p>
    <w:p w:rsidR="006E6CB9" w:rsidRPr="0080483C" w:rsidRDefault="006E6CB9" w:rsidP="00C52E09">
      <w:pPr>
        <w:pStyle w:val="ListParagraph"/>
        <w:numPr>
          <w:ilvl w:val="0"/>
          <w:numId w:val="216"/>
        </w:numPr>
        <w:spacing w:after="0"/>
        <w:rPr>
          <w:rFonts w:cs="Arial"/>
          <w:lang w:val="pt-PT"/>
        </w:rPr>
      </w:pPr>
      <w:r w:rsidRPr="0080483C">
        <w:rPr>
          <w:rFonts w:cs="Arial"/>
          <w:lang w:val="pt-PT"/>
        </w:rPr>
        <w:t>Descrever de forma geral e de acordo com os protótipos das várias classes farmacológicas, a farmacologia de sistemas corporais, baseando-se nos seguintes itens: mecanismo de acção, forma farmacêutica, vias de administração, indicações</w:t>
      </w:r>
      <w:r w:rsidR="0080483C">
        <w:rPr>
          <w:rFonts w:cs="Arial"/>
          <w:lang w:val="pt-PT"/>
        </w:rPr>
        <w:t xml:space="preserve">  gerais e dose e dosagem:</w:t>
      </w:r>
    </w:p>
    <w:p w:rsidR="006E6CB9" w:rsidRPr="00376D1C" w:rsidRDefault="006E6CB9" w:rsidP="00C52E09">
      <w:pPr>
        <w:pStyle w:val="ListParagraph"/>
        <w:numPr>
          <w:ilvl w:val="1"/>
          <w:numId w:val="216"/>
        </w:numPr>
        <w:spacing w:after="0"/>
        <w:contextualSpacing w:val="0"/>
        <w:rPr>
          <w:rFonts w:cs="Arial"/>
          <w:lang w:val="pt-PT"/>
        </w:rPr>
      </w:pPr>
      <w:r w:rsidRPr="00376D1C">
        <w:rPr>
          <w:rFonts w:cs="Arial"/>
          <w:lang w:val="pt-PT"/>
        </w:rPr>
        <w:t>Apare</w:t>
      </w:r>
      <w:r>
        <w:rPr>
          <w:rFonts w:cs="Arial"/>
          <w:lang w:val="pt-PT"/>
        </w:rPr>
        <w:t>lho Genito-U</w:t>
      </w:r>
      <w:r w:rsidRPr="00376D1C">
        <w:rPr>
          <w:rFonts w:cs="Arial"/>
          <w:lang w:val="pt-PT"/>
        </w:rPr>
        <w:t>rinário</w:t>
      </w:r>
    </w:p>
    <w:p w:rsidR="006E6CB9" w:rsidRPr="00376D1C" w:rsidRDefault="006E6CB9" w:rsidP="00C52E09">
      <w:pPr>
        <w:pStyle w:val="ListParagraph"/>
        <w:numPr>
          <w:ilvl w:val="1"/>
          <w:numId w:val="216"/>
        </w:numPr>
        <w:spacing w:after="0"/>
        <w:contextualSpacing w:val="0"/>
        <w:rPr>
          <w:rFonts w:cs="Arial"/>
          <w:lang w:val="pt-PT"/>
        </w:rPr>
      </w:pPr>
      <w:r>
        <w:rPr>
          <w:rFonts w:cs="Arial"/>
          <w:lang w:val="pt-PT"/>
        </w:rPr>
        <w:t>Equilíbrio Hidro-Electrolítico e Ácido B</w:t>
      </w:r>
      <w:r w:rsidRPr="00376D1C">
        <w:rPr>
          <w:rFonts w:cs="Arial"/>
          <w:lang w:val="pt-PT"/>
        </w:rPr>
        <w:t>ase</w:t>
      </w:r>
    </w:p>
    <w:p w:rsidR="006E6CB9" w:rsidRDefault="006E6CB9" w:rsidP="006E6CB9">
      <w:pPr>
        <w:tabs>
          <w:tab w:val="left" w:pos="244"/>
        </w:tabs>
        <w:spacing w:line="240" w:lineRule="auto"/>
        <w:rPr>
          <w:rFonts w:cs="Arial"/>
          <w:lang w:val="pt-PT"/>
        </w:rPr>
      </w:pPr>
    </w:p>
    <w:p w:rsidR="006E6CB9" w:rsidRPr="0052785B" w:rsidRDefault="006E6CB9" w:rsidP="0052785B">
      <w:pPr>
        <w:rPr>
          <w:b/>
          <w:lang w:val="pt-PT"/>
        </w:rPr>
      </w:pPr>
      <w:r w:rsidRPr="0052785B">
        <w:rPr>
          <w:b/>
          <w:lang w:val="pt-PT"/>
        </w:rPr>
        <w:t>Estrutura da Aula</w:t>
      </w:r>
    </w:p>
    <w:tbl>
      <w:tblPr>
        <w:tblW w:w="10188" w:type="dxa"/>
        <w:tblBorders>
          <w:top w:val="single" w:sz="18" w:space="0" w:color="auto"/>
          <w:bottom w:val="single" w:sz="18" w:space="0" w:color="auto"/>
        </w:tblBorders>
        <w:tblLayout w:type="fixed"/>
        <w:tblLook w:val="0400" w:firstRow="0" w:lastRow="0" w:firstColumn="0" w:lastColumn="0" w:noHBand="0" w:noVBand="1"/>
      </w:tblPr>
      <w:tblGrid>
        <w:gridCol w:w="738"/>
        <w:gridCol w:w="4615"/>
        <w:gridCol w:w="3035"/>
        <w:gridCol w:w="1800"/>
      </w:tblGrid>
      <w:tr w:rsidR="006E6CB9" w:rsidRPr="00376D1C" w:rsidTr="006E6CB9">
        <w:trPr>
          <w:trHeight w:val="432"/>
        </w:trPr>
        <w:tc>
          <w:tcPr>
            <w:tcW w:w="738" w:type="dxa"/>
            <w:tcBorders>
              <w:top w:val="single" w:sz="18" w:space="0" w:color="auto"/>
              <w:bottom w:val="single" w:sz="18" w:space="0" w:color="auto"/>
              <w:right w:val="single" w:sz="4" w:space="0" w:color="auto"/>
            </w:tcBorders>
            <w:shd w:val="clear" w:color="auto" w:fill="B8CCE4"/>
          </w:tcPr>
          <w:p w:rsidR="006E6CB9" w:rsidRPr="00376D1C" w:rsidRDefault="006E6CB9" w:rsidP="007701A8">
            <w:pPr>
              <w:spacing w:before="60" w:line="360" w:lineRule="auto"/>
              <w:ind w:left="-110" w:right="-108"/>
              <w:jc w:val="center"/>
              <w:rPr>
                <w:rFonts w:cs="Arial"/>
                <w:b/>
                <w:lang w:val="pt-PT"/>
              </w:rPr>
            </w:pPr>
            <w:r w:rsidRPr="00376D1C">
              <w:rPr>
                <w:rFonts w:cs="Arial"/>
                <w:b/>
                <w:lang w:val="pt-PT"/>
              </w:rPr>
              <w:t>Bloco</w:t>
            </w:r>
          </w:p>
        </w:tc>
        <w:tc>
          <w:tcPr>
            <w:tcW w:w="4615" w:type="dxa"/>
            <w:tcBorders>
              <w:top w:val="single" w:sz="18" w:space="0" w:color="auto"/>
              <w:left w:val="single" w:sz="4" w:space="0" w:color="auto"/>
              <w:bottom w:val="single" w:sz="18" w:space="0" w:color="auto"/>
              <w:right w:val="single" w:sz="4" w:space="0" w:color="auto"/>
            </w:tcBorders>
            <w:shd w:val="clear" w:color="auto" w:fill="B8CCE4"/>
          </w:tcPr>
          <w:p w:rsidR="006E6CB9" w:rsidRPr="00376D1C" w:rsidRDefault="006E6CB9" w:rsidP="007701A8">
            <w:pPr>
              <w:spacing w:before="60" w:line="360" w:lineRule="auto"/>
              <w:jc w:val="center"/>
              <w:rPr>
                <w:rFonts w:cs="Arial"/>
                <w:b/>
                <w:lang w:val="pt-PT"/>
              </w:rPr>
            </w:pPr>
            <w:r w:rsidRPr="00376D1C">
              <w:rPr>
                <w:rFonts w:cs="Arial"/>
                <w:b/>
                <w:lang w:val="pt-PT"/>
              </w:rPr>
              <w:t>Título do Bloco</w:t>
            </w:r>
          </w:p>
        </w:tc>
        <w:tc>
          <w:tcPr>
            <w:tcW w:w="3035" w:type="dxa"/>
            <w:tcBorders>
              <w:top w:val="single" w:sz="18" w:space="0" w:color="auto"/>
              <w:left w:val="single" w:sz="4" w:space="0" w:color="auto"/>
              <w:bottom w:val="single" w:sz="18" w:space="0" w:color="auto"/>
              <w:right w:val="single" w:sz="4" w:space="0" w:color="auto"/>
            </w:tcBorders>
            <w:shd w:val="clear" w:color="auto" w:fill="B8CCE4"/>
          </w:tcPr>
          <w:p w:rsidR="006E6CB9" w:rsidRPr="00376D1C" w:rsidRDefault="006E6CB9" w:rsidP="007701A8">
            <w:pPr>
              <w:tabs>
                <w:tab w:val="left" w:pos="244"/>
              </w:tabs>
              <w:spacing w:before="60" w:line="360" w:lineRule="auto"/>
              <w:jc w:val="center"/>
              <w:rPr>
                <w:rFonts w:cs="Arial"/>
                <w:b/>
                <w:lang w:val="pt-PT"/>
              </w:rPr>
            </w:pPr>
            <w:r w:rsidRPr="00376D1C">
              <w:rPr>
                <w:rFonts w:cs="Arial"/>
                <w:b/>
                <w:lang w:val="pt-PT"/>
              </w:rPr>
              <w:t>Método de Ensino</w:t>
            </w:r>
          </w:p>
        </w:tc>
        <w:tc>
          <w:tcPr>
            <w:tcW w:w="1800" w:type="dxa"/>
            <w:tcBorders>
              <w:top w:val="single" w:sz="18" w:space="0" w:color="auto"/>
              <w:left w:val="single" w:sz="4" w:space="0" w:color="auto"/>
              <w:bottom w:val="single" w:sz="18" w:space="0" w:color="auto"/>
            </w:tcBorders>
            <w:shd w:val="clear" w:color="auto" w:fill="B8CCE4"/>
          </w:tcPr>
          <w:p w:rsidR="006E6CB9" w:rsidRPr="00376D1C" w:rsidRDefault="006E6CB9" w:rsidP="007701A8">
            <w:pPr>
              <w:tabs>
                <w:tab w:val="left" w:pos="244"/>
              </w:tabs>
              <w:spacing w:before="60" w:line="360" w:lineRule="auto"/>
              <w:jc w:val="center"/>
              <w:rPr>
                <w:rFonts w:cs="Arial"/>
                <w:b/>
                <w:lang w:val="pt-PT"/>
              </w:rPr>
            </w:pPr>
            <w:r w:rsidRPr="00376D1C">
              <w:rPr>
                <w:rFonts w:cs="Arial"/>
                <w:b/>
                <w:lang w:val="pt-PT"/>
              </w:rPr>
              <w:t>Duração</w:t>
            </w:r>
          </w:p>
        </w:tc>
      </w:tr>
      <w:tr w:rsidR="006E6CB9" w:rsidRPr="00376D1C" w:rsidTr="006E6CB9">
        <w:tc>
          <w:tcPr>
            <w:tcW w:w="738" w:type="dxa"/>
            <w:tcBorders>
              <w:top w:val="single" w:sz="18" w:space="0" w:color="auto"/>
              <w:bottom w:val="single" w:sz="4" w:space="0" w:color="auto"/>
              <w:right w:val="single" w:sz="4" w:space="0" w:color="auto"/>
            </w:tcBorders>
          </w:tcPr>
          <w:p w:rsidR="006E6CB9" w:rsidRPr="00376D1C" w:rsidRDefault="006E6CB9" w:rsidP="007701A8">
            <w:pPr>
              <w:spacing w:before="60" w:after="60" w:line="360" w:lineRule="auto"/>
              <w:ind w:left="-110" w:right="-108"/>
              <w:jc w:val="center"/>
              <w:rPr>
                <w:rFonts w:cs="Arial"/>
                <w:lang w:val="pt-PT"/>
              </w:rPr>
            </w:pPr>
            <w:r w:rsidRPr="00376D1C">
              <w:rPr>
                <w:rFonts w:cs="Arial"/>
                <w:lang w:val="pt-PT"/>
              </w:rPr>
              <w:t>1</w:t>
            </w:r>
          </w:p>
        </w:tc>
        <w:tc>
          <w:tcPr>
            <w:tcW w:w="4615" w:type="dxa"/>
            <w:tcBorders>
              <w:top w:val="single" w:sz="18" w:space="0" w:color="auto"/>
              <w:left w:val="single" w:sz="4" w:space="0" w:color="auto"/>
              <w:bottom w:val="single" w:sz="4" w:space="0" w:color="auto"/>
              <w:right w:val="single" w:sz="4" w:space="0" w:color="auto"/>
            </w:tcBorders>
          </w:tcPr>
          <w:p w:rsidR="006E6CB9" w:rsidRPr="00376D1C" w:rsidRDefault="006E6CB9" w:rsidP="007701A8">
            <w:pPr>
              <w:tabs>
                <w:tab w:val="left" w:pos="244"/>
              </w:tabs>
              <w:spacing w:before="60" w:after="60" w:line="360" w:lineRule="auto"/>
              <w:rPr>
                <w:rFonts w:cs="Arial"/>
                <w:lang w:val="pt-PT"/>
              </w:rPr>
            </w:pPr>
            <w:r w:rsidRPr="00376D1C">
              <w:rPr>
                <w:rFonts w:cs="Arial"/>
                <w:lang w:val="pt-PT"/>
              </w:rPr>
              <w:t>Introdução à Aula</w:t>
            </w:r>
          </w:p>
          <w:p w:rsidR="006E6CB9" w:rsidRPr="00376D1C" w:rsidRDefault="006E6CB9" w:rsidP="007701A8">
            <w:pPr>
              <w:tabs>
                <w:tab w:val="left" w:pos="244"/>
              </w:tabs>
              <w:spacing w:before="60" w:after="60" w:line="360" w:lineRule="auto"/>
              <w:rPr>
                <w:rFonts w:cs="Arial"/>
                <w:lang w:val="pt-PT"/>
              </w:rPr>
            </w:pPr>
          </w:p>
        </w:tc>
        <w:tc>
          <w:tcPr>
            <w:tcW w:w="3035" w:type="dxa"/>
            <w:tcBorders>
              <w:top w:val="single" w:sz="18" w:space="0" w:color="auto"/>
              <w:left w:val="single" w:sz="4" w:space="0" w:color="auto"/>
              <w:bottom w:val="single" w:sz="4" w:space="0" w:color="auto"/>
              <w:right w:val="single" w:sz="4" w:space="0" w:color="auto"/>
            </w:tcBorders>
          </w:tcPr>
          <w:p w:rsidR="006E6CB9" w:rsidRPr="00376D1C" w:rsidRDefault="006E6CB9" w:rsidP="007701A8">
            <w:pPr>
              <w:tabs>
                <w:tab w:val="left" w:pos="244"/>
              </w:tabs>
              <w:spacing w:before="60" w:after="60" w:line="360" w:lineRule="auto"/>
              <w:rPr>
                <w:rFonts w:cs="Arial"/>
                <w:lang w:val="pt-PT"/>
              </w:rPr>
            </w:pPr>
          </w:p>
        </w:tc>
        <w:tc>
          <w:tcPr>
            <w:tcW w:w="1800" w:type="dxa"/>
            <w:tcBorders>
              <w:top w:val="single" w:sz="18" w:space="0" w:color="auto"/>
              <w:left w:val="single" w:sz="4" w:space="0" w:color="auto"/>
              <w:bottom w:val="single" w:sz="4" w:space="0" w:color="auto"/>
            </w:tcBorders>
          </w:tcPr>
          <w:p w:rsidR="006E6CB9" w:rsidRPr="00376D1C" w:rsidRDefault="006E6CB9" w:rsidP="007701A8">
            <w:pPr>
              <w:tabs>
                <w:tab w:val="left" w:pos="244"/>
              </w:tabs>
              <w:spacing w:before="60" w:after="60" w:line="360" w:lineRule="auto"/>
              <w:jc w:val="right"/>
              <w:rPr>
                <w:rFonts w:cs="Arial"/>
                <w:lang w:val="pt-PT"/>
              </w:rPr>
            </w:pPr>
          </w:p>
        </w:tc>
      </w:tr>
      <w:tr w:rsidR="006E6CB9" w:rsidRPr="00FC6E81" w:rsidTr="006E6CB9">
        <w:tc>
          <w:tcPr>
            <w:tcW w:w="738" w:type="dxa"/>
            <w:tcBorders>
              <w:top w:val="single" w:sz="4" w:space="0" w:color="auto"/>
              <w:bottom w:val="single" w:sz="4" w:space="0" w:color="auto"/>
              <w:right w:val="single" w:sz="4" w:space="0" w:color="auto"/>
            </w:tcBorders>
            <w:shd w:val="clear" w:color="auto" w:fill="D9D9D9"/>
          </w:tcPr>
          <w:p w:rsidR="006E6CB9" w:rsidRPr="00376D1C" w:rsidRDefault="006E6CB9" w:rsidP="007701A8">
            <w:pPr>
              <w:spacing w:before="60" w:after="60" w:line="360" w:lineRule="auto"/>
              <w:ind w:left="-110" w:right="-108"/>
              <w:jc w:val="center"/>
              <w:rPr>
                <w:rFonts w:cs="Arial"/>
                <w:lang w:val="pt-PT"/>
              </w:rPr>
            </w:pPr>
            <w:r w:rsidRPr="00376D1C">
              <w:rPr>
                <w:rFonts w:cs="Arial"/>
                <w:lang w:val="pt-PT"/>
              </w:rPr>
              <w:t>2</w:t>
            </w:r>
          </w:p>
        </w:tc>
        <w:tc>
          <w:tcPr>
            <w:tcW w:w="4615" w:type="dxa"/>
            <w:tcBorders>
              <w:top w:val="single" w:sz="4" w:space="0" w:color="auto"/>
              <w:left w:val="single" w:sz="4" w:space="0" w:color="auto"/>
              <w:bottom w:val="single" w:sz="4" w:space="0" w:color="auto"/>
              <w:right w:val="single" w:sz="4" w:space="0" w:color="auto"/>
            </w:tcBorders>
            <w:shd w:val="clear" w:color="auto" w:fill="D9D9D9"/>
          </w:tcPr>
          <w:p w:rsidR="006E6CB9" w:rsidRPr="00376D1C" w:rsidRDefault="006E6CB9" w:rsidP="007701A8">
            <w:pPr>
              <w:tabs>
                <w:tab w:val="left" w:pos="244"/>
              </w:tabs>
              <w:spacing w:before="60" w:after="60" w:line="360" w:lineRule="auto"/>
              <w:rPr>
                <w:rFonts w:cs="Arial"/>
                <w:lang w:val="pt-PT"/>
              </w:rPr>
            </w:pPr>
            <w:r w:rsidRPr="00376D1C">
              <w:rPr>
                <w:rFonts w:cs="Arial"/>
                <w:lang w:val="pt-PT"/>
              </w:rPr>
              <w:t xml:space="preserve">Fármacos Usados no </w:t>
            </w:r>
            <w:r>
              <w:rPr>
                <w:rFonts w:cs="Arial"/>
                <w:lang w:val="pt-PT"/>
              </w:rPr>
              <w:t>Aparelho Ge</w:t>
            </w:r>
            <w:r w:rsidRPr="00376D1C">
              <w:rPr>
                <w:rFonts w:cs="Arial"/>
                <w:lang w:val="pt-PT"/>
              </w:rPr>
              <w:t>nito-Urinário</w:t>
            </w:r>
          </w:p>
        </w:tc>
        <w:tc>
          <w:tcPr>
            <w:tcW w:w="3035" w:type="dxa"/>
            <w:tcBorders>
              <w:top w:val="single" w:sz="4" w:space="0" w:color="auto"/>
              <w:left w:val="single" w:sz="4" w:space="0" w:color="auto"/>
              <w:bottom w:val="single" w:sz="4" w:space="0" w:color="auto"/>
              <w:right w:val="single" w:sz="4" w:space="0" w:color="auto"/>
            </w:tcBorders>
            <w:shd w:val="clear" w:color="auto" w:fill="D9D9D9"/>
          </w:tcPr>
          <w:p w:rsidR="006E6CB9" w:rsidRPr="00376D1C" w:rsidRDefault="006E6CB9" w:rsidP="007701A8">
            <w:pPr>
              <w:tabs>
                <w:tab w:val="left" w:pos="244"/>
              </w:tabs>
              <w:spacing w:before="60" w:after="60" w:line="360" w:lineRule="auto"/>
              <w:rPr>
                <w:rFonts w:cs="Arial"/>
                <w:lang w:val="pt-PT"/>
              </w:rPr>
            </w:pPr>
          </w:p>
          <w:p w:rsidR="006E6CB9" w:rsidRPr="00376D1C" w:rsidRDefault="006E6CB9" w:rsidP="007701A8">
            <w:pPr>
              <w:tabs>
                <w:tab w:val="left" w:pos="244"/>
              </w:tabs>
              <w:spacing w:before="60" w:after="60" w:line="360" w:lineRule="auto"/>
              <w:rPr>
                <w:rFonts w:cs="Arial"/>
                <w:lang w:val="pt-PT"/>
              </w:rPr>
            </w:pPr>
          </w:p>
        </w:tc>
        <w:tc>
          <w:tcPr>
            <w:tcW w:w="1800" w:type="dxa"/>
            <w:tcBorders>
              <w:top w:val="single" w:sz="4" w:space="0" w:color="auto"/>
              <w:left w:val="single" w:sz="4" w:space="0" w:color="auto"/>
              <w:bottom w:val="single" w:sz="4" w:space="0" w:color="auto"/>
            </w:tcBorders>
            <w:shd w:val="clear" w:color="auto" w:fill="D9D9D9"/>
          </w:tcPr>
          <w:p w:rsidR="006E6CB9" w:rsidRPr="00376D1C" w:rsidRDefault="006E6CB9" w:rsidP="007701A8">
            <w:pPr>
              <w:tabs>
                <w:tab w:val="left" w:pos="244"/>
              </w:tabs>
              <w:spacing w:before="60" w:after="60" w:line="360" w:lineRule="auto"/>
              <w:jc w:val="right"/>
              <w:rPr>
                <w:rFonts w:cs="Arial"/>
                <w:lang w:val="pt-PT"/>
              </w:rPr>
            </w:pPr>
          </w:p>
        </w:tc>
      </w:tr>
      <w:tr w:rsidR="006E6CB9" w:rsidRPr="00FC6E81" w:rsidTr="006E6CB9">
        <w:tc>
          <w:tcPr>
            <w:tcW w:w="738" w:type="dxa"/>
            <w:tcBorders>
              <w:top w:val="single" w:sz="4" w:space="0" w:color="auto"/>
              <w:bottom w:val="single" w:sz="4" w:space="0" w:color="auto"/>
              <w:right w:val="single" w:sz="4" w:space="0" w:color="auto"/>
            </w:tcBorders>
          </w:tcPr>
          <w:p w:rsidR="006E6CB9" w:rsidRPr="00376D1C" w:rsidRDefault="006E6CB9" w:rsidP="007701A8">
            <w:pPr>
              <w:spacing w:before="60" w:after="60" w:line="360" w:lineRule="auto"/>
              <w:ind w:left="-110" w:right="-108"/>
              <w:jc w:val="center"/>
              <w:rPr>
                <w:rFonts w:cs="Arial"/>
                <w:lang w:val="pt-PT"/>
              </w:rPr>
            </w:pPr>
            <w:r w:rsidRPr="00376D1C">
              <w:rPr>
                <w:rFonts w:cs="Arial"/>
                <w:lang w:val="pt-PT"/>
              </w:rPr>
              <w:t>3</w:t>
            </w:r>
          </w:p>
        </w:tc>
        <w:tc>
          <w:tcPr>
            <w:tcW w:w="4615" w:type="dxa"/>
            <w:tcBorders>
              <w:top w:val="single" w:sz="4" w:space="0" w:color="auto"/>
              <w:left w:val="single" w:sz="4" w:space="0" w:color="auto"/>
              <w:bottom w:val="single" w:sz="4" w:space="0" w:color="auto"/>
              <w:right w:val="single" w:sz="4" w:space="0" w:color="auto"/>
            </w:tcBorders>
          </w:tcPr>
          <w:p w:rsidR="006E6CB9" w:rsidRPr="00376D1C" w:rsidRDefault="006E6CB9" w:rsidP="007701A8">
            <w:pPr>
              <w:tabs>
                <w:tab w:val="left" w:pos="244"/>
              </w:tabs>
              <w:spacing w:before="60" w:after="60" w:line="360" w:lineRule="auto"/>
              <w:rPr>
                <w:rFonts w:cs="Arial"/>
                <w:iCs/>
                <w:lang w:val="pt-PT"/>
              </w:rPr>
            </w:pPr>
            <w:r w:rsidRPr="00376D1C">
              <w:rPr>
                <w:rFonts w:cs="Arial"/>
                <w:iCs/>
                <w:lang w:val="pt-PT"/>
              </w:rPr>
              <w:t>Fármacos Usados em Alterações do Equilíbrio Hidro-Electrolítico</w:t>
            </w:r>
          </w:p>
        </w:tc>
        <w:tc>
          <w:tcPr>
            <w:tcW w:w="3035" w:type="dxa"/>
            <w:tcBorders>
              <w:top w:val="single" w:sz="4" w:space="0" w:color="auto"/>
              <w:left w:val="single" w:sz="4" w:space="0" w:color="auto"/>
              <w:bottom w:val="single" w:sz="4" w:space="0" w:color="auto"/>
              <w:right w:val="single" w:sz="4" w:space="0" w:color="auto"/>
            </w:tcBorders>
          </w:tcPr>
          <w:p w:rsidR="006E6CB9" w:rsidRPr="00376D1C" w:rsidRDefault="006E6CB9" w:rsidP="007701A8">
            <w:pPr>
              <w:spacing w:before="60" w:after="60" w:line="360" w:lineRule="auto"/>
              <w:ind w:left="-18" w:firstLine="18"/>
              <w:rPr>
                <w:rFonts w:cs="Arial"/>
                <w:lang w:val="pt-PT"/>
              </w:rPr>
            </w:pPr>
          </w:p>
          <w:p w:rsidR="006E6CB9" w:rsidRPr="00376D1C" w:rsidRDefault="006E6CB9" w:rsidP="007701A8">
            <w:pPr>
              <w:spacing w:before="60" w:after="60" w:line="360" w:lineRule="auto"/>
              <w:ind w:left="-18" w:firstLine="18"/>
              <w:rPr>
                <w:rFonts w:cs="Arial"/>
                <w:lang w:val="pt-PT"/>
              </w:rPr>
            </w:pPr>
          </w:p>
        </w:tc>
        <w:tc>
          <w:tcPr>
            <w:tcW w:w="1800" w:type="dxa"/>
            <w:tcBorders>
              <w:top w:val="single" w:sz="4" w:space="0" w:color="auto"/>
              <w:left w:val="single" w:sz="4" w:space="0" w:color="auto"/>
              <w:bottom w:val="single" w:sz="4" w:space="0" w:color="auto"/>
            </w:tcBorders>
          </w:tcPr>
          <w:p w:rsidR="006E6CB9" w:rsidRPr="00376D1C" w:rsidRDefault="006E6CB9" w:rsidP="007701A8">
            <w:pPr>
              <w:spacing w:before="60" w:after="60" w:line="360" w:lineRule="auto"/>
              <w:ind w:left="-18" w:firstLine="18"/>
              <w:jc w:val="right"/>
              <w:rPr>
                <w:rFonts w:cs="Arial"/>
                <w:lang w:val="pt-PT"/>
              </w:rPr>
            </w:pPr>
          </w:p>
        </w:tc>
      </w:tr>
      <w:tr w:rsidR="006E6CB9" w:rsidRPr="00376D1C" w:rsidTr="006E6CB9">
        <w:tc>
          <w:tcPr>
            <w:tcW w:w="738" w:type="dxa"/>
            <w:tcBorders>
              <w:top w:val="single" w:sz="4" w:space="0" w:color="auto"/>
              <w:bottom w:val="single" w:sz="18" w:space="0" w:color="auto"/>
              <w:right w:val="single" w:sz="4" w:space="0" w:color="auto"/>
            </w:tcBorders>
            <w:shd w:val="clear" w:color="auto" w:fill="D9D9D9"/>
          </w:tcPr>
          <w:p w:rsidR="006E6CB9" w:rsidRPr="00376D1C" w:rsidRDefault="006E6CB9" w:rsidP="007701A8">
            <w:pPr>
              <w:spacing w:before="60" w:after="60" w:line="360" w:lineRule="auto"/>
              <w:ind w:left="-110" w:right="-108"/>
              <w:jc w:val="center"/>
              <w:rPr>
                <w:rFonts w:cs="Arial"/>
                <w:lang w:val="pt-PT"/>
              </w:rPr>
            </w:pPr>
            <w:r w:rsidRPr="00376D1C">
              <w:rPr>
                <w:rFonts w:cs="Arial"/>
                <w:lang w:val="pt-PT"/>
              </w:rPr>
              <w:t>4</w:t>
            </w:r>
          </w:p>
        </w:tc>
        <w:tc>
          <w:tcPr>
            <w:tcW w:w="4615" w:type="dxa"/>
            <w:tcBorders>
              <w:top w:val="single" w:sz="4" w:space="0" w:color="auto"/>
              <w:left w:val="single" w:sz="4" w:space="0" w:color="auto"/>
              <w:bottom w:val="single" w:sz="18" w:space="0" w:color="auto"/>
              <w:right w:val="single" w:sz="4" w:space="0" w:color="auto"/>
            </w:tcBorders>
            <w:shd w:val="clear" w:color="auto" w:fill="D9D9D9"/>
          </w:tcPr>
          <w:p w:rsidR="006E6CB9" w:rsidRPr="00376D1C" w:rsidRDefault="006E6CB9" w:rsidP="007701A8">
            <w:pPr>
              <w:tabs>
                <w:tab w:val="left" w:pos="244"/>
              </w:tabs>
              <w:spacing w:before="60" w:after="60" w:line="360" w:lineRule="auto"/>
              <w:rPr>
                <w:rFonts w:cs="Arial"/>
                <w:iCs/>
                <w:lang w:val="pt-PT"/>
              </w:rPr>
            </w:pPr>
            <w:r w:rsidRPr="00376D1C">
              <w:rPr>
                <w:rFonts w:cs="Arial"/>
                <w:iCs/>
                <w:lang w:val="pt-PT"/>
              </w:rPr>
              <w:t>Pontos-chave</w:t>
            </w:r>
          </w:p>
        </w:tc>
        <w:tc>
          <w:tcPr>
            <w:tcW w:w="3035" w:type="dxa"/>
            <w:tcBorders>
              <w:top w:val="single" w:sz="4" w:space="0" w:color="auto"/>
              <w:left w:val="single" w:sz="4" w:space="0" w:color="auto"/>
              <w:bottom w:val="single" w:sz="18" w:space="0" w:color="auto"/>
              <w:right w:val="single" w:sz="4" w:space="0" w:color="auto"/>
            </w:tcBorders>
            <w:shd w:val="clear" w:color="auto" w:fill="D9D9D9"/>
          </w:tcPr>
          <w:p w:rsidR="006E6CB9" w:rsidRPr="00376D1C" w:rsidRDefault="006E6CB9" w:rsidP="007701A8">
            <w:pPr>
              <w:spacing w:before="60" w:after="60" w:line="360" w:lineRule="auto"/>
              <w:ind w:left="-18" w:firstLine="18"/>
              <w:rPr>
                <w:rFonts w:cs="Arial"/>
                <w:lang w:val="pt-PT"/>
              </w:rPr>
            </w:pPr>
          </w:p>
        </w:tc>
        <w:tc>
          <w:tcPr>
            <w:tcW w:w="1800" w:type="dxa"/>
            <w:tcBorders>
              <w:top w:val="single" w:sz="4" w:space="0" w:color="auto"/>
              <w:left w:val="single" w:sz="4" w:space="0" w:color="auto"/>
              <w:bottom w:val="single" w:sz="18" w:space="0" w:color="auto"/>
            </w:tcBorders>
            <w:shd w:val="clear" w:color="auto" w:fill="D9D9D9"/>
          </w:tcPr>
          <w:p w:rsidR="006E6CB9" w:rsidRPr="00376D1C" w:rsidRDefault="006E6CB9" w:rsidP="007701A8">
            <w:pPr>
              <w:spacing w:before="60" w:after="60" w:line="360" w:lineRule="auto"/>
              <w:ind w:left="-18" w:firstLine="18"/>
              <w:jc w:val="right"/>
              <w:rPr>
                <w:rFonts w:cs="Arial"/>
                <w:lang w:val="pt-PT"/>
              </w:rPr>
            </w:pPr>
          </w:p>
        </w:tc>
      </w:tr>
    </w:tbl>
    <w:p w:rsidR="005F3F7B" w:rsidRDefault="005F3F7B" w:rsidP="006E6CB9">
      <w:pPr>
        <w:tabs>
          <w:tab w:val="left" w:pos="424"/>
        </w:tabs>
        <w:spacing w:before="60"/>
        <w:jc w:val="both"/>
        <w:rPr>
          <w:rFonts w:cs="Arial"/>
          <w:b/>
          <w:lang w:val="pt-PT"/>
        </w:rPr>
      </w:pPr>
    </w:p>
    <w:p w:rsidR="006E6CB9" w:rsidRPr="00376D1C" w:rsidRDefault="006E6CB9" w:rsidP="006E6CB9">
      <w:pPr>
        <w:tabs>
          <w:tab w:val="left" w:pos="424"/>
        </w:tabs>
        <w:spacing w:before="60"/>
        <w:jc w:val="both"/>
        <w:rPr>
          <w:rFonts w:cs="Arial"/>
          <w:b/>
          <w:lang w:val="pt-PT"/>
        </w:rPr>
      </w:pPr>
      <w:r w:rsidRPr="00376D1C">
        <w:rPr>
          <w:rFonts w:cs="Arial"/>
          <w:b/>
          <w:lang w:val="pt-PT"/>
        </w:rPr>
        <w:t>Equipamentos e meios audiovisuais necessários:</w:t>
      </w:r>
    </w:p>
    <w:p w:rsidR="006E6CB9" w:rsidRPr="00376D1C" w:rsidRDefault="006E6CB9" w:rsidP="006E6CB9">
      <w:pPr>
        <w:tabs>
          <w:tab w:val="left" w:pos="424"/>
        </w:tabs>
        <w:jc w:val="both"/>
        <w:rPr>
          <w:rFonts w:cs="Arial"/>
          <w:lang w:val="pt-PT"/>
        </w:rPr>
      </w:pPr>
    </w:p>
    <w:p w:rsidR="006E6CB9" w:rsidRPr="00376D1C" w:rsidRDefault="006E6CB9" w:rsidP="006E6CB9">
      <w:pPr>
        <w:tabs>
          <w:tab w:val="left" w:pos="424"/>
        </w:tabs>
        <w:jc w:val="both"/>
        <w:rPr>
          <w:rFonts w:cs="Arial"/>
          <w:lang w:val="pt-PT"/>
        </w:rPr>
      </w:pPr>
    </w:p>
    <w:p w:rsidR="006E6CB9" w:rsidRPr="00376D1C" w:rsidRDefault="006E6CB9" w:rsidP="006E6CB9">
      <w:pPr>
        <w:tabs>
          <w:tab w:val="left" w:pos="424"/>
        </w:tabs>
        <w:jc w:val="both"/>
        <w:rPr>
          <w:rFonts w:cs="Arial"/>
          <w:lang w:val="pt-PT"/>
        </w:rPr>
      </w:pPr>
    </w:p>
    <w:p w:rsidR="006E6CB9" w:rsidRPr="00376D1C" w:rsidRDefault="006E6CB9" w:rsidP="006E6CB9">
      <w:pPr>
        <w:tabs>
          <w:tab w:val="left" w:pos="424"/>
        </w:tabs>
        <w:jc w:val="both"/>
        <w:rPr>
          <w:rFonts w:cs="Arial"/>
          <w:lang w:val="pt-PT"/>
        </w:rPr>
      </w:pPr>
    </w:p>
    <w:p w:rsidR="006E6CB9" w:rsidRPr="00376D1C" w:rsidRDefault="006E6CB9" w:rsidP="006E6CB9">
      <w:pPr>
        <w:tabs>
          <w:tab w:val="left" w:pos="424"/>
        </w:tabs>
        <w:jc w:val="both"/>
        <w:rPr>
          <w:rFonts w:cs="Arial"/>
          <w:lang w:val="pt-PT"/>
        </w:rPr>
      </w:pPr>
    </w:p>
    <w:p w:rsidR="006E6CB9" w:rsidRDefault="006E6CB9" w:rsidP="006E6CB9">
      <w:pPr>
        <w:tabs>
          <w:tab w:val="left" w:pos="424"/>
        </w:tabs>
        <w:jc w:val="both"/>
        <w:rPr>
          <w:rFonts w:cs="Arial"/>
          <w:lang w:val="pt-PT"/>
        </w:rPr>
      </w:pPr>
    </w:p>
    <w:p w:rsidR="005F3F7B" w:rsidRDefault="005F3F7B" w:rsidP="006E6CB9">
      <w:pPr>
        <w:tabs>
          <w:tab w:val="left" w:pos="424"/>
        </w:tabs>
        <w:jc w:val="both"/>
        <w:rPr>
          <w:rFonts w:cs="Arial"/>
          <w:lang w:val="pt-PT"/>
        </w:rPr>
      </w:pPr>
    </w:p>
    <w:p w:rsidR="006E6CB9" w:rsidRPr="00376D1C" w:rsidRDefault="006E6CB9" w:rsidP="006E6CB9">
      <w:pPr>
        <w:tabs>
          <w:tab w:val="left" w:pos="424"/>
        </w:tabs>
        <w:jc w:val="both"/>
        <w:rPr>
          <w:rFonts w:cs="Arial"/>
          <w:lang w:val="pt-PT"/>
        </w:rPr>
      </w:pPr>
      <w:r w:rsidRPr="00376D1C">
        <w:rPr>
          <w:rFonts w:cs="Arial"/>
          <w:b/>
          <w:lang w:val="pt-PT"/>
        </w:rPr>
        <w:lastRenderedPageBreak/>
        <w:t>Trabalhos para casa (TPC), exercícios e textos para leitura – incluir data a ser entregue:</w:t>
      </w:r>
      <w:r w:rsidRPr="00376D1C">
        <w:rPr>
          <w:rFonts w:cs="Arial"/>
          <w:lang w:val="pt-PT"/>
        </w:rPr>
        <w:t xml:space="preserve"> </w:t>
      </w:r>
    </w:p>
    <w:p w:rsidR="006E6CB9" w:rsidRPr="00376D1C" w:rsidRDefault="006E6CB9" w:rsidP="006E6CB9">
      <w:pPr>
        <w:tabs>
          <w:tab w:val="left" w:pos="424"/>
        </w:tabs>
        <w:jc w:val="both"/>
        <w:rPr>
          <w:rFonts w:cs="Arial"/>
          <w:lang w:val="pt-PT"/>
        </w:rPr>
      </w:pPr>
    </w:p>
    <w:p w:rsidR="006E6CB9" w:rsidRDefault="006E6CB9" w:rsidP="006E6CB9">
      <w:pPr>
        <w:tabs>
          <w:tab w:val="left" w:pos="424"/>
        </w:tabs>
        <w:jc w:val="both"/>
        <w:rPr>
          <w:rFonts w:cs="Arial"/>
          <w:lang w:val="pt-PT"/>
        </w:rPr>
      </w:pPr>
    </w:p>
    <w:p w:rsidR="007701A8" w:rsidRDefault="007701A8" w:rsidP="006E6CB9">
      <w:pPr>
        <w:tabs>
          <w:tab w:val="left" w:pos="424"/>
        </w:tabs>
        <w:jc w:val="both"/>
        <w:rPr>
          <w:rFonts w:cs="Arial"/>
          <w:lang w:val="pt-PT"/>
        </w:rPr>
      </w:pPr>
    </w:p>
    <w:p w:rsidR="007701A8" w:rsidRDefault="007701A8" w:rsidP="006E6CB9">
      <w:pPr>
        <w:tabs>
          <w:tab w:val="left" w:pos="424"/>
        </w:tabs>
        <w:jc w:val="both"/>
        <w:rPr>
          <w:rFonts w:cs="Arial"/>
          <w:lang w:val="pt-PT"/>
        </w:rPr>
      </w:pPr>
    </w:p>
    <w:p w:rsidR="007701A8" w:rsidRDefault="007701A8" w:rsidP="006E6CB9">
      <w:pPr>
        <w:tabs>
          <w:tab w:val="left" w:pos="424"/>
        </w:tabs>
        <w:jc w:val="both"/>
        <w:rPr>
          <w:rFonts w:cs="Arial"/>
          <w:lang w:val="pt-PT"/>
        </w:rPr>
      </w:pPr>
    </w:p>
    <w:p w:rsidR="007701A8" w:rsidRDefault="007701A8" w:rsidP="006E6CB9">
      <w:pPr>
        <w:tabs>
          <w:tab w:val="left" w:pos="424"/>
        </w:tabs>
        <w:jc w:val="both"/>
        <w:rPr>
          <w:rFonts w:cs="Arial"/>
          <w:lang w:val="pt-PT"/>
        </w:rPr>
      </w:pPr>
    </w:p>
    <w:p w:rsidR="007701A8" w:rsidRDefault="007701A8" w:rsidP="006E6CB9">
      <w:pPr>
        <w:tabs>
          <w:tab w:val="left" w:pos="424"/>
        </w:tabs>
        <w:jc w:val="both"/>
        <w:rPr>
          <w:rFonts w:cs="Arial"/>
          <w:lang w:val="pt-PT"/>
        </w:rPr>
      </w:pPr>
    </w:p>
    <w:p w:rsidR="007701A8" w:rsidRDefault="007701A8" w:rsidP="006E6CB9">
      <w:pPr>
        <w:tabs>
          <w:tab w:val="left" w:pos="424"/>
        </w:tabs>
        <w:jc w:val="both"/>
        <w:rPr>
          <w:rFonts w:cs="Arial"/>
          <w:lang w:val="pt-PT"/>
        </w:rPr>
      </w:pPr>
    </w:p>
    <w:p w:rsidR="006E6CB9" w:rsidRDefault="006E6CB9" w:rsidP="006E6CB9">
      <w:pPr>
        <w:tabs>
          <w:tab w:val="left" w:pos="424"/>
        </w:tabs>
        <w:jc w:val="both"/>
        <w:rPr>
          <w:rFonts w:cs="Arial"/>
          <w:lang w:val="pt-PT"/>
        </w:rPr>
      </w:pPr>
    </w:p>
    <w:p w:rsidR="007701A8" w:rsidRDefault="007701A8" w:rsidP="006E6CB9">
      <w:pPr>
        <w:tabs>
          <w:tab w:val="left" w:pos="424"/>
        </w:tabs>
        <w:jc w:val="both"/>
        <w:rPr>
          <w:rFonts w:cs="Arial"/>
          <w:lang w:val="pt-PT"/>
        </w:rPr>
      </w:pPr>
    </w:p>
    <w:p w:rsidR="007701A8" w:rsidRDefault="007701A8" w:rsidP="006E6CB9">
      <w:pPr>
        <w:tabs>
          <w:tab w:val="left" w:pos="424"/>
        </w:tabs>
        <w:jc w:val="both"/>
        <w:rPr>
          <w:rFonts w:cs="Arial"/>
          <w:lang w:val="pt-PT"/>
        </w:rPr>
      </w:pPr>
    </w:p>
    <w:p w:rsidR="007701A8" w:rsidRDefault="007701A8" w:rsidP="006E6CB9">
      <w:pPr>
        <w:tabs>
          <w:tab w:val="left" w:pos="424"/>
        </w:tabs>
        <w:jc w:val="both"/>
        <w:rPr>
          <w:rFonts w:cs="Arial"/>
          <w:lang w:val="pt-PT"/>
        </w:rPr>
      </w:pPr>
    </w:p>
    <w:p w:rsidR="007701A8" w:rsidRDefault="007701A8" w:rsidP="006E6CB9">
      <w:pPr>
        <w:tabs>
          <w:tab w:val="left" w:pos="424"/>
        </w:tabs>
        <w:jc w:val="both"/>
        <w:rPr>
          <w:rFonts w:cs="Arial"/>
          <w:lang w:val="pt-PT"/>
        </w:rPr>
      </w:pPr>
    </w:p>
    <w:p w:rsidR="007701A8" w:rsidRDefault="007701A8" w:rsidP="006E6CB9">
      <w:pPr>
        <w:tabs>
          <w:tab w:val="left" w:pos="424"/>
        </w:tabs>
        <w:jc w:val="both"/>
        <w:rPr>
          <w:rFonts w:cs="Arial"/>
          <w:lang w:val="pt-PT"/>
        </w:rPr>
      </w:pPr>
    </w:p>
    <w:p w:rsidR="007701A8" w:rsidRDefault="007701A8" w:rsidP="006E6CB9">
      <w:pPr>
        <w:tabs>
          <w:tab w:val="left" w:pos="424"/>
        </w:tabs>
        <w:jc w:val="both"/>
        <w:rPr>
          <w:rFonts w:cs="Arial"/>
          <w:lang w:val="pt-PT"/>
        </w:rPr>
      </w:pPr>
    </w:p>
    <w:p w:rsidR="007701A8" w:rsidRDefault="007701A8" w:rsidP="006E6CB9">
      <w:pPr>
        <w:tabs>
          <w:tab w:val="left" w:pos="424"/>
        </w:tabs>
        <w:jc w:val="both"/>
        <w:rPr>
          <w:rFonts w:cs="Arial"/>
          <w:lang w:val="pt-PT"/>
        </w:rPr>
      </w:pPr>
    </w:p>
    <w:p w:rsidR="007701A8" w:rsidRDefault="007701A8" w:rsidP="006E6CB9">
      <w:pPr>
        <w:tabs>
          <w:tab w:val="left" w:pos="424"/>
        </w:tabs>
        <w:jc w:val="both"/>
        <w:rPr>
          <w:rFonts w:cs="Arial"/>
          <w:lang w:val="pt-PT"/>
        </w:rPr>
      </w:pPr>
    </w:p>
    <w:p w:rsidR="007701A8" w:rsidRPr="00376D1C" w:rsidRDefault="007701A8" w:rsidP="006E6CB9">
      <w:pPr>
        <w:tabs>
          <w:tab w:val="left" w:pos="424"/>
        </w:tabs>
        <w:jc w:val="both"/>
        <w:rPr>
          <w:rFonts w:cs="Arial"/>
          <w:lang w:val="pt-PT"/>
        </w:rPr>
      </w:pPr>
    </w:p>
    <w:p w:rsidR="006E6CB9" w:rsidRPr="00376D1C" w:rsidRDefault="006E6CB9" w:rsidP="006E6CB9">
      <w:pPr>
        <w:tabs>
          <w:tab w:val="left" w:pos="424"/>
        </w:tabs>
        <w:jc w:val="both"/>
        <w:rPr>
          <w:rFonts w:cs="Arial"/>
          <w:lang w:val="pt-PT"/>
        </w:rPr>
      </w:pPr>
    </w:p>
    <w:p w:rsidR="006E6CB9" w:rsidRPr="00376D1C" w:rsidRDefault="006E6CB9" w:rsidP="006E6CB9">
      <w:pPr>
        <w:tabs>
          <w:tab w:val="left" w:pos="424"/>
        </w:tabs>
        <w:jc w:val="both"/>
        <w:rPr>
          <w:rFonts w:cs="Arial"/>
          <w:lang w:val="pt-PT"/>
        </w:rPr>
      </w:pPr>
    </w:p>
    <w:p w:rsidR="006E6CB9" w:rsidRPr="00376D1C" w:rsidRDefault="006E6CB9" w:rsidP="006E6CB9">
      <w:pPr>
        <w:tabs>
          <w:tab w:val="left" w:pos="424"/>
        </w:tabs>
        <w:jc w:val="both"/>
        <w:rPr>
          <w:rFonts w:cs="Arial"/>
          <w:lang w:val="pt-PT"/>
        </w:rPr>
      </w:pPr>
    </w:p>
    <w:p w:rsidR="006E6CB9" w:rsidRPr="00376D1C" w:rsidRDefault="006E6CB9" w:rsidP="006E6CB9">
      <w:pPr>
        <w:tabs>
          <w:tab w:val="left" w:pos="424"/>
        </w:tabs>
        <w:jc w:val="both"/>
        <w:rPr>
          <w:rFonts w:cs="Arial"/>
          <w:lang w:val="pt-PT"/>
        </w:rPr>
      </w:pPr>
    </w:p>
    <w:p w:rsidR="006E6CB9" w:rsidRPr="00927EAF" w:rsidRDefault="006E6CB9" w:rsidP="00927EAF">
      <w:pPr>
        <w:rPr>
          <w:b/>
          <w:lang w:val="pt-PT"/>
        </w:rPr>
      </w:pPr>
      <w:r w:rsidRPr="00927EAF">
        <w:rPr>
          <w:b/>
          <w:lang w:val="pt-PT"/>
        </w:rPr>
        <w:t>Bibliografia (referências usadas para o desenvolvimento do conteúdo):</w:t>
      </w:r>
    </w:p>
    <w:p w:rsidR="006E6CB9" w:rsidRPr="00376D1C" w:rsidRDefault="006E6CB9" w:rsidP="006E6CB9">
      <w:pPr>
        <w:rPr>
          <w:lang w:val="pt-PT"/>
        </w:rPr>
      </w:pPr>
      <w:r w:rsidRPr="00376D1C">
        <w:rPr>
          <w:lang w:val="en-GB"/>
        </w:rPr>
        <w:t xml:space="preserve">Brunton LL, Lazo JS, Parker KL. </w:t>
      </w:r>
      <w:r w:rsidRPr="00376D1C">
        <w:rPr>
          <w:lang w:val="pt-PT"/>
        </w:rPr>
        <w:t>Goodman e Gilman - As bases farmacológicas da terapêutica. 11 Edição. Brasil: Mcgraw-Hill; 2006.</w:t>
      </w:r>
    </w:p>
    <w:p w:rsidR="006E6CB9" w:rsidRPr="00376D1C" w:rsidRDefault="006E6CB9" w:rsidP="006E6CB9">
      <w:pPr>
        <w:rPr>
          <w:lang w:val="pt-PT"/>
        </w:rPr>
      </w:pPr>
      <w:r w:rsidRPr="00376D1C">
        <w:rPr>
          <w:lang w:val="pt-PT"/>
        </w:rPr>
        <w:t>Katzung B. Farmacologia básica e clínica. 9 Edição. Brasil: Guanabara Koogan; 2006.</w:t>
      </w:r>
    </w:p>
    <w:p w:rsidR="006E6CB9" w:rsidRPr="00376D1C" w:rsidRDefault="006E6CB9" w:rsidP="006E6CB9">
      <w:pPr>
        <w:rPr>
          <w:lang w:val="pt-PT"/>
        </w:rPr>
      </w:pPr>
      <w:r w:rsidRPr="00376D1C">
        <w:rPr>
          <w:lang w:val="pt-PT"/>
        </w:rPr>
        <w:t>MISAU. Formulário Nacional de Medicamentos. 5ª edição. Maputo. +</w:t>
      </w:r>
    </w:p>
    <w:p w:rsidR="006E6CB9" w:rsidRPr="00376D1C" w:rsidRDefault="006E6CB9" w:rsidP="006E6CB9">
      <w:pPr>
        <w:rPr>
          <w:lang w:val="pt-PT"/>
        </w:rPr>
      </w:pPr>
      <w:r w:rsidRPr="00376D1C">
        <w:rPr>
          <w:lang w:val="pt-PT"/>
        </w:rPr>
        <w:t xml:space="preserve">Nelson DL, Cox MM. Princípios de bioquímica do Lehninger. 4 edição. W.H. Freeman; 2004. </w:t>
      </w:r>
    </w:p>
    <w:p w:rsidR="006E6CB9" w:rsidRPr="00376D1C" w:rsidRDefault="006E6CB9" w:rsidP="006E6CB9">
      <w:pPr>
        <w:tabs>
          <w:tab w:val="left" w:pos="244"/>
        </w:tabs>
        <w:outlineLvl w:val="0"/>
        <w:rPr>
          <w:rFonts w:cs="Arial"/>
          <w:lang w:val="pt-PT"/>
        </w:rPr>
      </w:pPr>
      <w:r w:rsidRPr="00376D1C">
        <w:rPr>
          <w:rFonts w:cs="Arial"/>
          <w:lang w:val="pt-PT"/>
        </w:rPr>
        <w:br w:type="page"/>
      </w:r>
    </w:p>
    <w:p w:rsidR="006E6CB9" w:rsidRPr="006E6CB9" w:rsidRDefault="005F3F7B" w:rsidP="005F3F7B">
      <w:pPr>
        <w:pStyle w:val="TM-1n"/>
        <w:numPr>
          <w:ilvl w:val="0"/>
          <w:numId w:val="0"/>
        </w:numPr>
        <w:shd w:val="clear" w:color="auto" w:fill="C6D9F1"/>
        <w:tabs>
          <w:tab w:val="clear" w:pos="9072"/>
          <w:tab w:val="left" w:pos="284"/>
          <w:tab w:val="num" w:pos="927"/>
        </w:tabs>
        <w:rPr>
          <w:sz w:val="22"/>
          <w:szCs w:val="22"/>
        </w:rPr>
      </w:pPr>
      <w:r>
        <w:rPr>
          <w:sz w:val="22"/>
          <w:szCs w:val="22"/>
        </w:rPr>
        <w:lastRenderedPageBreak/>
        <w:t xml:space="preserve">BLOCO 1: </w:t>
      </w:r>
      <w:r w:rsidR="006E6CB9" w:rsidRPr="006E6CB9">
        <w:rPr>
          <w:sz w:val="22"/>
          <w:szCs w:val="22"/>
        </w:rPr>
        <w:t>INTRODUÇÃO A AULA</w:t>
      </w:r>
    </w:p>
    <w:p w:rsidR="006E6CB9" w:rsidRPr="00376D1C" w:rsidRDefault="006E6CB9" w:rsidP="00C52E09">
      <w:pPr>
        <w:pStyle w:val="TM-2n"/>
        <w:numPr>
          <w:ilvl w:val="1"/>
          <w:numId w:val="264"/>
        </w:numPr>
        <w:spacing w:before="120" w:after="0" w:line="276" w:lineRule="auto"/>
      </w:pPr>
      <w:r w:rsidRPr="00376D1C">
        <w:t>Apresentação do tópico, conteúdos e objectivos de aprendizagem.</w:t>
      </w:r>
    </w:p>
    <w:p w:rsidR="006E6CB9" w:rsidRPr="00376D1C" w:rsidRDefault="006E6CB9" w:rsidP="00C52E09">
      <w:pPr>
        <w:pStyle w:val="TM-2n"/>
        <w:numPr>
          <w:ilvl w:val="1"/>
          <w:numId w:val="264"/>
        </w:numPr>
        <w:spacing w:before="120" w:after="0" w:line="276" w:lineRule="auto"/>
        <w:ind w:left="446" w:hanging="446"/>
      </w:pPr>
      <w:r w:rsidRPr="00376D1C">
        <w:t>Apresentação da estrutura da aula.</w:t>
      </w:r>
    </w:p>
    <w:p w:rsidR="006E6CB9" w:rsidRDefault="006E6CB9" w:rsidP="00C52E09">
      <w:pPr>
        <w:pStyle w:val="TM-2n"/>
        <w:numPr>
          <w:ilvl w:val="1"/>
          <w:numId w:val="264"/>
        </w:numPr>
        <w:spacing w:before="120" w:after="0" w:line="276" w:lineRule="auto"/>
        <w:ind w:left="446" w:hanging="446"/>
      </w:pPr>
      <w:r w:rsidRPr="00376D1C">
        <w:t xml:space="preserve">Apresentação da bibliografia que o aluno deverá consultar para ampliar </w:t>
      </w:r>
      <w:r>
        <w:t xml:space="preserve">os </w:t>
      </w:r>
      <w:r w:rsidRPr="00376D1C">
        <w:t>conhecimentos.</w:t>
      </w:r>
    </w:p>
    <w:p w:rsidR="005F3F7B" w:rsidRPr="00376D1C" w:rsidRDefault="005F3F7B" w:rsidP="005F3F7B">
      <w:pPr>
        <w:pStyle w:val="TM-2n"/>
        <w:numPr>
          <w:ilvl w:val="0"/>
          <w:numId w:val="0"/>
        </w:numPr>
        <w:spacing w:before="120" w:after="0" w:line="276" w:lineRule="auto"/>
        <w:ind w:left="446"/>
      </w:pPr>
    </w:p>
    <w:p w:rsidR="006E6CB9" w:rsidRPr="00376D1C" w:rsidRDefault="005F3F7B" w:rsidP="005F3F7B">
      <w:pPr>
        <w:pStyle w:val="TM-1n"/>
        <w:numPr>
          <w:ilvl w:val="0"/>
          <w:numId w:val="0"/>
        </w:numPr>
        <w:shd w:val="clear" w:color="auto" w:fill="C6D9F1"/>
        <w:tabs>
          <w:tab w:val="clear" w:pos="9072"/>
        </w:tabs>
        <w:rPr>
          <w:sz w:val="22"/>
          <w:szCs w:val="22"/>
        </w:rPr>
      </w:pPr>
      <w:r>
        <w:rPr>
          <w:sz w:val="22"/>
          <w:szCs w:val="22"/>
        </w:rPr>
        <w:t xml:space="preserve">BLOCO 2: </w:t>
      </w:r>
      <w:r w:rsidR="006E6CB9" w:rsidRPr="00376D1C">
        <w:rPr>
          <w:sz w:val="22"/>
          <w:szCs w:val="22"/>
        </w:rPr>
        <w:t>FÁRMACOS USADOS NO APARELHO GÉNITO-URINÁRIO</w:t>
      </w:r>
    </w:p>
    <w:p w:rsidR="006E6CB9" w:rsidRPr="00376D1C" w:rsidRDefault="006E6CB9" w:rsidP="006E6CB9">
      <w:pPr>
        <w:pStyle w:val="TM-2n"/>
        <w:numPr>
          <w:ilvl w:val="0"/>
          <w:numId w:val="0"/>
        </w:numPr>
        <w:spacing w:before="120" w:after="0" w:line="276" w:lineRule="auto"/>
      </w:pPr>
      <w:r w:rsidRPr="00376D1C">
        <w:t>Os fármacos usados no aparelho genito-urinário são variáveis de acordo com a etiologia do distúrbio ou condição que afecta este aparelho. Podem ser antimicrobianos, analgésicos/anti-inflamatórios, entre outros. Neste bloco, vai-se abordar os fármacos usados especificamente no aparelho genital feminino e os diuréticos.</w:t>
      </w:r>
    </w:p>
    <w:p w:rsidR="006E6CB9" w:rsidRPr="00376D1C" w:rsidRDefault="006E6CB9" w:rsidP="006E6CB9">
      <w:pPr>
        <w:pStyle w:val="TM-2n"/>
        <w:numPr>
          <w:ilvl w:val="0"/>
          <w:numId w:val="0"/>
        </w:numPr>
        <w:spacing w:before="120" w:after="0" w:line="276" w:lineRule="auto"/>
      </w:pPr>
      <w:r w:rsidRPr="00376D1C">
        <w:t>Os fármacos usados no aparelho genital feminino podem ser divididos em 2 gr</w:t>
      </w:r>
      <w:r>
        <w:t xml:space="preserve">andes grupos de uso </w:t>
      </w:r>
      <w:r w:rsidRPr="00376D1C">
        <w:t>corrente para o nível do TMG:</w:t>
      </w:r>
    </w:p>
    <w:p w:rsidR="006E6CB9" w:rsidRPr="00376D1C" w:rsidRDefault="006E6CB9" w:rsidP="00C52E09">
      <w:pPr>
        <w:pStyle w:val="TM-2n"/>
        <w:numPr>
          <w:ilvl w:val="0"/>
          <w:numId w:val="222"/>
        </w:numPr>
        <w:spacing w:before="120" w:after="0" w:line="276" w:lineRule="auto"/>
      </w:pPr>
      <w:r w:rsidRPr="00376D1C">
        <w:t>Oxitócicos e miorelaxantes uterinos</w:t>
      </w:r>
    </w:p>
    <w:p w:rsidR="006E6CB9" w:rsidRPr="00376D1C" w:rsidRDefault="006E6CB9" w:rsidP="00C52E09">
      <w:pPr>
        <w:pStyle w:val="TM-2n"/>
        <w:numPr>
          <w:ilvl w:val="0"/>
          <w:numId w:val="222"/>
        </w:numPr>
        <w:spacing w:before="120" w:after="0" w:line="276" w:lineRule="auto"/>
      </w:pPr>
      <w:r w:rsidRPr="00376D1C">
        <w:t>Hormonas sexuais moduladores do sistema genital</w:t>
      </w:r>
    </w:p>
    <w:p w:rsidR="006E6CB9" w:rsidRPr="00376D1C" w:rsidRDefault="006E6CB9" w:rsidP="006E6CB9">
      <w:pPr>
        <w:pStyle w:val="TM-4n"/>
        <w:numPr>
          <w:ilvl w:val="0"/>
          <w:numId w:val="0"/>
        </w:numPr>
        <w:spacing w:before="120" w:after="0" w:line="276" w:lineRule="auto"/>
        <w:rPr>
          <w:b/>
        </w:rPr>
      </w:pPr>
      <w:r w:rsidRPr="00376D1C">
        <w:rPr>
          <w:b/>
        </w:rPr>
        <w:t>Oxitócicos e miorelaxantes uterinos</w:t>
      </w:r>
    </w:p>
    <w:p w:rsidR="006E6CB9" w:rsidRPr="00376D1C" w:rsidRDefault="006E6CB9" w:rsidP="006E6CB9">
      <w:pPr>
        <w:pStyle w:val="TM-4n"/>
        <w:numPr>
          <w:ilvl w:val="0"/>
          <w:numId w:val="0"/>
        </w:numPr>
        <w:spacing w:before="120" w:after="0" w:line="276" w:lineRule="auto"/>
        <w:rPr>
          <w:b/>
        </w:rPr>
      </w:pPr>
      <w:r w:rsidRPr="00376D1C">
        <w:rPr>
          <w:b/>
        </w:rPr>
        <w:t>Oxitócicos</w:t>
      </w:r>
    </w:p>
    <w:p w:rsidR="006E6CB9" w:rsidRPr="00376D1C" w:rsidRDefault="006E6CB9" w:rsidP="00C52E09">
      <w:pPr>
        <w:pStyle w:val="TM-2n"/>
        <w:numPr>
          <w:ilvl w:val="1"/>
          <w:numId w:val="265"/>
        </w:numPr>
        <w:spacing w:before="120" w:after="0" w:line="276" w:lineRule="auto"/>
      </w:pPr>
      <w:r w:rsidRPr="00376D1C">
        <w:t xml:space="preserve">Oxitócicos são um grupo de fármacos que aumentam as contracções do músculo uterino. São também chamados de uterotónicos. São utilizados na indução do parto e no tratamento de determinadas hemorragias uterinas. </w:t>
      </w:r>
    </w:p>
    <w:p w:rsidR="006E6CB9" w:rsidRPr="00376D1C" w:rsidRDefault="006E6CB9" w:rsidP="00C52E09">
      <w:pPr>
        <w:pStyle w:val="TM-3n"/>
        <w:numPr>
          <w:ilvl w:val="2"/>
          <w:numId w:val="265"/>
        </w:numPr>
        <w:tabs>
          <w:tab w:val="clear" w:pos="1276"/>
        </w:tabs>
        <w:spacing w:before="120" w:after="0" w:line="276" w:lineRule="auto"/>
        <w:ind w:left="1080" w:hanging="630"/>
      </w:pPr>
      <w:r w:rsidRPr="00144756">
        <w:rPr>
          <w:b/>
        </w:rPr>
        <w:t>Oxitocina</w:t>
      </w:r>
      <w:r w:rsidRPr="00376D1C">
        <w:t xml:space="preserve"> </w:t>
      </w:r>
    </w:p>
    <w:p w:rsidR="006E6CB9" w:rsidRPr="00376D1C" w:rsidRDefault="006E6CB9" w:rsidP="00C52E09">
      <w:pPr>
        <w:pStyle w:val="TM-3n"/>
        <w:numPr>
          <w:ilvl w:val="0"/>
          <w:numId w:val="225"/>
        </w:numPr>
        <w:tabs>
          <w:tab w:val="clear" w:pos="1276"/>
        </w:tabs>
        <w:spacing w:before="120" w:after="0" w:line="276" w:lineRule="auto"/>
        <w:ind w:hanging="90"/>
      </w:pPr>
      <w:r w:rsidRPr="00376D1C">
        <w:t>Mecanismo de acção: actuam estimulando a contracção do músculo liso do útero e dos vasos sanguíneos.</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Forma farmacêutica e via de administração: injectável, por via EV ou IM</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Indicações: indução e aumento do trabalho do parto; prevenção e tratamento da hemorragia pós-aborto e pós-parto.</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 xml:space="preserve">Dose e dosagem: </w:t>
      </w:r>
    </w:p>
    <w:p w:rsidR="006E6CB9" w:rsidRPr="00376D1C" w:rsidRDefault="006E6CB9" w:rsidP="00C52E09">
      <w:pPr>
        <w:pStyle w:val="TM-4n"/>
        <w:numPr>
          <w:ilvl w:val="2"/>
          <w:numId w:val="221"/>
        </w:numPr>
        <w:tabs>
          <w:tab w:val="clear" w:pos="1134"/>
        </w:tabs>
        <w:spacing w:before="120" w:after="0" w:line="276" w:lineRule="auto"/>
      </w:pPr>
      <w:r w:rsidRPr="00376D1C">
        <w:t>Indução do trabalho do parto: 5 UI diluídos em 1000 ml de dextrose a 5%</w:t>
      </w:r>
    </w:p>
    <w:p w:rsidR="006E6CB9" w:rsidRPr="00376D1C" w:rsidRDefault="006E6CB9" w:rsidP="00C52E09">
      <w:pPr>
        <w:pStyle w:val="TM-4n"/>
        <w:numPr>
          <w:ilvl w:val="2"/>
          <w:numId w:val="221"/>
        </w:numPr>
        <w:tabs>
          <w:tab w:val="clear" w:pos="1134"/>
        </w:tabs>
        <w:spacing w:before="120" w:after="0" w:line="276" w:lineRule="auto"/>
      </w:pPr>
      <w:r w:rsidRPr="00376D1C">
        <w:t>Na prevenção e tratamento da hemorragia pós-aborto e pós-parto: 5 – 10 UI IM</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Detalhes sobre o manuseio deste medicamento será abordado na disciplina de Saúde Sexual e Reprodutiva II (SSR II).</w:t>
      </w:r>
    </w:p>
    <w:p w:rsidR="006E6CB9" w:rsidRPr="00376D1C" w:rsidRDefault="006E6CB9" w:rsidP="006E6CB9">
      <w:pPr>
        <w:pStyle w:val="TM-3n"/>
        <w:numPr>
          <w:ilvl w:val="0"/>
          <w:numId w:val="0"/>
        </w:numPr>
        <w:tabs>
          <w:tab w:val="clear" w:pos="1276"/>
        </w:tabs>
        <w:spacing w:before="120" w:after="0" w:line="276" w:lineRule="auto"/>
        <w:rPr>
          <w:b/>
        </w:rPr>
      </w:pPr>
      <w:r w:rsidRPr="00376D1C">
        <w:rPr>
          <w:b/>
        </w:rPr>
        <w:t>Miorelaxantes uterinos</w:t>
      </w:r>
    </w:p>
    <w:p w:rsidR="006E6CB9" w:rsidRPr="00376D1C" w:rsidRDefault="006E6CB9" w:rsidP="006E6CB9">
      <w:pPr>
        <w:pStyle w:val="TM-3n"/>
        <w:numPr>
          <w:ilvl w:val="0"/>
          <w:numId w:val="0"/>
        </w:numPr>
        <w:tabs>
          <w:tab w:val="clear" w:pos="1276"/>
        </w:tabs>
        <w:spacing w:before="120" w:after="0" w:line="276" w:lineRule="auto"/>
      </w:pPr>
      <w:r w:rsidRPr="00376D1C">
        <w:t>Miorelaxantes Uterinos são um grupo de fármacos usados para provocar o relaxamento da musculatura lisa do útero, reduzindo ou evitando as contracções. São usados na prevenção do aborto ou do parto antes do tempo (parto pré-termo).</w:t>
      </w:r>
    </w:p>
    <w:p w:rsidR="006E6CB9" w:rsidRPr="00144756" w:rsidRDefault="006E6CB9" w:rsidP="00C52E09">
      <w:pPr>
        <w:pStyle w:val="TM-3n"/>
        <w:numPr>
          <w:ilvl w:val="2"/>
          <w:numId w:val="265"/>
        </w:numPr>
        <w:tabs>
          <w:tab w:val="clear" w:pos="1276"/>
          <w:tab w:val="left" w:pos="360"/>
        </w:tabs>
        <w:spacing w:before="120" w:after="0" w:line="276" w:lineRule="auto"/>
        <w:ind w:left="1080" w:hanging="630"/>
        <w:rPr>
          <w:b/>
        </w:rPr>
      </w:pPr>
      <w:r w:rsidRPr="00144756">
        <w:rPr>
          <w:b/>
        </w:rPr>
        <w:t xml:space="preserve">Terbutalina </w:t>
      </w:r>
    </w:p>
    <w:p w:rsidR="006E6CB9" w:rsidRPr="00376D1C" w:rsidRDefault="006E6CB9" w:rsidP="00C52E09">
      <w:pPr>
        <w:pStyle w:val="TM-3n"/>
        <w:numPr>
          <w:ilvl w:val="0"/>
          <w:numId w:val="225"/>
        </w:numPr>
        <w:tabs>
          <w:tab w:val="clear" w:pos="1276"/>
        </w:tabs>
        <w:spacing w:before="120" w:after="0" w:line="276" w:lineRule="auto"/>
        <w:ind w:hanging="90"/>
      </w:pPr>
      <w:r w:rsidRPr="00376D1C">
        <w:t>Mecanismo de acção: actua a nível de receptores (ß2) presentes nas células do músculo liso do útero, produzindo relaxamento.</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Forma farmacêutica e via de administração: comprimidos, por via oral</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lastRenderedPageBreak/>
        <w:t>Indicações: Indicado na prevenção do aborto no segundo trimestre, e do parto pré-termo não complicado.</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Dose e dosagem:  2,5-5 mg de 6 em 6 horas.</w:t>
      </w:r>
    </w:p>
    <w:p w:rsidR="006E6CB9" w:rsidRPr="00376D1C" w:rsidRDefault="006E6CB9" w:rsidP="009352F0">
      <w:pPr>
        <w:pStyle w:val="TM-4n"/>
        <w:numPr>
          <w:ilvl w:val="0"/>
          <w:numId w:val="0"/>
        </w:numPr>
        <w:spacing w:before="120" w:after="0" w:line="276" w:lineRule="auto"/>
        <w:ind w:left="458" w:hanging="8"/>
      </w:pPr>
      <w:r w:rsidRPr="00F46483">
        <w:rPr>
          <w:b/>
        </w:rPr>
        <w:t>2.1.3</w:t>
      </w:r>
      <w:r w:rsidRPr="00376D1C">
        <w:t xml:space="preserve"> </w:t>
      </w:r>
      <w:r w:rsidRPr="00144756">
        <w:rPr>
          <w:b/>
        </w:rPr>
        <w:t>Salbutamol</w:t>
      </w:r>
      <w:r w:rsidRPr="00376D1C">
        <w:t xml:space="preserve"> </w:t>
      </w:r>
    </w:p>
    <w:p w:rsidR="006E6CB9" w:rsidRPr="00376D1C" w:rsidRDefault="006E6CB9" w:rsidP="00C52E09">
      <w:pPr>
        <w:pStyle w:val="TM-4n"/>
        <w:numPr>
          <w:ilvl w:val="0"/>
          <w:numId w:val="225"/>
        </w:numPr>
        <w:tabs>
          <w:tab w:val="clear" w:pos="1134"/>
        </w:tabs>
        <w:spacing w:before="120" w:after="0" w:line="276" w:lineRule="auto"/>
        <w:ind w:left="1440"/>
      </w:pPr>
      <w:r w:rsidRPr="00376D1C">
        <w:t>Mecanismo de acção: actua ao nível de receptores das células do músculo liso do útero, provocando relaxamento</w:t>
      </w:r>
    </w:p>
    <w:p w:rsidR="006E6CB9" w:rsidRPr="00376D1C" w:rsidRDefault="006E6CB9" w:rsidP="00C52E09">
      <w:pPr>
        <w:pStyle w:val="TM-4n"/>
        <w:numPr>
          <w:ilvl w:val="0"/>
          <w:numId w:val="223"/>
        </w:numPr>
        <w:tabs>
          <w:tab w:val="clear" w:pos="1134"/>
        </w:tabs>
        <w:spacing w:before="120" w:after="0" w:line="276" w:lineRule="auto"/>
        <w:ind w:left="1080" w:firstLine="0"/>
      </w:pPr>
      <w:r w:rsidRPr="00376D1C">
        <w:t>Forma farmacêutica: comprimidos e injectável, por via oral e IM ou EV</w:t>
      </w:r>
    </w:p>
    <w:p w:rsidR="006E6CB9" w:rsidRPr="00376D1C" w:rsidRDefault="006E6CB9" w:rsidP="00C52E09">
      <w:pPr>
        <w:pStyle w:val="TM-4n"/>
        <w:numPr>
          <w:ilvl w:val="0"/>
          <w:numId w:val="223"/>
        </w:numPr>
        <w:tabs>
          <w:tab w:val="clear" w:pos="1134"/>
        </w:tabs>
        <w:spacing w:before="120" w:after="0" w:line="276" w:lineRule="auto"/>
        <w:ind w:left="1080" w:firstLine="0"/>
      </w:pPr>
      <w:r w:rsidRPr="00376D1C">
        <w:t>Indicações: prevenção do parto prem</w:t>
      </w:r>
      <w:r>
        <w:t>a</w:t>
      </w:r>
      <w:r w:rsidRPr="00376D1C">
        <w:t>turo não complicado; prevenção de ruptura uterina e alívio do sofrimento fetal por hipertonia (aumento do tónus) do útero</w:t>
      </w:r>
    </w:p>
    <w:p w:rsidR="006E6CB9" w:rsidRPr="00376D1C" w:rsidRDefault="006E6CB9" w:rsidP="00C52E09">
      <w:pPr>
        <w:pStyle w:val="TM-4n"/>
        <w:numPr>
          <w:ilvl w:val="0"/>
          <w:numId w:val="223"/>
        </w:numPr>
        <w:tabs>
          <w:tab w:val="clear" w:pos="1134"/>
        </w:tabs>
        <w:spacing w:before="120" w:after="0" w:line="276" w:lineRule="auto"/>
        <w:ind w:left="1080" w:firstLine="0"/>
      </w:pPr>
      <w:r w:rsidRPr="00376D1C">
        <w:t xml:space="preserve">Dose e dosagem: </w:t>
      </w:r>
    </w:p>
    <w:p w:rsidR="006E6CB9" w:rsidRPr="00376D1C" w:rsidRDefault="006E6CB9" w:rsidP="00C52E09">
      <w:pPr>
        <w:pStyle w:val="TM-4n"/>
        <w:numPr>
          <w:ilvl w:val="1"/>
          <w:numId w:val="223"/>
        </w:numPr>
        <w:tabs>
          <w:tab w:val="clear" w:pos="1134"/>
        </w:tabs>
        <w:spacing w:before="120" w:after="0" w:line="276" w:lineRule="auto"/>
      </w:pPr>
      <w:r w:rsidRPr="00376D1C">
        <w:t xml:space="preserve">Na prevenção do parto prematuro: 2 a 4 mg de 6/6 horas ou de 8/8 horas, por via oral. </w:t>
      </w:r>
    </w:p>
    <w:p w:rsidR="006E6CB9" w:rsidRPr="00376D1C" w:rsidRDefault="006E6CB9" w:rsidP="00C52E09">
      <w:pPr>
        <w:pStyle w:val="TM-4n"/>
        <w:numPr>
          <w:ilvl w:val="1"/>
          <w:numId w:val="223"/>
        </w:numPr>
        <w:tabs>
          <w:tab w:val="clear" w:pos="1134"/>
        </w:tabs>
        <w:spacing w:before="120" w:after="0" w:line="276" w:lineRule="auto"/>
      </w:pPr>
      <w:r w:rsidRPr="00376D1C">
        <w:t>Os casos de prevenção de ruptura uterina ou sofrimento fetal por hipertonia do útero, será abordado na disciplina de SSR II</w:t>
      </w:r>
    </w:p>
    <w:p w:rsidR="006E6CB9" w:rsidRPr="00144756" w:rsidRDefault="006E6CB9" w:rsidP="00C52E09">
      <w:pPr>
        <w:pStyle w:val="TM-3n"/>
        <w:numPr>
          <w:ilvl w:val="2"/>
          <w:numId w:val="228"/>
        </w:numPr>
        <w:tabs>
          <w:tab w:val="clear" w:pos="1276"/>
        </w:tabs>
        <w:spacing w:before="120" w:after="0" w:line="276" w:lineRule="auto"/>
        <w:ind w:left="1080" w:hanging="630"/>
        <w:rPr>
          <w:b/>
        </w:rPr>
      </w:pPr>
      <w:r>
        <w:rPr>
          <w:b/>
        </w:rPr>
        <w:t>Sulfato de M</w:t>
      </w:r>
      <w:r w:rsidRPr="00144756">
        <w:rPr>
          <w:b/>
        </w:rPr>
        <w:t xml:space="preserve">agnésio </w:t>
      </w:r>
    </w:p>
    <w:p w:rsidR="006E6CB9" w:rsidRPr="00376D1C" w:rsidRDefault="006E6CB9" w:rsidP="00C52E09">
      <w:pPr>
        <w:pStyle w:val="TM-3n"/>
        <w:numPr>
          <w:ilvl w:val="0"/>
          <w:numId w:val="226"/>
        </w:numPr>
        <w:tabs>
          <w:tab w:val="clear" w:pos="1276"/>
        </w:tabs>
        <w:spacing w:before="120" w:after="0" w:line="276" w:lineRule="auto"/>
        <w:ind w:left="1080" w:firstLine="0"/>
      </w:pPr>
      <w:r w:rsidRPr="00376D1C">
        <w:t>Mecanismo de acção: actua relaxando as fibras musculares uterinas.</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Forma farmacêutica e via de administração: injectável, por via EV</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Indicações: prevenção do parto pré-termo não complicado; prevenção e tratamento de convulsões em mulheres grávidas com hipertensão arterial (pré-eclâmpsia e eclâmpsia).</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Dose e dosagem: 4 a 8 gramas (será detalhado na disciplina de Saúde Sexual e Reprodutiva II)</w:t>
      </w:r>
    </w:p>
    <w:p w:rsidR="006E6CB9" w:rsidRPr="00376D1C" w:rsidRDefault="006E6CB9" w:rsidP="006E6CB9">
      <w:pPr>
        <w:pStyle w:val="TM-4n"/>
        <w:numPr>
          <w:ilvl w:val="0"/>
          <w:numId w:val="0"/>
        </w:numPr>
        <w:spacing w:before="120" w:after="0" w:line="276" w:lineRule="auto"/>
        <w:rPr>
          <w:b/>
        </w:rPr>
      </w:pPr>
      <w:r w:rsidRPr="00376D1C">
        <w:rPr>
          <w:b/>
        </w:rPr>
        <w:t>Hormonas sexuais moduladores do sistema genital</w:t>
      </w:r>
    </w:p>
    <w:p w:rsidR="006E6CB9" w:rsidRPr="00376D1C" w:rsidRDefault="006E6CB9" w:rsidP="00C52E09">
      <w:pPr>
        <w:pStyle w:val="TM-2n"/>
        <w:numPr>
          <w:ilvl w:val="1"/>
          <w:numId w:val="265"/>
        </w:numPr>
        <w:spacing w:before="120" w:after="0" w:line="276" w:lineRule="auto"/>
        <w:ind w:left="450" w:hanging="450"/>
      </w:pPr>
      <w:r w:rsidRPr="00376D1C">
        <w:t>Contraceptivos hormonais. Grupo de fármacos de tipo hormonal que interferem no ciclo ovárico e impedem a ovulação.</w:t>
      </w:r>
    </w:p>
    <w:p w:rsidR="006E6CB9" w:rsidRPr="00376D1C" w:rsidRDefault="006E6CB9" w:rsidP="00C52E09">
      <w:pPr>
        <w:pStyle w:val="TM-3n"/>
        <w:numPr>
          <w:ilvl w:val="2"/>
          <w:numId w:val="265"/>
        </w:numPr>
        <w:tabs>
          <w:tab w:val="clear" w:pos="1276"/>
        </w:tabs>
        <w:spacing w:before="120" w:after="0" w:line="276" w:lineRule="auto"/>
        <w:ind w:left="1080" w:hanging="630"/>
      </w:pPr>
      <w:r w:rsidRPr="00144756">
        <w:rPr>
          <w:b/>
        </w:rPr>
        <w:t>Etinilestradiol e levonorgestrel</w:t>
      </w:r>
      <w:r w:rsidRPr="00376D1C">
        <w:t xml:space="preserve"> </w:t>
      </w:r>
    </w:p>
    <w:p w:rsidR="006E6CB9" w:rsidRPr="00376D1C" w:rsidRDefault="006E6CB9" w:rsidP="00C52E09">
      <w:pPr>
        <w:pStyle w:val="TM-3n"/>
        <w:numPr>
          <w:ilvl w:val="0"/>
          <w:numId w:val="226"/>
        </w:numPr>
        <w:tabs>
          <w:tab w:val="clear" w:pos="1276"/>
        </w:tabs>
        <w:spacing w:before="120" w:after="0" w:line="276" w:lineRule="auto"/>
        <w:ind w:hanging="90"/>
      </w:pPr>
      <w:r w:rsidRPr="00376D1C">
        <w:t>Mecanismo de acção: é uma combinação de duas hormonas, um estrogén</w:t>
      </w:r>
      <w:r>
        <w:t>i</w:t>
      </w:r>
      <w:r w:rsidRPr="00376D1C">
        <w:t>o e um progestágeno, que inibem a ovulação.</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Forma farmacêutica e via de administração: comprimidos, por via oral</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Indicações: primeira opção na contracepção com pílulas.</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Dose e dosagem: 30 µg de etinilestradiol e de 150 µg de levonorgestrel por dia, durante 21 dias, seguidos por uma pausa de 7 dias.</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Aparecem com os nomes comerciais de Microginon ou Lo-femenal</w:t>
      </w:r>
    </w:p>
    <w:p w:rsidR="006E6CB9" w:rsidRPr="00376D1C" w:rsidRDefault="006E6CB9" w:rsidP="00C52E09">
      <w:pPr>
        <w:pStyle w:val="TM-3n"/>
        <w:numPr>
          <w:ilvl w:val="2"/>
          <w:numId w:val="265"/>
        </w:numPr>
        <w:tabs>
          <w:tab w:val="clear" w:pos="1276"/>
        </w:tabs>
        <w:spacing w:before="120" w:after="0" w:line="276" w:lineRule="auto"/>
        <w:ind w:left="1080" w:hanging="630"/>
      </w:pPr>
      <w:r w:rsidRPr="00144756">
        <w:rPr>
          <w:b/>
        </w:rPr>
        <w:t>Levonorgestrel</w:t>
      </w:r>
    </w:p>
    <w:p w:rsidR="006E6CB9" w:rsidRPr="00376D1C" w:rsidRDefault="006E6CB9" w:rsidP="00C52E09">
      <w:pPr>
        <w:pStyle w:val="TM-3n"/>
        <w:numPr>
          <w:ilvl w:val="0"/>
          <w:numId w:val="226"/>
        </w:numPr>
        <w:tabs>
          <w:tab w:val="clear" w:pos="1276"/>
        </w:tabs>
        <w:spacing w:before="120" w:after="0" w:line="276" w:lineRule="auto"/>
        <w:ind w:hanging="90"/>
      </w:pPr>
      <w:r w:rsidRPr="00376D1C">
        <w:t>Mecanismo de acção: progestágeno que actua por espessamento do muco cervical  e inibição da ovulação.</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Forma farmacêutica e via de administração: comprimidos, por via oral</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Indicações: contracepção em mulheres com contra-indicação para receber estrogénios.</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Dose e dosagem: 30 µg por dia à mesma hora, iniciando no primeiro dia do ciclo menstrual, e sem interrupções.</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lastRenderedPageBreak/>
        <w:t>Aparece com os seguintes nomes: Microlut, “minipílula”.</w:t>
      </w:r>
    </w:p>
    <w:p w:rsidR="006E6CB9" w:rsidRPr="00144756" w:rsidRDefault="006E6CB9" w:rsidP="00C52E09">
      <w:pPr>
        <w:pStyle w:val="TM-3n"/>
        <w:numPr>
          <w:ilvl w:val="2"/>
          <w:numId w:val="265"/>
        </w:numPr>
        <w:tabs>
          <w:tab w:val="clear" w:pos="1276"/>
        </w:tabs>
        <w:spacing w:before="120" w:after="0" w:line="276" w:lineRule="auto"/>
        <w:ind w:left="1080" w:hanging="630"/>
        <w:rPr>
          <w:b/>
        </w:rPr>
      </w:pPr>
      <w:r>
        <w:rPr>
          <w:b/>
        </w:rPr>
        <w:t>Medroxiprogesterona</w:t>
      </w:r>
    </w:p>
    <w:p w:rsidR="006E6CB9" w:rsidRPr="00376D1C" w:rsidRDefault="006E6CB9" w:rsidP="00C52E09">
      <w:pPr>
        <w:pStyle w:val="TM-3n"/>
        <w:numPr>
          <w:ilvl w:val="0"/>
          <w:numId w:val="226"/>
        </w:numPr>
        <w:tabs>
          <w:tab w:val="clear" w:pos="1276"/>
        </w:tabs>
        <w:spacing w:before="120" w:after="0" w:line="276" w:lineRule="auto"/>
        <w:ind w:hanging="90"/>
      </w:pPr>
      <w:r w:rsidRPr="00376D1C">
        <w:t>Mecanismo de acção: progestágeno que actua por inibição da ovulação.</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Indicado na contracepção de longa duração em mulheres multíparas que não podem utilizar outros métodos.</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Forma farmacêutica e via de administração: injectável, por via IM</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Dose e dosagem: 150 mg em cada 3 meses, com administração intramuscular nos primeiros 5 dias do ciclo menstrual.</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Aparece com os nomes comerciais de DEPOPROVERA</w:t>
      </w:r>
    </w:p>
    <w:p w:rsidR="006E6CB9" w:rsidRPr="00376D1C" w:rsidRDefault="006E6CB9" w:rsidP="006E6CB9">
      <w:pPr>
        <w:pStyle w:val="TM-4n"/>
        <w:numPr>
          <w:ilvl w:val="0"/>
          <w:numId w:val="0"/>
        </w:numPr>
        <w:spacing w:before="120" w:after="0" w:line="276" w:lineRule="auto"/>
      </w:pPr>
    </w:p>
    <w:p w:rsidR="006E6CB9" w:rsidRPr="00376D1C" w:rsidRDefault="006E6CB9" w:rsidP="006E6CB9">
      <w:pPr>
        <w:pStyle w:val="TM-4n"/>
        <w:numPr>
          <w:ilvl w:val="0"/>
          <w:numId w:val="0"/>
        </w:numPr>
        <w:spacing w:before="120" w:after="0" w:line="276" w:lineRule="auto"/>
      </w:pPr>
      <w:r w:rsidRPr="00376D1C">
        <w:rPr>
          <w:b/>
        </w:rPr>
        <w:t>DIURÉTICOS</w:t>
      </w:r>
    </w:p>
    <w:p w:rsidR="006E6CB9" w:rsidRPr="00376D1C" w:rsidRDefault="006E6CB9" w:rsidP="00C52E09">
      <w:pPr>
        <w:pStyle w:val="TM-2n"/>
        <w:numPr>
          <w:ilvl w:val="1"/>
          <w:numId w:val="265"/>
        </w:numPr>
        <w:spacing w:before="120" w:after="0" w:line="276" w:lineRule="auto"/>
        <w:ind w:left="450" w:hanging="450"/>
      </w:pPr>
      <w:r w:rsidRPr="00144756">
        <w:rPr>
          <w:b/>
        </w:rPr>
        <w:t>Diuréticos</w:t>
      </w:r>
      <w:r w:rsidRPr="00376D1C">
        <w:t xml:space="preserve">. São fármacos que actuam sobre o rim, aumentando a produção de urina. Geralmente, utilizam-se para forçar a diurese (produção de urina pelo rim) em determinadas condições clínicas. São particularmente úteis no tratamento da hipertensão arterial, insuficiência cardíaca, cirrose hepática, e em algumas patologias renais. </w:t>
      </w:r>
    </w:p>
    <w:p w:rsidR="006E6CB9" w:rsidRPr="00376D1C" w:rsidRDefault="006E6CB9" w:rsidP="006E6CB9">
      <w:pPr>
        <w:pStyle w:val="TM-3n"/>
        <w:numPr>
          <w:ilvl w:val="0"/>
          <w:numId w:val="0"/>
        </w:numPr>
        <w:tabs>
          <w:tab w:val="clear" w:pos="1276"/>
        </w:tabs>
        <w:spacing w:before="120" w:after="0" w:line="276" w:lineRule="auto"/>
        <w:ind w:left="851" w:hanging="284"/>
      </w:pPr>
      <w:r w:rsidRPr="00376D1C">
        <w:t xml:space="preserve">Seus mecanismos de acção são: </w:t>
      </w:r>
    </w:p>
    <w:p w:rsidR="006E6CB9" w:rsidRPr="00376D1C" w:rsidRDefault="006E6CB9" w:rsidP="00C52E09">
      <w:pPr>
        <w:pStyle w:val="TM-3n"/>
        <w:numPr>
          <w:ilvl w:val="0"/>
          <w:numId w:val="224"/>
        </w:numPr>
        <w:tabs>
          <w:tab w:val="clear" w:pos="1276"/>
        </w:tabs>
        <w:spacing w:before="120" w:after="0" w:line="276" w:lineRule="auto"/>
      </w:pPr>
      <w:r w:rsidRPr="00376D1C">
        <w:t>Inicialmente por diminuição do volume plasmático (aumentando a excreção de sódio e água pelos rins) e débito cardíaco (volume de sangue bombeado pelo coração)</w:t>
      </w:r>
    </w:p>
    <w:p w:rsidR="006E6CB9" w:rsidRDefault="006E6CB9" w:rsidP="00C52E09">
      <w:pPr>
        <w:pStyle w:val="TM-3n"/>
        <w:numPr>
          <w:ilvl w:val="0"/>
          <w:numId w:val="224"/>
        </w:numPr>
        <w:tabs>
          <w:tab w:val="clear" w:pos="1276"/>
        </w:tabs>
        <w:spacing w:before="120" w:after="0" w:line="276" w:lineRule="auto"/>
      </w:pPr>
      <w:r w:rsidRPr="00376D1C">
        <w:t>Mas, a longo termo, seu maior efeito hemodinâmico é através da redução da resistência vascular periférica (vasodilatação)</w:t>
      </w:r>
    </w:p>
    <w:p w:rsidR="006E6CB9" w:rsidRPr="009F286B" w:rsidRDefault="006E6CB9" w:rsidP="00C52E09">
      <w:pPr>
        <w:pStyle w:val="TM-3n"/>
        <w:numPr>
          <w:ilvl w:val="2"/>
          <w:numId w:val="265"/>
        </w:numPr>
        <w:tabs>
          <w:tab w:val="clear" w:pos="1276"/>
        </w:tabs>
        <w:spacing w:before="120" w:after="0" w:line="276" w:lineRule="auto"/>
        <w:ind w:left="1080" w:hanging="630"/>
        <w:rPr>
          <w:b/>
        </w:rPr>
      </w:pPr>
      <w:r w:rsidRPr="009F286B">
        <w:rPr>
          <w:b/>
        </w:rPr>
        <w:t>Amilorido</w:t>
      </w:r>
    </w:p>
    <w:p w:rsidR="00F46483" w:rsidRDefault="006E6CB9" w:rsidP="00C52E09">
      <w:pPr>
        <w:pStyle w:val="TM-3n"/>
        <w:numPr>
          <w:ilvl w:val="0"/>
          <w:numId w:val="293"/>
        </w:numPr>
        <w:tabs>
          <w:tab w:val="clear" w:pos="1276"/>
          <w:tab w:val="left" w:pos="1260"/>
        </w:tabs>
        <w:spacing w:before="120" w:after="0" w:line="276" w:lineRule="auto"/>
      </w:pPr>
      <w:r w:rsidRPr="00376D1C">
        <w:t>Mecanismo de acção: é um diurético poupador de potássio, que actua aumentando a excreção de sódio e água na parte distal dos túbulos renais (tubulo distal final e tubulo colector).</w:t>
      </w:r>
    </w:p>
    <w:p w:rsidR="006E6CB9" w:rsidRPr="00376D1C" w:rsidRDefault="006E6CB9" w:rsidP="00C52E09">
      <w:pPr>
        <w:pStyle w:val="TM-3n"/>
        <w:numPr>
          <w:ilvl w:val="0"/>
          <w:numId w:val="293"/>
        </w:numPr>
        <w:tabs>
          <w:tab w:val="clear" w:pos="1276"/>
          <w:tab w:val="left" w:pos="1260"/>
        </w:tabs>
        <w:spacing w:before="120" w:after="0" w:line="276" w:lineRule="auto"/>
      </w:pPr>
      <w:r w:rsidRPr="00376D1C">
        <w:t>Forma farmacêutica e via de administração: comprimidos, por via oral</w:t>
      </w:r>
    </w:p>
    <w:p w:rsidR="006E6CB9" w:rsidRPr="00376D1C" w:rsidRDefault="006E6CB9" w:rsidP="00C52E09">
      <w:pPr>
        <w:pStyle w:val="TM-4n"/>
        <w:numPr>
          <w:ilvl w:val="0"/>
          <w:numId w:val="293"/>
        </w:numPr>
        <w:tabs>
          <w:tab w:val="clear" w:pos="1134"/>
        </w:tabs>
        <w:spacing w:before="120" w:after="0" w:line="276" w:lineRule="auto"/>
      </w:pPr>
      <w:r w:rsidRPr="00376D1C">
        <w:t>Indicações: Diurético fraco, normalmente utilizado em associação com furosemida ou hidroclortiazida, para reduzir a acção espoliadora de potássio provocada por estes.</w:t>
      </w:r>
    </w:p>
    <w:p w:rsidR="006E6CB9" w:rsidRPr="00376D1C" w:rsidRDefault="006E6CB9" w:rsidP="00C52E09">
      <w:pPr>
        <w:pStyle w:val="TM-4n"/>
        <w:numPr>
          <w:ilvl w:val="0"/>
          <w:numId w:val="293"/>
        </w:numPr>
        <w:tabs>
          <w:tab w:val="clear" w:pos="1134"/>
        </w:tabs>
        <w:spacing w:before="120" w:after="0" w:line="276" w:lineRule="auto"/>
      </w:pPr>
      <w:r w:rsidRPr="00376D1C">
        <w:t>Dose e dosagem:  2.5 mg (1/2 comprimido de 5 mg) de 12 em 12 horas, podendo ser aumentada até um máximo de 10 mg (2 comprimidos de 5 mg) de 12 em 12 horas.</w:t>
      </w:r>
    </w:p>
    <w:p w:rsidR="006E6CB9" w:rsidRPr="009F286B" w:rsidRDefault="006E6CB9" w:rsidP="00C52E09">
      <w:pPr>
        <w:pStyle w:val="TM-3n"/>
        <w:numPr>
          <w:ilvl w:val="2"/>
          <w:numId w:val="265"/>
        </w:numPr>
        <w:tabs>
          <w:tab w:val="clear" w:pos="1276"/>
        </w:tabs>
        <w:spacing w:before="120" w:after="0" w:line="276" w:lineRule="auto"/>
        <w:ind w:left="1080" w:hanging="630"/>
        <w:rPr>
          <w:b/>
        </w:rPr>
      </w:pPr>
      <w:r w:rsidRPr="009F286B">
        <w:rPr>
          <w:b/>
        </w:rPr>
        <w:t>Furosemida</w:t>
      </w:r>
    </w:p>
    <w:p w:rsidR="006E6CB9" w:rsidRPr="00376D1C" w:rsidRDefault="00F46483" w:rsidP="00C52E09">
      <w:pPr>
        <w:pStyle w:val="TM-3n"/>
        <w:numPr>
          <w:ilvl w:val="0"/>
          <w:numId w:val="294"/>
        </w:numPr>
        <w:tabs>
          <w:tab w:val="clear" w:pos="1276"/>
          <w:tab w:val="left" w:pos="1530"/>
          <w:tab w:val="left" w:pos="1620"/>
          <w:tab w:val="left" w:pos="1710"/>
        </w:tabs>
        <w:spacing w:before="120" w:after="0" w:line="276" w:lineRule="auto"/>
        <w:ind w:firstLine="90"/>
      </w:pPr>
      <w:r>
        <w:t xml:space="preserve">  </w:t>
      </w:r>
      <w:r w:rsidR="006E6CB9" w:rsidRPr="00376D1C">
        <w:t>Mecanismo de acção: actua sobre a ansa de Henle, que é uma parte do sistema de túbulos renais, aumentando a excreção de sódio, potássio e água no rim.</w:t>
      </w:r>
    </w:p>
    <w:p w:rsidR="006E6CB9" w:rsidRPr="00376D1C" w:rsidRDefault="00F46483" w:rsidP="00C52E09">
      <w:pPr>
        <w:pStyle w:val="TM-4n"/>
        <w:numPr>
          <w:ilvl w:val="0"/>
          <w:numId w:val="294"/>
        </w:numPr>
        <w:tabs>
          <w:tab w:val="clear" w:pos="1134"/>
          <w:tab w:val="left" w:pos="1440"/>
          <w:tab w:val="left" w:pos="1710"/>
        </w:tabs>
        <w:spacing w:before="120" w:after="0" w:line="276" w:lineRule="auto"/>
        <w:ind w:firstLine="90"/>
      </w:pPr>
      <w:r>
        <w:t xml:space="preserve">   </w:t>
      </w:r>
      <w:r w:rsidR="006E6CB9" w:rsidRPr="00376D1C">
        <w:t>Forma farmacêutica e via de administração: comprimidos, solução pediátrica, injectável, por via oral, EV ou excepcionalmente IM</w:t>
      </w:r>
    </w:p>
    <w:p w:rsidR="006E6CB9" w:rsidRPr="00376D1C" w:rsidRDefault="00F46483" w:rsidP="00C52E09">
      <w:pPr>
        <w:pStyle w:val="TM-4n"/>
        <w:numPr>
          <w:ilvl w:val="0"/>
          <w:numId w:val="294"/>
        </w:numPr>
        <w:tabs>
          <w:tab w:val="clear" w:pos="1134"/>
          <w:tab w:val="left" w:pos="1170"/>
          <w:tab w:val="left" w:pos="1620"/>
        </w:tabs>
        <w:spacing w:before="120" w:after="0" w:line="276" w:lineRule="auto"/>
        <w:ind w:firstLine="90"/>
      </w:pPr>
      <w:r>
        <w:t xml:space="preserve"> </w:t>
      </w:r>
      <w:r w:rsidR="006E6CB9" w:rsidRPr="00376D1C">
        <w:t>Indicações: Diurético potente, indicado no tratamento de edemas de qualquer etiologia e ascite; tratamento da hipertensão arterial complicada.</w:t>
      </w:r>
    </w:p>
    <w:p w:rsidR="006E6CB9" w:rsidRPr="00376D1C" w:rsidRDefault="00F46483" w:rsidP="00C52E09">
      <w:pPr>
        <w:pStyle w:val="TM-4n"/>
        <w:numPr>
          <w:ilvl w:val="0"/>
          <w:numId w:val="294"/>
        </w:numPr>
        <w:tabs>
          <w:tab w:val="clear" w:pos="1134"/>
          <w:tab w:val="left" w:pos="1170"/>
        </w:tabs>
        <w:spacing w:before="120" w:after="0" w:line="276" w:lineRule="auto"/>
        <w:ind w:firstLine="90"/>
      </w:pPr>
      <w:r>
        <w:t xml:space="preserve">    </w:t>
      </w:r>
      <w:r w:rsidR="006E6CB9" w:rsidRPr="00376D1C">
        <w:t>Dose e dosagem:  20 mg de 12 em 12 horas que pode ser aumentada até um máximo de 160 mg de 12  em 12 horas. Nas situações de urgência preferir a via EV ou IM.</w:t>
      </w:r>
    </w:p>
    <w:p w:rsidR="006E6CB9" w:rsidRDefault="006E6CB9" w:rsidP="006E6CB9">
      <w:pPr>
        <w:pStyle w:val="TM-4n"/>
        <w:numPr>
          <w:ilvl w:val="0"/>
          <w:numId w:val="0"/>
        </w:numPr>
        <w:spacing w:before="120" w:after="0" w:line="276" w:lineRule="auto"/>
        <w:ind w:left="1440"/>
      </w:pPr>
    </w:p>
    <w:p w:rsidR="00F46483" w:rsidRPr="00376D1C" w:rsidRDefault="00F46483" w:rsidP="006E6CB9">
      <w:pPr>
        <w:pStyle w:val="TM-4n"/>
        <w:numPr>
          <w:ilvl w:val="0"/>
          <w:numId w:val="0"/>
        </w:numPr>
        <w:spacing w:before="120" w:after="0" w:line="276" w:lineRule="auto"/>
        <w:ind w:left="1440"/>
      </w:pPr>
    </w:p>
    <w:p w:rsidR="006E6CB9" w:rsidRPr="00376D1C" w:rsidRDefault="006E6CB9" w:rsidP="00C52E09">
      <w:pPr>
        <w:pStyle w:val="TM-3n"/>
        <w:numPr>
          <w:ilvl w:val="2"/>
          <w:numId w:val="265"/>
        </w:numPr>
        <w:tabs>
          <w:tab w:val="clear" w:pos="1276"/>
        </w:tabs>
        <w:spacing w:before="120" w:after="0" w:line="276" w:lineRule="auto"/>
        <w:ind w:left="1080" w:hanging="630"/>
      </w:pPr>
      <w:r>
        <w:rPr>
          <w:b/>
        </w:rPr>
        <w:lastRenderedPageBreak/>
        <w:t>Hidroclor</w:t>
      </w:r>
      <w:r w:rsidRPr="009F286B">
        <w:rPr>
          <w:b/>
        </w:rPr>
        <w:t>tiazida</w:t>
      </w:r>
      <w:r w:rsidRPr="00376D1C">
        <w:t xml:space="preserve"> </w:t>
      </w:r>
    </w:p>
    <w:p w:rsidR="006E6CB9" w:rsidRPr="00376D1C" w:rsidRDefault="006E6CB9" w:rsidP="00C52E09">
      <w:pPr>
        <w:pStyle w:val="TM-3n"/>
        <w:numPr>
          <w:ilvl w:val="0"/>
          <w:numId w:val="227"/>
        </w:numPr>
        <w:tabs>
          <w:tab w:val="clear" w:pos="1276"/>
        </w:tabs>
        <w:spacing w:before="120" w:after="0" w:line="276" w:lineRule="auto"/>
        <w:ind w:left="1350" w:hanging="270"/>
      </w:pPr>
      <w:r w:rsidRPr="00376D1C">
        <w:t>Mecanismo de acção: actua aumentando a excreção de sódio e água na parte distal dos túbulos renais. Também apresenta capacidade de dilatar os vasos sanguíneos, sendo especialmente útil na hipertensão arterial.</w:t>
      </w:r>
    </w:p>
    <w:p w:rsidR="008141D5" w:rsidRDefault="006E6CB9" w:rsidP="00C52E09">
      <w:pPr>
        <w:pStyle w:val="TM-4n"/>
        <w:numPr>
          <w:ilvl w:val="0"/>
          <w:numId w:val="221"/>
        </w:numPr>
        <w:tabs>
          <w:tab w:val="clear" w:pos="720"/>
          <w:tab w:val="clear" w:pos="1134"/>
        </w:tabs>
        <w:spacing w:before="120" w:after="0" w:line="276" w:lineRule="auto"/>
        <w:ind w:left="1350" w:hanging="270"/>
      </w:pPr>
      <w:r w:rsidRPr="00376D1C">
        <w:t xml:space="preserve">Forma farmacêutica e via de administração: comprimidos, por via oral </w:t>
      </w:r>
    </w:p>
    <w:p w:rsidR="008141D5" w:rsidRDefault="006E6CB9" w:rsidP="00C52E09">
      <w:pPr>
        <w:pStyle w:val="TM-4n"/>
        <w:numPr>
          <w:ilvl w:val="0"/>
          <w:numId w:val="221"/>
        </w:numPr>
        <w:tabs>
          <w:tab w:val="clear" w:pos="720"/>
          <w:tab w:val="clear" w:pos="1134"/>
        </w:tabs>
        <w:spacing w:before="120" w:after="0" w:line="276" w:lineRule="auto"/>
        <w:ind w:left="1350" w:hanging="270"/>
      </w:pPr>
      <w:r w:rsidRPr="00376D1C">
        <w:t>Indicações: edemas por insuficiência cardíaca, e na hipertensão arterial.</w:t>
      </w:r>
    </w:p>
    <w:p w:rsidR="006E6CB9" w:rsidRPr="00376D1C" w:rsidRDefault="006E6CB9" w:rsidP="00C52E09">
      <w:pPr>
        <w:pStyle w:val="TM-4n"/>
        <w:numPr>
          <w:ilvl w:val="0"/>
          <w:numId w:val="221"/>
        </w:numPr>
        <w:tabs>
          <w:tab w:val="clear" w:pos="720"/>
          <w:tab w:val="clear" w:pos="1134"/>
        </w:tabs>
        <w:spacing w:before="120" w:after="0" w:line="276" w:lineRule="auto"/>
        <w:ind w:left="1350" w:hanging="270"/>
      </w:pPr>
      <w:r w:rsidRPr="00376D1C">
        <w:t>Dose e dosagem: na hipertensão deve se iniciar com 12,5 mg a 25 mg/dia.</w:t>
      </w:r>
    </w:p>
    <w:p w:rsidR="006E6CB9" w:rsidRPr="009F286B" w:rsidRDefault="006E6CB9" w:rsidP="00C52E09">
      <w:pPr>
        <w:pStyle w:val="TM-3n"/>
        <w:numPr>
          <w:ilvl w:val="2"/>
          <w:numId w:val="265"/>
        </w:numPr>
        <w:tabs>
          <w:tab w:val="clear" w:pos="1276"/>
        </w:tabs>
        <w:spacing w:before="120" w:after="0" w:line="276" w:lineRule="auto"/>
        <w:ind w:left="1080" w:hanging="630"/>
        <w:rPr>
          <w:b/>
        </w:rPr>
      </w:pPr>
      <w:r w:rsidRPr="00376D1C" w:rsidDel="00BD0ECD">
        <w:t xml:space="preserve"> </w:t>
      </w:r>
      <w:r w:rsidRPr="009F286B">
        <w:rPr>
          <w:b/>
        </w:rPr>
        <w:t>Manitol</w:t>
      </w:r>
    </w:p>
    <w:p w:rsidR="00F46483" w:rsidRDefault="006E6CB9" w:rsidP="00C52E09">
      <w:pPr>
        <w:pStyle w:val="TM-3n"/>
        <w:numPr>
          <w:ilvl w:val="0"/>
          <w:numId w:val="295"/>
        </w:numPr>
        <w:tabs>
          <w:tab w:val="clear" w:pos="1276"/>
        </w:tabs>
        <w:spacing w:before="120" w:after="0" w:line="276" w:lineRule="auto"/>
        <w:ind w:hanging="90"/>
      </w:pPr>
      <w:r w:rsidRPr="00376D1C">
        <w:t>Mecanismo de acção: diurético que actua por osmose (passagem da água do citoplasma  e interstício para o plasma, devido a hiperosmolaridade do manitol), diminuindo a reabsorção de água e sódio nos túbulos renais.</w:t>
      </w:r>
    </w:p>
    <w:p w:rsidR="00F46483" w:rsidRDefault="006E6CB9" w:rsidP="00C52E09">
      <w:pPr>
        <w:pStyle w:val="TM-3n"/>
        <w:numPr>
          <w:ilvl w:val="0"/>
          <w:numId w:val="295"/>
        </w:numPr>
        <w:tabs>
          <w:tab w:val="clear" w:pos="1276"/>
        </w:tabs>
        <w:spacing w:before="120" w:after="0" w:line="276" w:lineRule="auto"/>
        <w:ind w:hanging="90"/>
      </w:pPr>
      <w:r w:rsidRPr="00376D1C">
        <w:t>Forma farmacêutica e via de administração: injectável, por via EV</w:t>
      </w:r>
    </w:p>
    <w:p w:rsidR="00F46483" w:rsidRDefault="006E6CB9" w:rsidP="00C52E09">
      <w:pPr>
        <w:pStyle w:val="TM-3n"/>
        <w:numPr>
          <w:ilvl w:val="0"/>
          <w:numId w:val="295"/>
        </w:numPr>
        <w:tabs>
          <w:tab w:val="clear" w:pos="1276"/>
        </w:tabs>
        <w:spacing w:before="120" w:after="0" w:line="276" w:lineRule="auto"/>
        <w:ind w:hanging="90"/>
      </w:pPr>
      <w:r w:rsidRPr="00376D1C">
        <w:t>Indicações: Indicado particularmente na redução da pressão intracraniana e do edema cerebral.</w:t>
      </w:r>
    </w:p>
    <w:p w:rsidR="006E6CB9" w:rsidRPr="00376D1C" w:rsidRDefault="006E6CB9" w:rsidP="00C52E09">
      <w:pPr>
        <w:pStyle w:val="TM-3n"/>
        <w:numPr>
          <w:ilvl w:val="0"/>
          <w:numId w:val="295"/>
        </w:numPr>
        <w:tabs>
          <w:tab w:val="clear" w:pos="1276"/>
        </w:tabs>
        <w:spacing w:before="120" w:after="0" w:line="276" w:lineRule="auto"/>
        <w:ind w:hanging="90"/>
      </w:pPr>
      <w:r w:rsidRPr="00376D1C">
        <w:t>Dose e dosagem: 1-2 gramas/kg. Administração endovenosa lenta, em 30-60 minutos.</w:t>
      </w:r>
    </w:p>
    <w:p w:rsidR="006E6CB9" w:rsidRPr="00376D1C" w:rsidRDefault="006E6CB9" w:rsidP="006E6CB9">
      <w:pPr>
        <w:pStyle w:val="TM-4n"/>
        <w:numPr>
          <w:ilvl w:val="0"/>
          <w:numId w:val="0"/>
        </w:numPr>
        <w:spacing w:before="120" w:after="0" w:line="276" w:lineRule="auto"/>
        <w:ind w:left="1276"/>
      </w:pPr>
    </w:p>
    <w:p w:rsidR="006E6CB9" w:rsidRPr="00376D1C" w:rsidRDefault="005F3F7B" w:rsidP="005F3F7B">
      <w:pPr>
        <w:pStyle w:val="TM-1n"/>
        <w:numPr>
          <w:ilvl w:val="0"/>
          <w:numId w:val="0"/>
        </w:numPr>
        <w:shd w:val="clear" w:color="auto" w:fill="C6D9F1"/>
        <w:tabs>
          <w:tab w:val="clear" w:pos="9072"/>
        </w:tabs>
        <w:rPr>
          <w:sz w:val="22"/>
          <w:szCs w:val="22"/>
        </w:rPr>
      </w:pPr>
      <w:r>
        <w:rPr>
          <w:sz w:val="22"/>
          <w:szCs w:val="22"/>
        </w:rPr>
        <w:t xml:space="preserve">BLOCO 3: </w:t>
      </w:r>
      <w:r w:rsidR="006E6CB9" w:rsidRPr="00376D1C">
        <w:rPr>
          <w:sz w:val="22"/>
          <w:szCs w:val="22"/>
        </w:rPr>
        <w:t>FÁRMACOS USADOS EM ALTERAÇÕES DO EQUILÍBRIO HIDRO-ELECTROLÍTICO</w:t>
      </w:r>
      <w:r w:rsidR="006E6CB9" w:rsidRPr="00376D1C">
        <w:rPr>
          <w:sz w:val="22"/>
          <w:szCs w:val="22"/>
        </w:rPr>
        <w:tab/>
      </w:r>
    </w:p>
    <w:p w:rsidR="006E6CB9" w:rsidRPr="00376D1C" w:rsidRDefault="006E6CB9" w:rsidP="00C52E09">
      <w:pPr>
        <w:pStyle w:val="TM-2n"/>
        <w:numPr>
          <w:ilvl w:val="1"/>
          <w:numId w:val="296"/>
        </w:numPr>
        <w:spacing w:before="120" w:after="0" w:line="276" w:lineRule="auto"/>
      </w:pPr>
      <w:r w:rsidRPr="00376D1C">
        <w:t>São fármacos administrados geralmente por via endovenosa, utilizados para corrigir situações de desequilíbrio nas concentrações de electrólitos e outros nutrientes no sangue. Alguns são utilizados para repor o volume corporal de fluídos em casos de desidratação.</w:t>
      </w:r>
    </w:p>
    <w:p w:rsidR="006E6CB9" w:rsidRPr="009F286B" w:rsidRDefault="006E6CB9" w:rsidP="00C52E09">
      <w:pPr>
        <w:pStyle w:val="TM-3n"/>
        <w:numPr>
          <w:ilvl w:val="2"/>
          <w:numId w:val="296"/>
        </w:numPr>
        <w:tabs>
          <w:tab w:val="clear" w:pos="1276"/>
        </w:tabs>
        <w:spacing w:before="120" w:after="0" w:line="276" w:lineRule="auto"/>
        <w:ind w:left="1080" w:hanging="630"/>
        <w:rPr>
          <w:b/>
        </w:rPr>
      </w:pPr>
      <w:r w:rsidRPr="009F286B">
        <w:rPr>
          <w:b/>
        </w:rPr>
        <w:t>Bicarbonato de sódio</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Forma farmacêutica e via de administração: injectável, por via EV</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Indicações: tratamento do excesso de potássio no sangue (por exemplo, insuficiência renal, hemólise massiva, e algumas doenças endocrinológicas), e na acidose metabólica.</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Dose e dosagem: 1 mEq (mil equivalente) por kilograma.</w:t>
      </w:r>
    </w:p>
    <w:p w:rsidR="006E6CB9" w:rsidRPr="009F286B" w:rsidRDefault="006E6CB9" w:rsidP="00C52E09">
      <w:pPr>
        <w:pStyle w:val="TM-3n"/>
        <w:numPr>
          <w:ilvl w:val="2"/>
          <w:numId w:val="296"/>
        </w:numPr>
        <w:tabs>
          <w:tab w:val="clear" w:pos="1276"/>
        </w:tabs>
        <w:spacing w:before="120" w:after="0" w:line="276" w:lineRule="auto"/>
        <w:ind w:left="1080" w:hanging="630"/>
        <w:rPr>
          <w:b/>
        </w:rPr>
      </w:pPr>
      <w:r w:rsidRPr="009F286B">
        <w:rPr>
          <w:b/>
        </w:rPr>
        <w:t>Cloreto de potássio</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Forma farmacêutica e via de administração: comprimidos e injectável, por via oral e EV</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Indicações: profilaxia e tratamento da diminuição da concentração de potássio no sangue - hipokalémia (por exemplo, em diarreias, uso de diuréticos como furosemida, e dietas deficientes em potássio).</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 xml:space="preserve">Dose e dosagem: </w:t>
      </w:r>
    </w:p>
    <w:p w:rsidR="006E6CB9" w:rsidRPr="00376D1C" w:rsidRDefault="006E6CB9" w:rsidP="00C52E09">
      <w:pPr>
        <w:pStyle w:val="TM-4n"/>
        <w:numPr>
          <w:ilvl w:val="2"/>
          <w:numId w:val="221"/>
        </w:numPr>
        <w:tabs>
          <w:tab w:val="clear" w:pos="1134"/>
        </w:tabs>
        <w:spacing w:before="120" w:after="0" w:line="276" w:lineRule="auto"/>
      </w:pPr>
      <w:r w:rsidRPr="00376D1C">
        <w:t>Prevenção da hipokalémia: 2-4 gramas/dia, divididos em 2-3 tomas diárias</w:t>
      </w:r>
    </w:p>
    <w:p w:rsidR="006E6CB9" w:rsidRDefault="006E6CB9" w:rsidP="00C52E09">
      <w:pPr>
        <w:pStyle w:val="TM-4n"/>
        <w:numPr>
          <w:ilvl w:val="2"/>
          <w:numId w:val="221"/>
        </w:numPr>
        <w:tabs>
          <w:tab w:val="clear" w:pos="1134"/>
        </w:tabs>
        <w:spacing w:before="120" w:after="0" w:line="276" w:lineRule="auto"/>
      </w:pPr>
      <w:r w:rsidRPr="00376D1C">
        <w:t xml:space="preserve">Correcção da hipokalémia: variável entre 10-15 gramas/dia em doses divididas. Consulte sempre o médico nestas circunstâncias, principalmente ao usar a via EV. </w:t>
      </w:r>
    </w:p>
    <w:p w:rsidR="006E6CB9" w:rsidRPr="00376D1C" w:rsidRDefault="006E6CB9" w:rsidP="00C52E09">
      <w:pPr>
        <w:pStyle w:val="TM-3n"/>
        <w:numPr>
          <w:ilvl w:val="2"/>
          <w:numId w:val="296"/>
        </w:numPr>
        <w:tabs>
          <w:tab w:val="clear" w:pos="1276"/>
        </w:tabs>
        <w:spacing w:before="120" w:after="0" w:line="276" w:lineRule="auto"/>
        <w:ind w:left="1080" w:hanging="630"/>
      </w:pPr>
      <w:r w:rsidRPr="009F286B">
        <w:rPr>
          <w:b/>
        </w:rPr>
        <w:t>Cloreto de sódio a 0.9% (soro fisiológico)</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Forma farmacêutica e via de administração: injectável, por via EV</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lastRenderedPageBreak/>
        <w:t>Indicações: Tem diversas indicações, sendo as mais importantes a reposição de perdas hidro-salinas, e a substituição do volume de sangue ou plasma perdido. Também usa-se como solvente para outros medicamentos injectáveis.</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Dose e dosagem: variável, de acordo com a situação clínica.</w:t>
      </w:r>
    </w:p>
    <w:p w:rsidR="006E6CB9" w:rsidRPr="009F286B" w:rsidRDefault="006E6CB9" w:rsidP="00C52E09">
      <w:pPr>
        <w:pStyle w:val="TM-3n"/>
        <w:numPr>
          <w:ilvl w:val="2"/>
          <w:numId w:val="296"/>
        </w:numPr>
        <w:tabs>
          <w:tab w:val="clear" w:pos="1276"/>
        </w:tabs>
        <w:spacing w:before="120" w:after="0" w:line="276" w:lineRule="auto"/>
        <w:ind w:left="1080" w:hanging="630"/>
        <w:rPr>
          <w:b/>
        </w:rPr>
      </w:pPr>
      <w:r w:rsidRPr="009F286B">
        <w:rPr>
          <w:b/>
        </w:rPr>
        <w:t>G</w:t>
      </w:r>
      <w:r>
        <w:rPr>
          <w:b/>
        </w:rPr>
        <w:t>elatina polimerizada</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Forma farmacêutica e via de administração: injectável, por via EV</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Indicações: substituto do plasma de primeira escolha em situações de hipovolemia (diminuição do volume do plasma sanguíneo), como por exemplo nas hemorragias.</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Dose e dosagem: repor o volume perdido, até desaparecer os sinais e sintomas de hipovolemia.</w:t>
      </w:r>
    </w:p>
    <w:p w:rsidR="006E6CB9" w:rsidRPr="009F286B" w:rsidRDefault="006E6CB9" w:rsidP="00C52E09">
      <w:pPr>
        <w:pStyle w:val="TM-3n"/>
        <w:numPr>
          <w:ilvl w:val="2"/>
          <w:numId w:val="296"/>
        </w:numPr>
        <w:tabs>
          <w:tab w:val="clear" w:pos="1276"/>
        </w:tabs>
        <w:spacing w:before="120" w:after="0" w:line="276" w:lineRule="auto"/>
        <w:ind w:left="1080" w:hanging="630"/>
        <w:rPr>
          <w:b/>
        </w:rPr>
      </w:pPr>
      <w:r w:rsidRPr="009F286B">
        <w:rPr>
          <w:b/>
        </w:rPr>
        <w:t>Dextrose a 5%</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Forma farmacêutica e via de administração: injectável, por via EV</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 xml:space="preserve">Indicações: reposição da deficiência simples de água sem perda de electrólitos, por exemplo em casos de febre alta. É o veículo universal para administração de medicamentos injectáveis. Também é usada para prevenir ou corrigir estados em que podem/existem diminuição da glicose (hipoglicémia) no sangue associando-se ou não a Dextrose a 30% </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Dose e dosagem: variável, segundo a situação.</w:t>
      </w:r>
    </w:p>
    <w:p w:rsidR="006E6CB9" w:rsidRPr="009F286B" w:rsidRDefault="006E6CB9" w:rsidP="00C52E09">
      <w:pPr>
        <w:pStyle w:val="TM-3n"/>
        <w:numPr>
          <w:ilvl w:val="2"/>
          <w:numId w:val="296"/>
        </w:numPr>
        <w:tabs>
          <w:tab w:val="clear" w:pos="1276"/>
        </w:tabs>
        <w:spacing w:before="120" w:after="0" w:line="276" w:lineRule="auto"/>
        <w:ind w:left="1080" w:hanging="630"/>
        <w:rPr>
          <w:b/>
        </w:rPr>
      </w:pPr>
      <w:r w:rsidRPr="009F286B">
        <w:rPr>
          <w:b/>
        </w:rPr>
        <w:t>Lactato de Ringer (solução de Hartmann)</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Forma farmacêutica e via de administração: injectável, por via EV</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Indicações: correcção da desidratação grave associado a distúrbios hidro-electrolíticos (exemplo: cólera) e na substituição do volume de sangue ou plasma perdido.</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Dose e dosagem: variável, segundo a situação clínica.</w:t>
      </w:r>
    </w:p>
    <w:p w:rsidR="006E6CB9" w:rsidRPr="009F286B" w:rsidRDefault="006E6CB9" w:rsidP="00C52E09">
      <w:pPr>
        <w:pStyle w:val="TM-3n"/>
        <w:numPr>
          <w:ilvl w:val="2"/>
          <w:numId w:val="296"/>
        </w:numPr>
        <w:tabs>
          <w:tab w:val="clear" w:pos="1276"/>
        </w:tabs>
        <w:spacing w:before="120" w:after="0" w:line="276" w:lineRule="auto"/>
        <w:ind w:left="1080" w:hanging="630"/>
        <w:rPr>
          <w:b/>
        </w:rPr>
      </w:pPr>
      <w:r w:rsidRPr="009F286B">
        <w:rPr>
          <w:b/>
        </w:rPr>
        <w:t>Sais de re</w:t>
      </w:r>
      <w:r>
        <w:rPr>
          <w:b/>
        </w:rPr>
        <w:t>-h</w:t>
      </w:r>
      <w:r w:rsidRPr="009F286B">
        <w:rPr>
          <w:b/>
        </w:rPr>
        <w:t>idratação oral (SRO)</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Forma farmacêutica e via de administração: pó, por via oral</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Indicações: prevenção e tratamento da desidratação ligeira e moderada por diarreia.</w:t>
      </w:r>
    </w:p>
    <w:p w:rsidR="006E6CB9" w:rsidRPr="00376D1C" w:rsidRDefault="006E6CB9" w:rsidP="00C52E09">
      <w:pPr>
        <w:pStyle w:val="TM-4n"/>
        <w:numPr>
          <w:ilvl w:val="0"/>
          <w:numId w:val="221"/>
        </w:numPr>
        <w:tabs>
          <w:tab w:val="clear" w:pos="720"/>
          <w:tab w:val="clear" w:pos="1134"/>
        </w:tabs>
        <w:spacing w:before="120" w:after="0" w:line="276" w:lineRule="auto"/>
        <w:ind w:left="1440"/>
      </w:pPr>
      <w:r w:rsidRPr="00376D1C">
        <w:t>Dose e dosagem: variável, dependendo da situação.</w:t>
      </w:r>
    </w:p>
    <w:p w:rsidR="006E6CB9" w:rsidRPr="00376D1C" w:rsidRDefault="006E6CB9" w:rsidP="006E6CB9">
      <w:pPr>
        <w:pStyle w:val="TM-4n"/>
        <w:numPr>
          <w:ilvl w:val="0"/>
          <w:numId w:val="0"/>
        </w:numPr>
        <w:spacing w:before="120" w:after="0" w:line="276" w:lineRule="auto"/>
      </w:pPr>
    </w:p>
    <w:p w:rsidR="006E6CB9" w:rsidRPr="00376D1C" w:rsidRDefault="005F3F7B" w:rsidP="005F3F7B">
      <w:pPr>
        <w:pStyle w:val="TM-1n"/>
        <w:numPr>
          <w:ilvl w:val="0"/>
          <w:numId w:val="0"/>
        </w:numPr>
        <w:shd w:val="clear" w:color="auto" w:fill="C6D9F1"/>
        <w:tabs>
          <w:tab w:val="clear" w:pos="9072"/>
          <w:tab w:val="left" w:pos="284"/>
        </w:tabs>
        <w:rPr>
          <w:sz w:val="22"/>
          <w:szCs w:val="22"/>
        </w:rPr>
      </w:pPr>
      <w:r>
        <w:rPr>
          <w:sz w:val="22"/>
          <w:szCs w:val="22"/>
        </w:rPr>
        <w:t xml:space="preserve">BLOCO 4: </w:t>
      </w:r>
      <w:r w:rsidR="006E6CB9" w:rsidRPr="00376D1C">
        <w:rPr>
          <w:sz w:val="22"/>
          <w:szCs w:val="22"/>
        </w:rPr>
        <w:t>PONTOS-CHAVE</w:t>
      </w:r>
    </w:p>
    <w:p w:rsidR="006E6CB9" w:rsidRDefault="006E6CB9" w:rsidP="006E6CB9">
      <w:pPr>
        <w:pStyle w:val="TM-4n"/>
        <w:numPr>
          <w:ilvl w:val="0"/>
          <w:numId w:val="0"/>
        </w:numPr>
        <w:spacing w:before="120" w:after="0" w:line="276" w:lineRule="auto"/>
      </w:pPr>
      <w:r>
        <w:t>4.1 A oxitocina é um fármaco que actua estimulando a contracção do músculo liso do útero e vasos sanguíneos, estando indicado na indução e aumento do trabalho de parto e na prevenção e tratamento da hemorragia pós-aborto e pós-parto.</w:t>
      </w:r>
    </w:p>
    <w:p w:rsidR="006E6CB9" w:rsidRDefault="006E6CB9" w:rsidP="006E6CB9">
      <w:pPr>
        <w:pStyle w:val="TM-4n"/>
        <w:numPr>
          <w:ilvl w:val="0"/>
          <w:numId w:val="0"/>
        </w:numPr>
        <w:spacing w:before="120" w:after="0" w:line="276" w:lineRule="auto"/>
      </w:pPr>
      <w:r>
        <w:t>4.2 Os miorelaxantes uterinos como a Terbutalina, Salbutamol são usados na prevenção do parto pré-termo não complicado e ruptura uterina. O Sulfato de Magnésio está particularmente indicado na prevenção e tratamento da pré-eclâmpsia e eclâmpsia.</w:t>
      </w:r>
    </w:p>
    <w:p w:rsidR="006E6CB9" w:rsidRDefault="006E6CB9" w:rsidP="006E6CB9">
      <w:pPr>
        <w:pStyle w:val="TM-4n"/>
        <w:numPr>
          <w:ilvl w:val="0"/>
          <w:numId w:val="0"/>
        </w:numPr>
        <w:spacing w:before="120" w:after="0" w:line="276" w:lineRule="auto"/>
      </w:pPr>
      <w:r>
        <w:t>4.3 As hormonas sexuais moduladoras do sistema genital são um grupo de fármacos que são usados principalmente para a prevenção da gravidez.</w:t>
      </w:r>
    </w:p>
    <w:p w:rsidR="006E6CB9" w:rsidRDefault="006E6CB9" w:rsidP="006E6CB9">
      <w:pPr>
        <w:pStyle w:val="TM-4n"/>
        <w:numPr>
          <w:ilvl w:val="0"/>
          <w:numId w:val="0"/>
        </w:numPr>
        <w:spacing w:before="120" w:after="0" w:line="276" w:lineRule="auto"/>
      </w:pPr>
      <w:r>
        <w:t>4.4 Os diuréticos actuam inicialmente por diminuição do volume plasmático e débito cardíaco, mas a longo termo, seu maior efeito hemodinâmico é através da vasodilatação.</w:t>
      </w:r>
    </w:p>
    <w:p w:rsidR="006E6CB9" w:rsidRDefault="006E6CB9" w:rsidP="006E6CB9">
      <w:pPr>
        <w:pStyle w:val="TM-4n"/>
        <w:numPr>
          <w:ilvl w:val="0"/>
          <w:numId w:val="0"/>
        </w:numPr>
        <w:spacing w:before="120" w:after="0" w:line="276" w:lineRule="auto"/>
      </w:pPr>
      <w:r>
        <w:lastRenderedPageBreak/>
        <w:t>4.5 O amilorido é um diurético fraco, poupador de potássio que normalmente é usado em associação com a Furosemida ou hidroclortiazida.</w:t>
      </w:r>
    </w:p>
    <w:p w:rsidR="006E6CB9" w:rsidRDefault="006E6CB9" w:rsidP="006E6CB9">
      <w:pPr>
        <w:pStyle w:val="TM-4n"/>
        <w:numPr>
          <w:ilvl w:val="0"/>
          <w:numId w:val="0"/>
        </w:numPr>
        <w:spacing w:before="120" w:after="0" w:line="276" w:lineRule="auto"/>
      </w:pPr>
      <w:r>
        <w:t>4.6 A Furosemida é um diurético potente indicado no tratamento de edemas de qualquer etiologia e ascite, bem como no tratamento da hipertensão arterial complicada.</w:t>
      </w:r>
    </w:p>
    <w:p w:rsidR="006E6CB9" w:rsidRDefault="006E6CB9" w:rsidP="006E6CB9">
      <w:pPr>
        <w:pStyle w:val="TM-4n"/>
        <w:numPr>
          <w:ilvl w:val="0"/>
          <w:numId w:val="0"/>
        </w:numPr>
        <w:spacing w:before="120" w:after="0" w:line="276" w:lineRule="auto"/>
      </w:pPr>
      <w:r>
        <w:t>4.7 O bicarbonato de sódio é um fármaco usado para o tratamento da hiperkalémia (excesso de potássio no sangue) e acidose metabólica</w:t>
      </w:r>
    </w:p>
    <w:p w:rsidR="006E6CB9" w:rsidRDefault="006E6CB9" w:rsidP="006E6CB9">
      <w:pPr>
        <w:pStyle w:val="TM-4n"/>
        <w:numPr>
          <w:ilvl w:val="0"/>
          <w:numId w:val="0"/>
        </w:numPr>
        <w:spacing w:before="120" w:after="0" w:line="276" w:lineRule="auto"/>
      </w:pPr>
      <w:r>
        <w:t xml:space="preserve">4.8 O soro fisiológico (cloreto de sódio a 0.9%) é usado em diversas situações, </w:t>
      </w:r>
      <w:r w:rsidRPr="00376D1C">
        <w:t>sendo as mais importantes a reposição de perdas hidro-salinas, e a substituição do volume de sangue ou plasma perdido. Também usa-se como solvente para outros medicamentos injectáveis</w:t>
      </w:r>
      <w:r>
        <w:t>.</w:t>
      </w:r>
    </w:p>
    <w:p w:rsidR="006E6CB9" w:rsidRDefault="008141D5" w:rsidP="006E6CB9">
      <w:pPr>
        <w:pStyle w:val="TM-4n"/>
        <w:numPr>
          <w:ilvl w:val="0"/>
          <w:numId w:val="0"/>
        </w:numPr>
        <w:spacing w:before="120" w:after="0" w:line="276" w:lineRule="auto"/>
      </w:pPr>
      <w:r>
        <w:t>4</w:t>
      </w:r>
      <w:r w:rsidR="006E6CB9">
        <w:t xml:space="preserve">.9 O Lactato de Ringer é usado para a </w:t>
      </w:r>
      <w:r w:rsidR="006E6CB9" w:rsidRPr="00376D1C">
        <w:t>correcção da desidratação grave associado a distúrbios hidro-electrolíticos (exemplo: cólera) e na substituição do volume de sangue ou plasma perdido</w:t>
      </w:r>
      <w:r w:rsidR="006E6CB9">
        <w:t>.</w:t>
      </w:r>
    </w:p>
    <w:p w:rsidR="006E6CB9" w:rsidRDefault="006E6CB9" w:rsidP="006E6CB9">
      <w:pPr>
        <w:pStyle w:val="TM-4n"/>
        <w:numPr>
          <w:ilvl w:val="0"/>
          <w:numId w:val="0"/>
        </w:numPr>
        <w:spacing w:before="120" w:after="0" w:line="276" w:lineRule="auto"/>
      </w:pPr>
      <w:r>
        <w:t>4.10 A dextrose a 5% é o veículo universal para a administração de medicamentos injectáveis e também é usada para prevenir ou corrigir a hipoglicémia.</w:t>
      </w:r>
    </w:p>
    <w:p w:rsidR="006E6CB9" w:rsidRPr="00376D1C" w:rsidRDefault="006E6CB9" w:rsidP="006E6CB9">
      <w:pPr>
        <w:pStyle w:val="TM-4n"/>
        <w:numPr>
          <w:ilvl w:val="0"/>
          <w:numId w:val="0"/>
        </w:numPr>
        <w:spacing w:before="120" w:after="0" w:line="276" w:lineRule="auto"/>
      </w:pPr>
    </w:p>
    <w:p w:rsidR="005F3F7B" w:rsidRDefault="005F3F7B">
      <w:pPr>
        <w:rPr>
          <w:rFonts w:eastAsia="Times New Roman" w:cs="Arial"/>
          <w:b/>
          <w:lang w:val="pt-PT" w:eastAsia="es-ES"/>
        </w:rPr>
      </w:pPr>
      <w:r w:rsidRPr="00850CFC">
        <w:rPr>
          <w:lang w:val="pt-PT"/>
        </w:rPr>
        <w:br w:type="page"/>
      </w:r>
    </w:p>
    <w:tbl>
      <w:tblPr>
        <w:tblW w:w="10150" w:type="dxa"/>
        <w:tblLayout w:type="fixed"/>
        <w:tblCellMar>
          <w:left w:w="70" w:type="dxa"/>
          <w:right w:w="70" w:type="dxa"/>
        </w:tblCellMar>
        <w:tblLook w:val="0020" w:firstRow="1" w:lastRow="0" w:firstColumn="0" w:lastColumn="0" w:noHBand="0" w:noVBand="0"/>
      </w:tblPr>
      <w:tblGrid>
        <w:gridCol w:w="1418"/>
        <w:gridCol w:w="4952"/>
        <w:gridCol w:w="2070"/>
        <w:gridCol w:w="1710"/>
      </w:tblGrid>
      <w:tr w:rsidR="006E6CB9" w:rsidRPr="00290108" w:rsidTr="00FC6E81">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6E6CB9" w:rsidRPr="00290108" w:rsidRDefault="006E6CB9" w:rsidP="006E6CB9">
            <w:pPr>
              <w:spacing w:line="240" w:lineRule="auto"/>
              <w:jc w:val="both"/>
              <w:rPr>
                <w:rFonts w:eastAsia="Calibri" w:cs="Arial"/>
                <w:b/>
                <w:szCs w:val="24"/>
              </w:rPr>
            </w:pPr>
            <w:r w:rsidRPr="00290108">
              <w:rPr>
                <w:rFonts w:eastAsia="Calibri" w:cs="Arial"/>
                <w:b/>
                <w:szCs w:val="24"/>
              </w:rPr>
              <w:lastRenderedPageBreak/>
              <w:t>Disciplina</w:t>
            </w:r>
          </w:p>
        </w:tc>
        <w:tc>
          <w:tcPr>
            <w:tcW w:w="4952" w:type="dxa"/>
            <w:tcBorders>
              <w:top w:val="single" w:sz="6" w:space="0" w:color="000000"/>
              <w:left w:val="single" w:sz="6" w:space="0" w:color="000000"/>
              <w:bottom w:val="single" w:sz="6" w:space="0" w:color="000000"/>
              <w:right w:val="single" w:sz="6" w:space="0" w:color="000000"/>
            </w:tcBorders>
            <w:vAlign w:val="center"/>
          </w:tcPr>
          <w:p w:rsidR="006E6CB9" w:rsidRPr="00290108" w:rsidRDefault="006E6CB9" w:rsidP="006E6CB9">
            <w:pPr>
              <w:spacing w:line="240" w:lineRule="auto"/>
              <w:jc w:val="both"/>
              <w:rPr>
                <w:rFonts w:eastAsia="Calibri" w:cs="Arial"/>
                <w:szCs w:val="24"/>
              </w:rPr>
            </w:pPr>
            <w:r w:rsidRPr="00290108">
              <w:rPr>
                <w:rFonts w:eastAsia="Calibri" w:cs="Arial"/>
                <w:szCs w:val="24"/>
              </w:rPr>
              <w:t>Introdução às Ciências Médicas</w:t>
            </w:r>
          </w:p>
        </w:tc>
        <w:tc>
          <w:tcPr>
            <w:tcW w:w="2070" w:type="dxa"/>
            <w:tcBorders>
              <w:top w:val="single" w:sz="6" w:space="0" w:color="000000"/>
              <w:left w:val="single" w:sz="6" w:space="0" w:color="000000"/>
              <w:bottom w:val="single" w:sz="6" w:space="0" w:color="000000"/>
              <w:right w:val="single" w:sz="6" w:space="0" w:color="000000"/>
            </w:tcBorders>
            <w:vAlign w:val="center"/>
          </w:tcPr>
          <w:p w:rsidR="006E6CB9" w:rsidRPr="00290108" w:rsidRDefault="006E6CB9" w:rsidP="006E6CB9">
            <w:pPr>
              <w:spacing w:line="240" w:lineRule="auto"/>
              <w:jc w:val="both"/>
              <w:rPr>
                <w:rFonts w:eastAsia="Calibri" w:cs="Arial"/>
                <w:b/>
                <w:szCs w:val="24"/>
              </w:rPr>
            </w:pPr>
            <w:r w:rsidRPr="00290108">
              <w:rPr>
                <w:rFonts w:eastAsia="Calibri" w:cs="Arial"/>
                <w:b/>
                <w:szCs w:val="24"/>
              </w:rPr>
              <w:t xml:space="preserve">N° da Aula </w:t>
            </w:r>
          </w:p>
        </w:tc>
        <w:tc>
          <w:tcPr>
            <w:tcW w:w="1710" w:type="dxa"/>
            <w:tcBorders>
              <w:top w:val="single" w:sz="6" w:space="0" w:color="000000"/>
              <w:left w:val="single" w:sz="6" w:space="0" w:color="000000"/>
              <w:bottom w:val="single" w:sz="6" w:space="0" w:color="000000"/>
              <w:right w:val="single" w:sz="6" w:space="0" w:color="000000"/>
            </w:tcBorders>
            <w:vAlign w:val="center"/>
          </w:tcPr>
          <w:p w:rsidR="006E6CB9" w:rsidRPr="00290108" w:rsidRDefault="006E6CB9" w:rsidP="006E6CB9">
            <w:pPr>
              <w:spacing w:line="240" w:lineRule="auto"/>
              <w:jc w:val="both"/>
              <w:rPr>
                <w:rFonts w:eastAsia="Calibri" w:cs="Arial"/>
              </w:rPr>
            </w:pPr>
            <w:r w:rsidRPr="00290108">
              <w:rPr>
                <w:rFonts w:eastAsia="Calibri" w:cs="Arial"/>
              </w:rPr>
              <w:t>2</w:t>
            </w:r>
            <w:r>
              <w:rPr>
                <w:rFonts w:eastAsia="Calibri" w:cs="Arial"/>
              </w:rPr>
              <w:t>3</w:t>
            </w:r>
          </w:p>
        </w:tc>
      </w:tr>
      <w:tr w:rsidR="006E6CB9" w:rsidRPr="00290108" w:rsidTr="00FC6E81">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6E6CB9" w:rsidRPr="00290108" w:rsidRDefault="006E6CB9" w:rsidP="006E6CB9">
            <w:pPr>
              <w:spacing w:line="240" w:lineRule="auto"/>
              <w:jc w:val="both"/>
              <w:rPr>
                <w:rFonts w:eastAsia="Calibri" w:cs="Arial"/>
                <w:b/>
                <w:szCs w:val="24"/>
              </w:rPr>
            </w:pPr>
            <w:r w:rsidRPr="00290108">
              <w:rPr>
                <w:rFonts w:eastAsia="Calibri" w:cs="Arial"/>
                <w:b/>
                <w:szCs w:val="24"/>
              </w:rPr>
              <w:t>Tópico</w:t>
            </w:r>
          </w:p>
        </w:tc>
        <w:tc>
          <w:tcPr>
            <w:tcW w:w="4952" w:type="dxa"/>
            <w:tcBorders>
              <w:top w:val="single" w:sz="6" w:space="0" w:color="000000"/>
              <w:left w:val="single" w:sz="6" w:space="0" w:color="000000"/>
              <w:bottom w:val="single" w:sz="6" w:space="0" w:color="000000"/>
              <w:right w:val="single" w:sz="6" w:space="0" w:color="000000"/>
            </w:tcBorders>
            <w:vAlign w:val="center"/>
          </w:tcPr>
          <w:p w:rsidR="006E6CB9" w:rsidRPr="00290108" w:rsidRDefault="006E6CB9" w:rsidP="006E6CB9">
            <w:pPr>
              <w:spacing w:line="240" w:lineRule="auto"/>
              <w:jc w:val="both"/>
              <w:rPr>
                <w:rFonts w:eastAsia="Calibri" w:cs="Arial"/>
                <w:szCs w:val="24"/>
              </w:rPr>
            </w:pPr>
            <w:r w:rsidRPr="00290108">
              <w:rPr>
                <w:rFonts w:eastAsia="Calibri" w:cs="Arial"/>
                <w:szCs w:val="24"/>
              </w:rPr>
              <w:t>Farmacologia</w:t>
            </w:r>
          </w:p>
        </w:tc>
        <w:tc>
          <w:tcPr>
            <w:tcW w:w="2070" w:type="dxa"/>
            <w:tcBorders>
              <w:top w:val="single" w:sz="6" w:space="0" w:color="000000"/>
              <w:left w:val="single" w:sz="6" w:space="0" w:color="000000"/>
              <w:bottom w:val="single" w:sz="6" w:space="0" w:color="000000"/>
              <w:right w:val="single" w:sz="6" w:space="0" w:color="000000"/>
            </w:tcBorders>
            <w:vAlign w:val="center"/>
          </w:tcPr>
          <w:p w:rsidR="006E6CB9" w:rsidRPr="00290108" w:rsidRDefault="006E6CB9" w:rsidP="006E6CB9">
            <w:pPr>
              <w:spacing w:line="240" w:lineRule="auto"/>
              <w:jc w:val="both"/>
              <w:rPr>
                <w:rFonts w:eastAsia="Calibri" w:cs="Arial"/>
                <w:b/>
                <w:szCs w:val="24"/>
              </w:rPr>
            </w:pPr>
            <w:r w:rsidRPr="00290108">
              <w:rPr>
                <w:rFonts w:eastAsia="Calibri" w:cs="Arial"/>
                <w:b/>
                <w:szCs w:val="24"/>
              </w:rPr>
              <w:t xml:space="preserve">Tipo </w:t>
            </w:r>
          </w:p>
        </w:tc>
        <w:tc>
          <w:tcPr>
            <w:tcW w:w="1710" w:type="dxa"/>
            <w:tcBorders>
              <w:top w:val="single" w:sz="6" w:space="0" w:color="000000"/>
              <w:left w:val="single" w:sz="6" w:space="0" w:color="000000"/>
              <w:bottom w:val="single" w:sz="6" w:space="0" w:color="000000"/>
              <w:right w:val="single" w:sz="6" w:space="0" w:color="000000"/>
            </w:tcBorders>
            <w:vAlign w:val="center"/>
          </w:tcPr>
          <w:p w:rsidR="006E6CB9" w:rsidRPr="00290108" w:rsidRDefault="006E6CB9" w:rsidP="006E6CB9">
            <w:pPr>
              <w:spacing w:line="240" w:lineRule="auto"/>
              <w:jc w:val="both"/>
              <w:rPr>
                <w:rFonts w:eastAsia="Calibri" w:cs="Arial"/>
              </w:rPr>
            </w:pPr>
            <w:r w:rsidRPr="00290108">
              <w:rPr>
                <w:rFonts w:eastAsia="Calibri" w:cs="Arial"/>
              </w:rPr>
              <w:t>Teórica</w:t>
            </w:r>
          </w:p>
        </w:tc>
      </w:tr>
      <w:tr w:rsidR="006E6CB9" w:rsidRPr="00290108" w:rsidTr="00FC6E81">
        <w:trPr>
          <w:cantSplit/>
          <w:trHeight w:val="414"/>
        </w:trPr>
        <w:tc>
          <w:tcPr>
            <w:tcW w:w="1418" w:type="dxa"/>
            <w:tcBorders>
              <w:top w:val="single" w:sz="6" w:space="0" w:color="000000"/>
              <w:left w:val="single" w:sz="6" w:space="0" w:color="000000"/>
              <w:bottom w:val="single" w:sz="6" w:space="0" w:color="000000"/>
              <w:right w:val="single" w:sz="6" w:space="0" w:color="000000"/>
            </w:tcBorders>
            <w:vAlign w:val="center"/>
          </w:tcPr>
          <w:p w:rsidR="006E6CB9" w:rsidRPr="00290108" w:rsidRDefault="006E6CB9" w:rsidP="005F3F7B">
            <w:pPr>
              <w:spacing w:after="0" w:line="240" w:lineRule="auto"/>
              <w:jc w:val="both"/>
              <w:rPr>
                <w:rFonts w:eastAsia="Calibri" w:cs="Arial"/>
                <w:b/>
                <w:szCs w:val="24"/>
              </w:rPr>
            </w:pPr>
            <w:r w:rsidRPr="00290108">
              <w:rPr>
                <w:rFonts w:eastAsia="Calibri" w:cs="Arial"/>
                <w:b/>
                <w:szCs w:val="24"/>
              </w:rPr>
              <w:t>Conteúdos</w:t>
            </w:r>
          </w:p>
        </w:tc>
        <w:tc>
          <w:tcPr>
            <w:tcW w:w="4952" w:type="dxa"/>
            <w:tcBorders>
              <w:top w:val="single" w:sz="6" w:space="0" w:color="000000"/>
              <w:left w:val="single" w:sz="6" w:space="0" w:color="000000"/>
              <w:bottom w:val="single" w:sz="6" w:space="0" w:color="000000"/>
              <w:right w:val="single" w:sz="6" w:space="0" w:color="000000"/>
            </w:tcBorders>
            <w:vAlign w:val="center"/>
          </w:tcPr>
          <w:p w:rsidR="006E6CB9" w:rsidRPr="005F3F7B" w:rsidRDefault="006E6CB9" w:rsidP="005F3F7B">
            <w:pPr>
              <w:spacing w:before="60" w:after="0"/>
              <w:rPr>
                <w:rFonts w:cs="Arial"/>
                <w:lang w:val="pt-BR"/>
              </w:rPr>
            </w:pPr>
            <w:bookmarkStart w:id="28" w:name="_Toc329099771"/>
            <w:r w:rsidRPr="005F3F7B">
              <w:rPr>
                <w:rStyle w:val="Heading1Char"/>
                <w:b w:val="0"/>
                <w:sz w:val="22"/>
                <w:szCs w:val="22"/>
                <w:lang w:val="pt-BR"/>
              </w:rPr>
              <w:t>Farmacologia Especial de Sistemas</w:t>
            </w:r>
            <w:bookmarkEnd w:id="28"/>
            <w:r w:rsidRPr="005F3F7B">
              <w:rPr>
                <w:rFonts w:cs="Arial"/>
                <w:lang w:val="pt-BR"/>
              </w:rPr>
              <w:t xml:space="preserve"> 6:</w:t>
            </w:r>
          </w:p>
          <w:p w:rsidR="006E6CB9" w:rsidRPr="005F3F7B" w:rsidRDefault="006E6CB9" w:rsidP="005F3F7B">
            <w:pPr>
              <w:framePr w:hSpace="180" w:wrap="around" w:vAnchor="text" w:hAnchor="text" w:y="1"/>
              <w:spacing w:before="60" w:after="0"/>
              <w:suppressOverlap/>
              <w:rPr>
                <w:rFonts w:cs="Arial"/>
                <w:lang w:val="pt-BR"/>
              </w:rPr>
            </w:pPr>
            <w:r w:rsidRPr="005F3F7B">
              <w:rPr>
                <w:rFonts w:cs="Arial"/>
                <w:lang w:val="pt-BR"/>
              </w:rPr>
              <w:t>- Nutrição, Vitaminas e Minerais</w:t>
            </w:r>
          </w:p>
          <w:p w:rsidR="006E6CB9" w:rsidRPr="005F3F7B" w:rsidRDefault="006E6CB9" w:rsidP="005F3F7B">
            <w:pPr>
              <w:framePr w:hSpace="180" w:wrap="around" w:vAnchor="text" w:hAnchor="text" w:y="1"/>
              <w:spacing w:before="60" w:after="0"/>
              <w:suppressOverlap/>
              <w:rPr>
                <w:rFonts w:cs="Arial"/>
                <w:lang w:val="pt-BR"/>
              </w:rPr>
            </w:pPr>
            <w:r w:rsidRPr="005F3F7B">
              <w:rPr>
                <w:rFonts w:cs="Arial"/>
                <w:lang w:val="pt-BR"/>
              </w:rPr>
              <w:t>- Analgésicos/Anti-Piréticos, Anti-Inflamatórios e Anti-Alérgicos</w:t>
            </w:r>
          </w:p>
          <w:p w:rsidR="006E6CB9" w:rsidRPr="005F3F7B" w:rsidRDefault="006E6CB9" w:rsidP="005F3F7B">
            <w:pPr>
              <w:framePr w:hSpace="180" w:wrap="around" w:vAnchor="text" w:hAnchor="text" w:y="1"/>
              <w:spacing w:before="60" w:after="0"/>
              <w:suppressOverlap/>
              <w:rPr>
                <w:rFonts w:cs="Arial"/>
                <w:lang w:val="pt-BR"/>
              </w:rPr>
            </w:pPr>
            <w:r w:rsidRPr="005F3F7B">
              <w:rPr>
                <w:rFonts w:cs="Arial"/>
                <w:lang w:val="pt-BR"/>
              </w:rPr>
              <w:t>- Programa de Medicamentos Essenciais e Receitas Médicas</w:t>
            </w:r>
          </w:p>
        </w:tc>
        <w:tc>
          <w:tcPr>
            <w:tcW w:w="2070" w:type="dxa"/>
            <w:tcBorders>
              <w:top w:val="single" w:sz="6" w:space="0" w:color="000000"/>
              <w:left w:val="single" w:sz="6" w:space="0" w:color="000000"/>
              <w:bottom w:val="single" w:sz="6" w:space="0" w:color="000000"/>
              <w:right w:val="single" w:sz="6" w:space="0" w:color="000000"/>
            </w:tcBorders>
            <w:vAlign w:val="center"/>
          </w:tcPr>
          <w:p w:rsidR="006E6CB9" w:rsidRPr="00290108" w:rsidRDefault="006E6CB9" w:rsidP="005F3F7B">
            <w:pPr>
              <w:spacing w:after="0" w:line="240" w:lineRule="auto"/>
              <w:jc w:val="both"/>
              <w:rPr>
                <w:rFonts w:eastAsia="Calibri" w:cs="Arial"/>
                <w:b/>
                <w:szCs w:val="24"/>
              </w:rPr>
            </w:pPr>
            <w:r w:rsidRPr="00290108">
              <w:rPr>
                <w:rFonts w:eastAsia="Calibri" w:cs="Arial"/>
                <w:b/>
                <w:szCs w:val="24"/>
              </w:rPr>
              <w:t>Duração</w:t>
            </w:r>
          </w:p>
        </w:tc>
        <w:tc>
          <w:tcPr>
            <w:tcW w:w="1710" w:type="dxa"/>
            <w:tcBorders>
              <w:top w:val="single" w:sz="6" w:space="0" w:color="000000"/>
              <w:left w:val="single" w:sz="6" w:space="0" w:color="000000"/>
              <w:bottom w:val="single" w:sz="6" w:space="0" w:color="000000"/>
              <w:right w:val="single" w:sz="6" w:space="0" w:color="000000"/>
            </w:tcBorders>
            <w:vAlign w:val="center"/>
          </w:tcPr>
          <w:p w:rsidR="006E6CB9" w:rsidRPr="00290108" w:rsidRDefault="006E6CB9" w:rsidP="005F3F7B">
            <w:pPr>
              <w:spacing w:after="0" w:line="240" w:lineRule="auto"/>
              <w:jc w:val="both"/>
              <w:rPr>
                <w:rFonts w:eastAsia="Calibri" w:cs="Arial"/>
              </w:rPr>
            </w:pPr>
            <w:r w:rsidRPr="00290108">
              <w:rPr>
                <w:rFonts w:eastAsia="Calibri" w:cs="Arial"/>
              </w:rPr>
              <w:t>2 h</w:t>
            </w:r>
          </w:p>
        </w:tc>
      </w:tr>
    </w:tbl>
    <w:p w:rsidR="006E6CB9" w:rsidRPr="00290108" w:rsidRDefault="006E6CB9" w:rsidP="005F3F7B">
      <w:pPr>
        <w:spacing w:after="0"/>
        <w:jc w:val="both"/>
        <w:outlineLvl w:val="0"/>
        <w:rPr>
          <w:rFonts w:cs="Arial"/>
          <w:b/>
          <w:bCs/>
        </w:rPr>
      </w:pPr>
    </w:p>
    <w:p w:rsidR="006E6CB9" w:rsidRPr="0052785B" w:rsidRDefault="006E6CB9" w:rsidP="0052785B">
      <w:pPr>
        <w:rPr>
          <w:b/>
        </w:rPr>
      </w:pPr>
      <w:r w:rsidRPr="0052785B">
        <w:rPr>
          <w:b/>
        </w:rPr>
        <w:t>Objectivos de Aprendizagem:</w:t>
      </w:r>
    </w:p>
    <w:p w:rsidR="006E6CB9" w:rsidRPr="006E6CB9" w:rsidRDefault="006E6CB9" w:rsidP="006E6CB9">
      <w:pPr>
        <w:jc w:val="both"/>
        <w:rPr>
          <w:rFonts w:cs="Arial"/>
          <w:lang w:val="pt-BR"/>
        </w:rPr>
      </w:pPr>
      <w:r w:rsidRPr="006E6CB9">
        <w:rPr>
          <w:rFonts w:cs="Arial"/>
          <w:lang w:val="pt-BR"/>
        </w:rPr>
        <w:t>Até ao fim da aula os alunos devem ser capazes de:</w:t>
      </w:r>
    </w:p>
    <w:p w:rsidR="006E6CB9" w:rsidRPr="006E6CB9" w:rsidRDefault="006E6CB9" w:rsidP="00C52E09">
      <w:pPr>
        <w:pStyle w:val="ListParagraph"/>
        <w:numPr>
          <w:ilvl w:val="0"/>
          <w:numId w:val="230"/>
        </w:numPr>
        <w:spacing w:after="0"/>
        <w:contextualSpacing w:val="0"/>
        <w:jc w:val="both"/>
        <w:rPr>
          <w:rFonts w:cs="Arial"/>
          <w:lang w:val="pt-BR"/>
        </w:rPr>
      </w:pPr>
      <w:r w:rsidRPr="006E6CB9">
        <w:rPr>
          <w:rFonts w:cs="Arial"/>
          <w:lang w:val="pt-BR"/>
        </w:rPr>
        <w:t>Descrever de forma sucinta os diferentes tratamentos da malnutrição</w:t>
      </w:r>
    </w:p>
    <w:p w:rsidR="006E6CB9" w:rsidRPr="006E6CB9" w:rsidRDefault="006E6CB9" w:rsidP="00C52E09">
      <w:pPr>
        <w:pStyle w:val="ListParagraph"/>
        <w:numPr>
          <w:ilvl w:val="0"/>
          <w:numId w:val="230"/>
        </w:numPr>
        <w:spacing w:after="0"/>
        <w:contextualSpacing w:val="0"/>
        <w:jc w:val="both"/>
        <w:rPr>
          <w:rFonts w:cs="Arial"/>
          <w:lang w:val="pt-BR"/>
        </w:rPr>
      </w:pPr>
      <w:r w:rsidRPr="006E6CB9">
        <w:rPr>
          <w:rFonts w:cs="Arial"/>
          <w:lang w:val="pt-BR"/>
        </w:rPr>
        <w:t>Identificar e descrever os principais tipos de fármacos baseados nos seguintes itens: mecanismo de acção, forma farmacêutica, vias de administração, indicações, contra-indicações, precauções,  efeitos secundários, interacções e dose e dosagem</w:t>
      </w:r>
    </w:p>
    <w:p w:rsidR="006E6CB9" w:rsidRDefault="006E6CB9" w:rsidP="00C52E09">
      <w:pPr>
        <w:pStyle w:val="ListParagraph"/>
        <w:numPr>
          <w:ilvl w:val="2"/>
          <w:numId w:val="230"/>
        </w:numPr>
        <w:tabs>
          <w:tab w:val="clear" w:pos="1440"/>
          <w:tab w:val="num" w:pos="1080"/>
        </w:tabs>
        <w:spacing w:after="0"/>
        <w:contextualSpacing w:val="0"/>
        <w:jc w:val="both"/>
        <w:rPr>
          <w:rFonts w:cs="Arial"/>
        </w:rPr>
      </w:pPr>
      <w:r>
        <w:rPr>
          <w:rFonts w:cs="Arial"/>
        </w:rPr>
        <w:t>Analgésicos/Antipiréticos e Anti-Inflamatórios</w:t>
      </w:r>
    </w:p>
    <w:p w:rsidR="006E6CB9" w:rsidRDefault="006E6CB9" w:rsidP="00C52E09">
      <w:pPr>
        <w:pStyle w:val="ListParagraph"/>
        <w:numPr>
          <w:ilvl w:val="2"/>
          <w:numId w:val="230"/>
        </w:numPr>
        <w:tabs>
          <w:tab w:val="clear" w:pos="1440"/>
          <w:tab w:val="num" w:pos="1080"/>
        </w:tabs>
        <w:spacing w:after="0"/>
        <w:contextualSpacing w:val="0"/>
        <w:jc w:val="both"/>
        <w:rPr>
          <w:rFonts w:cs="Arial"/>
        </w:rPr>
      </w:pPr>
      <w:r>
        <w:rPr>
          <w:rFonts w:cs="Arial"/>
        </w:rPr>
        <w:t>Anti-Alérgicos</w:t>
      </w:r>
    </w:p>
    <w:p w:rsidR="006E6CB9" w:rsidRPr="006E6CB9" w:rsidRDefault="006E6CB9" w:rsidP="00C52E09">
      <w:pPr>
        <w:pStyle w:val="ListParagraph"/>
        <w:numPr>
          <w:ilvl w:val="0"/>
          <w:numId w:val="230"/>
        </w:numPr>
        <w:spacing w:after="0"/>
        <w:contextualSpacing w:val="0"/>
        <w:jc w:val="both"/>
        <w:rPr>
          <w:rFonts w:cs="Arial"/>
          <w:lang w:val="pt-BR"/>
        </w:rPr>
      </w:pPr>
      <w:r w:rsidRPr="006E6CB9">
        <w:rPr>
          <w:rFonts w:cs="Arial"/>
          <w:lang w:val="pt-BR"/>
        </w:rPr>
        <w:t>Descrever os kits básicos de medicamentos utilizados no Sistema Nacional de Saúde e o seu conteúdo.</w:t>
      </w:r>
    </w:p>
    <w:p w:rsidR="006E6CB9" w:rsidRPr="006E6CB9" w:rsidRDefault="006E6CB9" w:rsidP="00C52E09">
      <w:pPr>
        <w:pStyle w:val="ListParagraph"/>
        <w:numPr>
          <w:ilvl w:val="0"/>
          <w:numId w:val="230"/>
        </w:numPr>
        <w:spacing w:after="0"/>
        <w:contextualSpacing w:val="0"/>
        <w:jc w:val="both"/>
        <w:rPr>
          <w:rFonts w:cs="Arial"/>
          <w:lang w:val="pt-BR"/>
        </w:rPr>
      </w:pPr>
      <w:r w:rsidRPr="006E6CB9">
        <w:rPr>
          <w:rFonts w:cs="Arial"/>
          <w:lang w:val="pt-BR"/>
        </w:rPr>
        <w:t>Explicar como preencher as receitas do Sistema Nacional de Saúde.</w:t>
      </w:r>
    </w:p>
    <w:p w:rsidR="00035880" w:rsidRPr="006E6CB9" w:rsidRDefault="00035880" w:rsidP="006E6CB9">
      <w:pPr>
        <w:tabs>
          <w:tab w:val="left" w:pos="244"/>
        </w:tabs>
        <w:jc w:val="both"/>
        <w:rPr>
          <w:rFonts w:cs="Arial"/>
          <w:lang w:val="pt-BR"/>
        </w:rPr>
      </w:pPr>
    </w:p>
    <w:p w:rsidR="006E6CB9" w:rsidRPr="0052785B" w:rsidRDefault="006E6CB9" w:rsidP="0052785B">
      <w:pPr>
        <w:rPr>
          <w:b/>
        </w:rPr>
      </w:pPr>
      <w:r w:rsidRPr="0052785B">
        <w:rPr>
          <w:b/>
        </w:rPr>
        <w:t>Estrutura da Aula</w:t>
      </w:r>
    </w:p>
    <w:tbl>
      <w:tblPr>
        <w:tblW w:w="10188" w:type="dxa"/>
        <w:tblBorders>
          <w:top w:val="single" w:sz="18" w:space="0" w:color="auto"/>
          <w:bottom w:val="single" w:sz="18" w:space="0" w:color="auto"/>
        </w:tblBorders>
        <w:tblLayout w:type="fixed"/>
        <w:tblLook w:val="0400" w:firstRow="0" w:lastRow="0" w:firstColumn="0" w:lastColumn="0" w:noHBand="0" w:noVBand="1"/>
      </w:tblPr>
      <w:tblGrid>
        <w:gridCol w:w="738"/>
        <w:gridCol w:w="3690"/>
        <w:gridCol w:w="3600"/>
        <w:gridCol w:w="2160"/>
      </w:tblGrid>
      <w:tr w:rsidR="006E6CB9" w:rsidRPr="00290108" w:rsidTr="00FC6E81">
        <w:trPr>
          <w:trHeight w:val="432"/>
        </w:trPr>
        <w:tc>
          <w:tcPr>
            <w:tcW w:w="738" w:type="dxa"/>
            <w:tcBorders>
              <w:top w:val="single" w:sz="18" w:space="0" w:color="auto"/>
              <w:bottom w:val="single" w:sz="18" w:space="0" w:color="auto"/>
              <w:right w:val="single" w:sz="4" w:space="0" w:color="auto"/>
            </w:tcBorders>
            <w:shd w:val="clear" w:color="auto" w:fill="B8CCE4"/>
          </w:tcPr>
          <w:p w:rsidR="006E6CB9" w:rsidRPr="00290108" w:rsidRDefault="006E6CB9" w:rsidP="006E6CB9">
            <w:pPr>
              <w:spacing w:before="60" w:line="240" w:lineRule="auto"/>
              <w:ind w:left="-110" w:right="-108"/>
              <w:jc w:val="both"/>
              <w:rPr>
                <w:rFonts w:cs="Arial"/>
                <w:b/>
                <w:sz w:val="20"/>
                <w:szCs w:val="20"/>
              </w:rPr>
            </w:pPr>
            <w:r w:rsidRPr="00290108">
              <w:rPr>
                <w:rFonts w:cs="Arial"/>
                <w:b/>
                <w:sz w:val="20"/>
                <w:szCs w:val="20"/>
              </w:rPr>
              <w:t>Bloco</w:t>
            </w:r>
          </w:p>
        </w:tc>
        <w:tc>
          <w:tcPr>
            <w:tcW w:w="3690" w:type="dxa"/>
            <w:tcBorders>
              <w:top w:val="single" w:sz="18" w:space="0" w:color="auto"/>
              <w:left w:val="single" w:sz="4" w:space="0" w:color="auto"/>
              <w:bottom w:val="single" w:sz="18" w:space="0" w:color="auto"/>
              <w:right w:val="single" w:sz="4" w:space="0" w:color="auto"/>
            </w:tcBorders>
            <w:shd w:val="clear" w:color="auto" w:fill="B8CCE4"/>
          </w:tcPr>
          <w:p w:rsidR="006E6CB9" w:rsidRPr="00290108" w:rsidRDefault="006E6CB9" w:rsidP="006E6CB9">
            <w:pPr>
              <w:spacing w:before="60" w:line="240" w:lineRule="auto"/>
              <w:jc w:val="both"/>
              <w:rPr>
                <w:rFonts w:cs="Arial"/>
                <w:b/>
                <w:sz w:val="20"/>
                <w:szCs w:val="20"/>
              </w:rPr>
            </w:pPr>
            <w:r w:rsidRPr="00290108">
              <w:rPr>
                <w:rFonts w:cs="Arial"/>
                <w:b/>
                <w:sz w:val="20"/>
                <w:szCs w:val="20"/>
              </w:rPr>
              <w:t>Título do Bloco</w:t>
            </w:r>
          </w:p>
        </w:tc>
        <w:tc>
          <w:tcPr>
            <w:tcW w:w="3600" w:type="dxa"/>
            <w:tcBorders>
              <w:top w:val="single" w:sz="18" w:space="0" w:color="auto"/>
              <w:left w:val="single" w:sz="4" w:space="0" w:color="auto"/>
              <w:bottom w:val="single" w:sz="18" w:space="0" w:color="auto"/>
              <w:right w:val="single" w:sz="4" w:space="0" w:color="auto"/>
            </w:tcBorders>
            <w:shd w:val="clear" w:color="auto" w:fill="B8CCE4"/>
          </w:tcPr>
          <w:p w:rsidR="006E6CB9" w:rsidRPr="00290108" w:rsidRDefault="006E6CB9" w:rsidP="006E6CB9">
            <w:pPr>
              <w:tabs>
                <w:tab w:val="left" w:pos="244"/>
              </w:tabs>
              <w:spacing w:before="60" w:line="240" w:lineRule="auto"/>
              <w:jc w:val="both"/>
              <w:rPr>
                <w:rFonts w:cs="Arial"/>
                <w:b/>
                <w:sz w:val="20"/>
                <w:szCs w:val="20"/>
              </w:rPr>
            </w:pPr>
            <w:r w:rsidRPr="00290108">
              <w:rPr>
                <w:rFonts w:cs="Arial"/>
                <w:b/>
                <w:sz w:val="20"/>
                <w:szCs w:val="20"/>
              </w:rPr>
              <w:t>Método de Ensino</w:t>
            </w:r>
          </w:p>
        </w:tc>
        <w:tc>
          <w:tcPr>
            <w:tcW w:w="2160" w:type="dxa"/>
            <w:tcBorders>
              <w:top w:val="single" w:sz="18" w:space="0" w:color="auto"/>
              <w:left w:val="single" w:sz="4" w:space="0" w:color="auto"/>
              <w:bottom w:val="single" w:sz="18" w:space="0" w:color="auto"/>
            </w:tcBorders>
            <w:shd w:val="clear" w:color="auto" w:fill="B8CCE4"/>
          </w:tcPr>
          <w:p w:rsidR="006E6CB9" w:rsidRPr="00290108" w:rsidRDefault="006E6CB9" w:rsidP="006E6CB9">
            <w:pPr>
              <w:tabs>
                <w:tab w:val="left" w:pos="244"/>
              </w:tabs>
              <w:spacing w:before="60" w:line="240" w:lineRule="auto"/>
              <w:jc w:val="both"/>
              <w:rPr>
                <w:rFonts w:cs="Arial"/>
                <w:b/>
                <w:sz w:val="20"/>
                <w:szCs w:val="20"/>
              </w:rPr>
            </w:pPr>
            <w:r w:rsidRPr="00290108">
              <w:rPr>
                <w:rFonts w:cs="Arial"/>
                <w:b/>
                <w:sz w:val="20"/>
                <w:szCs w:val="20"/>
              </w:rPr>
              <w:t>Duração</w:t>
            </w:r>
          </w:p>
        </w:tc>
      </w:tr>
      <w:tr w:rsidR="006E6CB9" w:rsidRPr="00290108" w:rsidTr="00FC6E81">
        <w:tc>
          <w:tcPr>
            <w:tcW w:w="738" w:type="dxa"/>
            <w:tcBorders>
              <w:top w:val="single" w:sz="18" w:space="0" w:color="auto"/>
              <w:bottom w:val="single" w:sz="4" w:space="0" w:color="auto"/>
              <w:right w:val="single" w:sz="4" w:space="0" w:color="auto"/>
            </w:tcBorders>
          </w:tcPr>
          <w:p w:rsidR="006E6CB9" w:rsidRPr="00290108" w:rsidRDefault="006E6CB9" w:rsidP="005F3F7B">
            <w:pPr>
              <w:spacing w:before="60" w:after="60" w:line="360" w:lineRule="auto"/>
              <w:ind w:left="-110" w:right="-108"/>
              <w:jc w:val="center"/>
              <w:rPr>
                <w:rFonts w:cs="Arial"/>
                <w:sz w:val="20"/>
                <w:szCs w:val="20"/>
              </w:rPr>
            </w:pPr>
            <w:r w:rsidRPr="00290108">
              <w:rPr>
                <w:rFonts w:cs="Arial"/>
                <w:sz w:val="20"/>
                <w:szCs w:val="20"/>
              </w:rPr>
              <w:t>1</w:t>
            </w:r>
          </w:p>
        </w:tc>
        <w:tc>
          <w:tcPr>
            <w:tcW w:w="3690" w:type="dxa"/>
            <w:tcBorders>
              <w:top w:val="single" w:sz="18" w:space="0" w:color="auto"/>
              <w:left w:val="single" w:sz="4" w:space="0" w:color="auto"/>
              <w:bottom w:val="single" w:sz="4" w:space="0" w:color="auto"/>
              <w:right w:val="single" w:sz="4" w:space="0" w:color="auto"/>
            </w:tcBorders>
          </w:tcPr>
          <w:p w:rsidR="006E6CB9" w:rsidRPr="00290108" w:rsidRDefault="006E6CB9" w:rsidP="006E6CB9">
            <w:pPr>
              <w:tabs>
                <w:tab w:val="left" w:pos="244"/>
              </w:tabs>
              <w:spacing w:before="60" w:after="60" w:line="360" w:lineRule="auto"/>
              <w:jc w:val="both"/>
              <w:rPr>
                <w:rFonts w:cs="Arial"/>
                <w:sz w:val="20"/>
                <w:szCs w:val="20"/>
              </w:rPr>
            </w:pPr>
            <w:r w:rsidRPr="00290108">
              <w:rPr>
                <w:rFonts w:cs="Arial"/>
                <w:sz w:val="20"/>
                <w:szCs w:val="20"/>
              </w:rPr>
              <w:t>Introdução à Aula</w:t>
            </w:r>
          </w:p>
          <w:p w:rsidR="006E6CB9" w:rsidRPr="00290108" w:rsidRDefault="006E6CB9" w:rsidP="006E6CB9">
            <w:pPr>
              <w:tabs>
                <w:tab w:val="left" w:pos="244"/>
              </w:tabs>
              <w:spacing w:before="60" w:after="60" w:line="360" w:lineRule="auto"/>
              <w:jc w:val="both"/>
              <w:rPr>
                <w:rFonts w:cs="Arial"/>
                <w:sz w:val="20"/>
                <w:szCs w:val="20"/>
              </w:rPr>
            </w:pPr>
          </w:p>
        </w:tc>
        <w:tc>
          <w:tcPr>
            <w:tcW w:w="3600" w:type="dxa"/>
            <w:tcBorders>
              <w:top w:val="single" w:sz="18" w:space="0" w:color="auto"/>
              <w:left w:val="single" w:sz="4" w:space="0" w:color="auto"/>
              <w:bottom w:val="single" w:sz="4" w:space="0" w:color="auto"/>
              <w:right w:val="single" w:sz="4" w:space="0" w:color="auto"/>
            </w:tcBorders>
          </w:tcPr>
          <w:p w:rsidR="006E6CB9" w:rsidRPr="00290108" w:rsidRDefault="006E6CB9" w:rsidP="006E6CB9">
            <w:pPr>
              <w:tabs>
                <w:tab w:val="left" w:pos="244"/>
              </w:tabs>
              <w:spacing w:before="60" w:after="60" w:line="360" w:lineRule="auto"/>
              <w:jc w:val="both"/>
              <w:rPr>
                <w:rFonts w:cs="Arial"/>
                <w:sz w:val="20"/>
                <w:szCs w:val="20"/>
              </w:rPr>
            </w:pPr>
          </w:p>
        </w:tc>
        <w:tc>
          <w:tcPr>
            <w:tcW w:w="2160" w:type="dxa"/>
            <w:tcBorders>
              <w:top w:val="single" w:sz="18" w:space="0" w:color="auto"/>
              <w:left w:val="single" w:sz="4" w:space="0" w:color="auto"/>
              <w:bottom w:val="single" w:sz="4" w:space="0" w:color="auto"/>
            </w:tcBorders>
          </w:tcPr>
          <w:p w:rsidR="006E6CB9" w:rsidRPr="00290108" w:rsidRDefault="006E6CB9" w:rsidP="006E6CB9">
            <w:pPr>
              <w:tabs>
                <w:tab w:val="left" w:pos="244"/>
              </w:tabs>
              <w:spacing w:before="60" w:after="60" w:line="360" w:lineRule="auto"/>
              <w:jc w:val="both"/>
              <w:rPr>
                <w:rFonts w:cs="Arial"/>
                <w:sz w:val="20"/>
                <w:szCs w:val="20"/>
              </w:rPr>
            </w:pPr>
          </w:p>
        </w:tc>
      </w:tr>
      <w:tr w:rsidR="006E6CB9" w:rsidRPr="00290108" w:rsidTr="00FC6E81">
        <w:tc>
          <w:tcPr>
            <w:tcW w:w="738" w:type="dxa"/>
            <w:tcBorders>
              <w:top w:val="single" w:sz="4" w:space="0" w:color="auto"/>
              <w:bottom w:val="single" w:sz="4" w:space="0" w:color="auto"/>
              <w:right w:val="single" w:sz="4" w:space="0" w:color="auto"/>
            </w:tcBorders>
            <w:shd w:val="clear" w:color="auto" w:fill="D9D9D9"/>
          </w:tcPr>
          <w:p w:rsidR="006E6CB9" w:rsidRPr="00290108" w:rsidRDefault="006E6CB9" w:rsidP="005F3F7B">
            <w:pPr>
              <w:spacing w:before="60" w:after="60" w:line="360" w:lineRule="auto"/>
              <w:ind w:left="-110" w:right="-108"/>
              <w:jc w:val="center"/>
              <w:rPr>
                <w:rFonts w:cs="Arial"/>
                <w:sz w:val="20"/>
                <w:szCs w:val="20"/>
              </w:rPr>
            </w:pPr>
            <w:r w:rsidRPr="00290108">
              <w:rPr>
                <w:rFonts w:cs="Arial"/>
                <w:sz w:val="20"/>
                <w:szCs w:val="20"/>
              </w:rPr>
              <w:t>2</w:t>
            </w:r>
          </w:p>
        </w:tc>
        <w:tc>
          <w:tcPr>
            <w:tcW w:w="3690" w:type="dxa"/>
            <w:tcBorders>
              <w:top w:val="single" w:sz="4" w:space="0" w:color="auto"/>
              <w:left w:val="single" w:sz="4" w:space="0" w:color="auto"/>
              <w:bottom w:val="single" w:sz="4" w:space="0" w:color="auto"/>
              <w:right w:val="single" w:sz="4" w:space="0" w:color="auto"/>
            </w:tcBorders>
            <w:shd w:val="clear" w:color="auto" w:fill="D9D9D9"/>
          </w:tcPr>
          <w:p w:rsidR="006E6CB9" w:rsidRPr="00290108" w:rsidRDefault="006E6CB9" w:rsidP="006E6CB9">
            <w:pPr>
              <w:tabs>
                <w:tab w:val="left" w:pos="244"/>
              </w:tabs>
              <w:spacing w:before="60" w:after="60" w:line="360" w:lineRule="auto"/>
              <w:jc w:val="both"/>
              <w:rPr>
                <w:rFonts w:cs="Arial"/>
                <w:sz w:val="20"/>
                <w:szCs w:val="20"/>
              </w:rPr>
            </w:pPr>
            <w:r>
              <w:rPr>
                <w:rFonts w:cs="Arial"/>
                <w:sz w:val="20"/>
                <w:szCs w:val="20"/>
              </w:rPr>
              <w:t>Nutrição, Vitaminas e Minerais</w:t>
            </w:r>
          </w:p>
        </w:tc>
        <w:tc>
          <w:tcPr>
            <w:tcW w:w="3600" w:type="dxa"/>
            <w:tcBorders>
              <w:top w:val="single" w:sz="4" w:space="0" w:color="auto"/>
              <w:left w:val="single" w:sz="4" w:space="0" w:color="auto"/>
              <w:bottom w:val="single" w:sz="4" w:space="0" w:color="auto"/>
              <w:right w:val="single" w:sz="4" w:space="0" w:color="auto"/>
            </w:tcBorders>
            <w:shd w:val="clear" w:color="auto" w:fill="D9D9D9"/>
          </w:tcPr>
          <w:p w:rsidR="006E6CB9" w:rsidRPr="00290108" w:rsidRDefault="006E6CB9" w:rsidP="006E6CB9">
            <w:pPr>
              <w:tabs>
                <w:tab w:val="left" w:pos="244"/>
              </w:tabs>
              <w:spacing w:before="60" w:after="60" w:line="360" w:lineRule="auto"/>
              <w:jc w:val="both"/>
              <w:rPr>
                <w:rFonts w:cs="Arial"/>
                <w:sz w:val="20"/>
                <w:szCs w:val="20"/>
              </w:rPr>
            </w:pPr>
          </w:p>
          <w:p w:rsidR="006E6CB9" w:rsidRPr="00290108" w:rsidRDefault="006E6CB9" w:rsidP="006E6CB9">
            <w:pPr>
              <w:tabs>
                <w:tab w:val="left" w:pos="244"/>
              </w:tabs>
              <w:spacing w:before="60" w:after="60" w:line="360" w:lineRule="auto"/>
              <w:jc w:val="both"/>
              <w:rPr>
                <w:rFonts w:cs="Arial"/>
                <w:sz w:val="20"/>
                <w:szCs w:val="20"/>
              </w:rPr>
            </w:pPr>
          </w:p>
        </w:tc>
        <w:tc>
          <w:tcPr>
            <w:tcW w:w="2160" w:type="dxa"/>
            <w:tcBorders>
              <w:top w:val="single" w:sz="4" w:space="0" w:color="auto"/>
              <w:left w:val="single" w:sz="4" w:space="0" w:color="auto"/>
              <w:bottom w:val="single" w:sz="4" w:space="0" w:color="auto"/>
            </w:tcBorders>
            <w:shd w:val="clear" w:color="auto" w:fill="D9D9D9"/>
          </w:tcPr>
          <w:p w:rsidR="006E6CB9" w:rsidRPr="00290108" w:rsidRDefault="006E6CB9" w:rsidP="006E6CB9">
            <w:pPr>
              <w:tabs>
                <w:tab w:val="left" w:pos="244"/>
              </w:tabs>
              <w:spacing w:before="60" w:after="60" w:line="360" w:lineRule="auto"/>
              <w:jc w:val="both"/>
              <w:rPr>
                <w:rFonts w:cs="Arial"/>
                <w:sz w:val="20"/>
                <w:szCs w:val="20"/>
              </w:rPr>
            </w:pPr>
          </w:p>
        </w:tc>
      </w:tr>
      <w:tr w:rsidR="006E6CB9" w:rsidRPr="00FC6E81" w:rsidTr="00FC6E81">
        <w:tc>
          <w:tcPr>
            <w:tcW w:w="738" w:type="dxa"/>
            <w:tcBorders>
              <w:top w:val="single" w:sz="4" w:space="0" w:color="auto"/>
              <w:bottom w:val="single" w:sz="4" w:space="0" w:color="auto"/>
              <w:right w:val="single" w:sz="4" w:space="0" w:color="auto"/>
            </w:tcBorders>
          </w:tcPr>
          <w:p w:rsidR="006E6CB9" w:rsidRPr="00290108" w:rsidRDefault="006E6CB9" w:rsidP="005F3F7B">
            <w:pPr>
              <w:spacing w:before="60" w:after="60" w:line="360" w:lineRule="auto"/>
              <w:ind w:left="-110" w:right="-108"/>
              <w:jc w:val="center"/>
              <w:rPr>
                <w:rFonts w:cs="Arial"/>
                <w:sz w:val="20"/>
                <w:szCs w:val="20"/>
              </w:rPr>
            </w:pPr>
            <w:r w:rsidRPr="00290108">
              <w:rPr>
                <w:rFonts w:cs="Arial"/>
                <w:sz w:val="20"/>
                <w:szCs w:val="20"/>
              </w:rPr>
              <w:t>3</w:t>
            </w:r>
          </w:p>
        </w:tc>
        <w:tc>
          <w:tcPr>
            <w:tcW w:w="3690" w:type="dxa"/>
            <w:tcBorders>
              <w:top w:val="single" w:sz="4" w:space="0" w:color="auto"/>
              <w:left w:val="single" w:sz="4" w:space="0" w:color="auto"/>
              <w:bottom w:val="single" w:sz="4" w:space="0" w:color="auto"/>
              <w:right w:val="single" w:sz="4" w:space="0" w:color="auto"/>
            </w:tcBorders>
          </w:tcPr>
          <w:p w:rsidR="006E6CB9" w:rsidRPr="006E6CB9" w:rsidRDefault="006E6CB9" w:rsidP="006E6CB9">
            <w:pPr>
              <w:tabs>
                <w:tab w:val="left" w:pos="244"/>
              </w:tabs>
              <w:spacing w:before="60" w:after="60" w:line="360" w:lineRule="auto"/>
              <w:jc w:val="both"/>
              <w:rPr>
                <w:rFonts w:cs="Arial"/>
                <w:iCs/>
                <w:sz w:val="20"/>
                <w:szCs w:val="20"/>
                <w:lang w:val="pt-BR"/>
              </w:rPr>
            </w:pPr>
            <w:r w:rsidRPr="006E6CB9">
              <w:rPr>
                <w:rFonts w:cs="Arial"/>
                <w:iCs/>
                <w:sz w:val="20"/>
                <w:szCs w:val="20"/>
                <w:lang w:val="pt-BR"/>
              </w:rPr>
              <w:t>Analgésicos/Antipiréticos e Anti-inflamatórios</w:t>
            </w:r>
          </w:p>
        </w:tc>
        <w:tc>
          <w:tcPr>
            <w:tcW w:w="3600" w:type="dxa"/>
            <w:tcBorders>
              <w:top w:val="single" w:sz="4" w:space="0" w:color="auto"/>
              <w:left w:val="single" w:sz="4" w:space="0" w:color="auto"/>
              <w:bottom w:val="single" w:sz="4" w:space="0" w:color="auto"/>
              <w:right w:val="single" w:sz="4" w:space="0" w:color="auto"/>
            </w:tcBorders>
          </w:tcPr>
          <w:p w:rsidR="006E6CB9" w:rsidRPr="006E6CB9" w:rsidRDefault="006E6CB9" w:rsidP="006E6CB9">
            <w:pPr>
              <w:spacing w:before="60" w:after="60" w:line="360" w:lineRule="auto"/>
              <w:ind w:left="-18" w:firstLine="18"/>
              <w:jc w:val="both"/>
              <w:rPr>
                <w:rFonts w:cs="Arial"/>
                <w:sz w:val="20"/>
                <w:szCs w:val="20"/>
                <w:lang w:val="pt-BR"/>
              </w:rPr>
            </w:pPr>
          </w:p>
          <w:p w:rsidR="006E6CB9" w:rsidRPr="006E6CB9" w:rsidRDefault="006E6CB9" w:rsidP="006E6CB9">
            <w:pPr>
              <w:spacing w:before="60" w:after="60" w:line="360" w:lineRule="auto"/>
              <w:ind w:left="-18" w:firstLine="18"/>
              <w:jc w:val="both"/>
              <w:rPr>
                <w:rFonts w:cs="Arial"/>
                <w:sz w:val="20"/>
                <w:szCs w:val="20"/>
                <w:lang w:val="pt-BR"/>
              </w:rPr>
            </w:pPr>
          </w:p>
        </w:tc>
        <w:tc>
          <w:tcPr>
            <w:tcW w:w="2160" w:type="dxa"/>
            <w:tcBorders>
              <w:top w:val="single" w:sz="4" w:space="0" w:color="auto"/>
              <w:left w:val="single" w:sz="4" w:space="0" w:color="auto"/>
              <w:bottom w:val="single" w:sz="4" w:space="0" w:color="auto"/>
            </w:tcBorders>
          </w:tcPr>
          <w:p w:rsidR="006E6CB9" w:rsidRPr="006E6CB9" w:rsidRDefault="006E6CB9" w:rsidP="006E6CB9">
            <w:pPr>
              <w:spacing w:before="60" w:after="60" w:line="360" w:lineRule="auto"/>
              <w:ind w:left="-18" w:firstLine="18"/>
              <w:jc w:val="both"/>
              <w:rPr>
                <w:rFonts w:cs="Arial"/>
                <w:sz w:val="20"/>
                <w:szCs w:val="20"/>
                <w:lang w:val="pt-BR"/>
              </w:rPr>
            </w:pPr>
          </w:p>
        </w:tc>
      </w:tr>
      <w:tr w:rsidR="006E6CB9" w:rsidRPr="00290108" w:rsidTr="00FC6E81">
        <w:tc>
          <w:tcPr>
            <w:tcW w:w="738" w:type="dxa"/>
            <w:tcBorders>
              <w:top w:val="single" w:sz="4" w:space="0" w:color="auto"/>
              <w:bottom w:val="single" w:sz="4" w:space="0" w:color="auto"/>
              <w:right w:val="single" w:sz="4" w:space="0" w:color="auto"/>
            </w:tcBorders>
            <w:shd w:val="clear" w:color="auto" w:fill="D9D9D9"/>
          </w:tcPr>
          <w:p w:rsidR="006E6CB9" w:rsidRPr="00290108" w:rsidRDefault="006E6CB9" w:rsidP="005F3F7B">
            <w:pPr>
              <w:spacing w:before="60" w:after="60" w:line="360" w:lineRule="auto"/>
              <w:ind w:left="-110" w:right="-108"/>
              <w:jc w:val="center"/>
              <w:rPr>
                <w:rFonts w:cs="Arial"/>
                <w:sz w:val="20"/>
                <w:szCs w:val="20"/>
              </w:rPr>
            </w:pPr>
            <w:r w:rsidRPr="00290108">
              <w:rPr>
                <w:rFonts w:cs="Arial"/>
                <w:sz w:val="20"/>
                <w:szCs w:val="20"/>
              </w:rPr>
              <w:t>4</w:t>
            </w:r>
          </w:p>
        </w:tc>
        <w:tc>
          <w:tcPr>
            <w:tcW w:w="3690" w:type="dxa"/>
            <w:tcBorders>
              <w:top w:val="single" w:sz="4" w:space="0" w:color="auto"/>
              <w:left w:val="single" w:sz="4" w:space="0" w:color="auto"/>
              <w:bottom w:val="single" w:sz="4" w:space="0" w:color="auto"/>
              <w:right w:val="single" w:sz="4" w:space="0" w:color="auto"/>
            </w:tcBorders>
            <w:shd w:val="clear" w:color="auto" w:fill="D9D9D9"/>
          </w:tcPr>
          <w:p w:rsidR="006E6CB9" w:rsidRPr="00290108" w:rsidRDefault="006E6CB9" w:rsidP="006E6CB9">
            <w:pPr>
              <w:tabs>
                <w:tab w:val="left" w:pos="244"/>
              </w:tabs>
              <w:spacing w:before="60" w:after="60" w:line="360" w:lineRule="auto"/>
              <w:jc w:val="both"/>
              <w:rPr>
                <w:rFonts w:cs="Arial"/>
                <w:iCs/>
                <w:sz w:val="20"/>
                <w:szCs w:val="20"/>
              </w:rPr>
            </w:pPr>
            <w:r>
              <w:rPr>
                <w:rFonts w:cs="Arial"/>
                <w:iCs/>
                <w:sz w:val="20"/>
                <w:szCs w:val="20"/>
              </w:rPr>
              <w:t>Anti-Alérgicos</w:t>
            </w:r>
          </w:p>
        </w:tc>
        <w:tc>
          <w:tcPr>
            <w:tcW w:w="3600" w:type="dxa"/>
            <w:tcBorders>
              <w:top w:val="single" w:sz="4" w:space="0" w:color="auto"/>
              <w:left w:val="single" w:sz="4" w:space="0" w:color="auto"/>
              <w:bottom w:val="single" w:sz="4" w:space="0" w:color="auto"/>
              <w:right w:val="single" w:sz="4" w:space="0" w:color="auto"/>
            </w:tcBorders>
            <w:shd w:val="clear" w:color="auto" w:fill="D9D9D9"/>
          </w:tcPr>
          <w:p w:rsidR="006E6CB9" w:rsidRPr="00290108" w:rsidRDefault="006E6CB9" w:rsidP="006E6CB9">
            <w:pPr>
              <w:spacing w:before="60" w:after="60" w:line="360" w:lineRule="auto"/>
              <w:ind w:left="-18" w:firstLine="18"/>
              <w:jc w:val="both"/>
              <w:rPr>
                <w:rFonts w:cs="Arial"/>
                <w:sz w:val="20"/>
                <w:szCs w:val="20"/>
              </w:rPr>
            </w:pPr>
          </w:p>
          <w:p w:rsidR="006E6CB9" w:rsidRPr="00290108" w:rsidRDefault="006E6CB9" w:rsidP="006E6CB9">
            <w:pPr>
              <w:spacing w:before="60" w:after="60" w:line="360" w:lineRule="auto"/>
              <w:ind w:left="-18" w:firstLine="18"/>
              <w:jc w:val="both"/>
              <w:rPr>
                <w:rFonts w:cs="Arial"/>
                <w:sz w:val="20"/>
                <w:szCs w:val="20"/>
              </w:rPr>
            </w:pPr>
          </w:p>
        </w:tc>
        <w:tc>
          <w:tcPr>
            <w:tcW w:w="2160" w:type="dxa"/>
            <w:tcBorders>
              <w:top w:val="single" w:sz="4" w:space="0" w:color="auto"/>
              <w:left w:val="single" w:sz="4" w:space="0" w:color="auto"/>
              <w:bottom w:val="single" w:sz="4" w:space="0" w:color="auto"/>
            </w:tcBorders>
            <w:shd w:val="clear" w:color="auto" w:fill="D9D9D9"/>
          </w:tcPr>
          <w:p w:rsidR="006E6CB9" w:rsidRPr="00290108" w:rsidRDefault="006E6CB9" w:rsidP="006E6CB9">
            <w:pPr>
              <w:spacing w:before="60" w:after="60" w:line="360" w:lineRule="auto"/>
              <w:ind w:left="-18" w:firstLine="18"/>
              <w:jc w:val="both"/>
              <w:rPr>
                <w:rFonts w:cs="Arial"/>
                <w:sz w:val="20"/>
                <w:szCs w:val="20"/>
              </w:rPr>
            </w:pPr>
          </w:p>
        </w:tc>
      </w:tr>
      <w:tr w:rsidR="006E6CB9" w:rsidRPr="00290108" w:rsidTr="00FC6E81">
        <w:tc>
          <w:tcPr>
            <w:tcW w:w="738" w:type="dxa"/>
            <w:tcBorders>
              <w:top w:val="single" w:sz="4" w:space="0" w:color="auto"/>
              <w:bottom w:val="single" w:sz="4" w:space="0" w:color="auto"/>
              <w:right w:val="single" w:sz="4" w:space="0" w:color="auto"/>
            </w:tcBorders>
          </w:tcPr>
          <w:p w:rsidR="006E6CB9" w:rsidRPr="00290108" w:rsidRDefault="006E6CB9" w:rsidP="005F3F7B">
            <w:pPr>
              <w:spacing w:before="60" w:after="60" w:line="360" w:lineRule="auto"/>
              <w:ind w:left="-110" w:right="-108"/>
              <w:jc w:val="center"/>
              <w:rPr>
                <w:rFonts w:cs="Arial"/>
                <w:sz w:val="20"/>
                <w:szCs w:val="20"/>
              </w:rPr>
            </w:pPr>
            <w:r w:rsidRPr="00290108">
              <w:rPr>
                <w:rFonts w:cs="Arial"/>
                <w:sz w:val="20"/>
                <w:szCs w:val="20"/>
              </w:rPr>
              <w:t>5</w:t>
            </w:r>
          </w:p>
        </w:tc>
        <w:tc>
          <w:tcPr>
            <w:tcW w:w="3690" w:type="dxa"/>
            <w:tcBorders>
              <w:top w:val="single" w:sz="4" w:space="0" w:color="auto"/>
              <w:left w:val="single" w:sz="4" w:space="0" w:color="auto"/>
              <w:bottom w:val="single" w:sz="4" w:space="0" w:color="auto"/>
              <w:right w:val="single" w:sz="4" w:space="0" w:color="auto"/>
            </w:tcBorders>
          </w:tcPr>
          <w:p w:rsidR="006E6CB9" w:rsidRPr="00290108" w:rsidRDefault="006E6CB9" w:rsidP="006E6CB9">
            <w:pPr>
              <w:tabs>
                <w:tab w:val="left" w:pos="244"/>
              </w:tabs>
              <w:spacing w:before="60" w:after="60" w:line="360" w:lineRule="auto"/>
              <w:jc w:val="both"/>
              <w:rPr>
                <w:rFonts w:cs="Arial"/>
                <w:iCs/>
                <w:sz w:val="20"/>
                <w:szCs w:val="20"/>
              </w:rPr>
            </w:pPr>
            <w:r w:rsidRPr="00290108">
              <w:rPr>
                <w:rFonts w:cs="Arial"/>
                <w:iCs/>
                <w:sz w:val="20"/>
                <w:szCs w:val="20"/>
              </w:rPr>
              <w:t>Programa de Medicamentos Essenciais</w:t>
            </w:r>
          </w:p>
        </w:tc>
        <w:tc>
          <w:tcPr>
            <w:tcW w:w="3600" w:type="dxa"/>
            <w:tcBorders>
              <w:top w:val="single" w:sz="4" w:space="0" w:color="auto"/>
              <w:left w:val="single" w:sz="4" w:space="0" w:color="auto"/>
              <w:bottom w:val="single" w:sz="4" w:space="0" w:color="auto"/>
              <w:right w:val="single" w:sz="4" w:space="0" w:color="auto"/>
            </w:tcBorders>
          </w:tcPr>
          <w:p w:rsidR="006E6CB9" w:rsidRPr="00290108" w:rsidRDefault="006E6CB9" w:rsidP="006E6CB9">
            <w:pPr>
              <w:spacing w:before="60" w:after="60" w:line="360" w:lineRule="auto"/>
              <w:ind w:left="-18" w:firstLine="18"/>
              <w:jc w:val="both"/>
              <w:rPr>
                <w:rFonts w:cs="Arial"/>
                <w:sz w:val="20"/>
                <w:szCs w:val="20"/>
              </w:rPr>
            </w:pPr>
          </w:p>
          <w:p w:rsidR="006E6CB9" w:rsidRPr="00290108" w:rsidRDefault="006E6CB9" w:rsidP="006E6CB9">
            <w:pPr>
              <w:spacing w:before="60" w:after="60" w:line="360" w:lineRule="auto"/>
              <w:ind w:left="-18" w:firstLine="18"/>
              <w:jc w:val="both"/>
              <w:rPr>
                <w:rFonts w:cs="Arial"/>
                <w:sz w:val="20"/>
                <w:szCs w:val="20"/>
              </w:rPr>
            </w:pPr>
          </w:p>
        </w:tc>
        <w:tc>
          <w:tcPr>
            <w:tcW w:w="2160" w:type="dxa"/>
            <w:tcBorders>
              <w:top w:val="single" w:sz="4" w:space="0" w:color="auto"/>
              <w:left w:val="single" w:sz="4" w:space="0" w:color="auto"/>
              <w:bottom w:val="single" w:sz="4" w:space="0" w:color="auto"/>
            </w:tcBorders>
          </w:tcPr>
          <w:p w:rsidR="006E6CB9" w:rsidRPr="00290108" w:rsidRDefault="006E6CB9" w:rsidP="006E6CB9">
            <w:pPr>
              <w:spacing w:before="60" w:after="60" w:line="360" w:lineRule="auto"/>
              <w:ind w:left="-18" w:firstLine="18"/>
              <w:jc w:val="both"/>
              <w:rPr>
                <w:rFonts w:cs="Arial"/>
                <w:sz w:val="20"/>
                <w:szCs w:val="20"/>
              </w:rPr>
            </w:pPr>
          </w:p>
        </w:tc>
      </w:tr>
      <w:tr w:rsidR="006E6CB9" w:rsidRPr="00290108" w:rsidTr="00FC6E81">
        <w:tc>
          <w:tcPr>
            <w:tcW w:w="738" w:type="dxa"/>
            <w:tcBorders>
              <w:top w:val="single" w:sz="4" w:space="0" w:color="auto"/>
              <w:bottom w:val="single" w:sz="4" w:space="0" w:color="auto"/>
              <w:right w:val="single" w:sz="4" w:space="0" w:color="auto"/>
            </w:tcBorders>
            <w:shd w:val="clear" w:color="auto" w:fill="D9D9D9"/>
          </w:tcPr>
          <w:p w:rsidR="006E6CB9" w:rsidRPr="00290108" w:rsidRDefault="006E6CB9" w:rsidP="005F3F7B">
            <w:pPr>
              <w:spacing w:before="60" w:after="60" w:line="360" w:lineRule="auto"/>
              <w:ind w:left="-110" w:right="-108"/>
              <w:jc w:val="center"/>
              <w:rPr>
                <w:rFonts w:cs="Arial"/>
                <w:sz w:val="20"/>
                <w:szCs w:val="20"/>
              </w:rPr>
            </w:pPr>
            <w:r w:rsidRPr="00290108">
              <w:rPr>
                <w:rFonts w:cs="Arial"/>
                <w:sz w:val="20"/>
                <w:szCs w:val="20"/>
              </w:rPr>
              <w:t>6</w:t>
            </w:r>
          </w:p>
        </w:tc>
        <w:tc>
          <w:tcPr>
            <w:tcW w:w="3690" w:type="dxa"/>
            <w:tcBorders>
              <w:top w:val="single" w:sz="4" w:space="0" w:color="auto"/>
              <w:left w:val="single" w:sz="4" w:space="0" w:color="auto"/>
              <w:bottom w:val="single" w:sz="4" w:space="0" w:color="auto"/>
              <w:right w:val="single" w:sz="4" w:space="0" w:color="auto"/>
            </w:tcBorders>
            <w:shd w:val="clear" w:color="auto" w:fill="D9D9D9"/>
          </w:tcPr>
          <w:p w:rsidR="006E6CB9" w:rsidRPr="00290108" w:rsidRDefault="006E6CB9" w:rsidP="006E6CB9">
            <w:pPr>
              <w:tabs>
                <w:tab w:val="left" w:pos="244"/>
              </w:tabs>
              <w:spacing w:before="60" w:after="60" w:line="360" w:lineRule="auto"/>
              <w:jc w:val="both"/>
              <w:rPr>
                <w:rFonts w:cs="Arial"/>
                <w:iCs/>
                <w:sz w:val="20"/>
                <w:szCs w:val="20"/>
              </w:rPr>
            </w:pPr>
            <w:r w:rsidRPr="00290108">
              <w:rPr>
                <w:rFonts w:cs="Arial"/>
                <w:iCs/>
                <w:sz w:val="20"/>
                <w:szCs w:val="20"/>
              </w:rPr>
              <w:t>Receitas Médicas</w:t>
            </w:r>
          </w:p>
        </w:tc>
        <w:tc>
          <w:tcPr>
            <w:tcW w:w="3600" w:type="dxa"/>
            <w:tcBorders>
              <w:top w:val="single" w:sz="4" w:space="0" w:color="auto"/>
              <w:left w:val="single" w:sz="4" w:space="0" w:color="auto"/>
              <w:bottom w:val="single" w:sz="4" w:space="0" w:color="auto"/>
              <w:right w:val="single" w:sz="4" w:space="0" w:color="auto"/>
            </w:tcBorders>
            <w:shd w:val="clear" w:color="auto" w:fill="D9D9D9"/>
          </w:tcPr>
          <w:p w:rsidR="006E6CB9" w:rsidRPr="00290108" w:rsidRDefault="006E6CB9" w:rsidP="006E6CB9">
            <w:pPr>
              <w:spacing w:before="60" w:after="60" w:line="360" w:lineRule="auto"/>
              <w:ind w:left="-18" w:firstLine="18"/>
              <w:jc w:val="both"/>
              <w:rPr>
                <w:rFonts w:cs="Arial"/>
                <w:sz w:val="20"/>
                <w:szCs w:val="20"/>
              </w:rPr>
            </w:pPr>
          </w:p>
          <w:p w:rsidR="006E6CB9" w:rsidRPr="00290108" w:rsidRDefault="006E6CB9" w:rsidP="006E6CB9">
            <w:pPr>
              <w:spacing w:before="60" w:after="60" w:line="360" w:lineRule="auto"/>
              <w:ind w:left="-18" w:firstLine="18"/>
              <w:jc w:val="both"/>
              <w:rPr>
                <w:rFonts w:cs="Arial"/>
                <w:sz w:val="20"/>
                <w:szCs w:val="20"/>
              </w:rPr>
            </w:pPr>
          </w:p>
        </w:tc>
        <w:tc>
          <w:tcPr>
            <w:tcW w:w="2160" w:type="dxa"/>
            <w:tcBorders>
              <w:top w:val="single" w:sz="4" w:space="0" w:color="auto"/>
              <w:left w:val="single" w:sz="4" w:space="0" w:color="auto"/>
              <w:bottom w:val="single" w:sz="4" w:space="0" w:color="auto"/>
            </w:tcBorders>
            <w:shd w:val="clear" w:color="auto" w:fill="D9D9D9"/>
          </w:tcPr>
          <w:p w:rsidR="006E6CB9" w:rsidRPr="00290108" w:rsidRDefault="006E6CB9" w:rsidP="006E6CB9">
            <w:pPr>
              <w:spacing w:before="60" w:after="60" w:line="360" w:lineRule="auto"/>
              <w:ind w:left="-18" w:firstLine="18"/>
              <w:jc w:val="both"/>
              <w:rPr>
                <w:rFonts w:cs="Arial"/>
                <w:sz w:val="20"/>
                <w:szCs w:val="20"/>
              </w:rPr>
            </w:pPr>
          </w:p>
        </w:tc>
      </w:tr>
      <w:tr w:rsidR="006E6CB9" w:rsidRPr="00290108" w:rsidTr="00FC6E81">
        <w:tc>
          <w:tcPr>
            <w:tcW w:w="738" w:type="dxa"/>
            <w:tcBorders>
              <w:top w:val="single" w:sz="4" w:space="0" w:color="auto"/>
              <w:bottom w:val="single" w:sz="18" w:space="0" w:color="auto"/>
              <w:right w:val="single" w:sz="4" w:space="0" w:color="auto"/>
            </w:tcBorders>
            <w:shd w:val="clear" w:color="auto" w:fill="auto"/>
          </w:tcPr>
          <w:p w:rsidR="006E6CB9" w:rsidRPr="00290108" w:rsidRDefault="006E6CB9" w:rsidP="005F3F7B">
            <w:pPr>
              <w:spacing w:before="60" w:after="60" w:line="360" w:lineRule="auto"/>
              <w:ind w:left="-110" w:right="-108"/>
              <w:jc w:val="center"/>
              <w:rPr>
                <w:rFonts w:cs="Arial"/>
                <w:sz w:val="20"/>
                <w:szCs w:val="20"/>
              </w:rPr>
            </w:pPr>
            <w:r w:rsidRPr="00290108">
              <w:rPr>
                <w:rFonts w:cs="Arial"/>
                <w:sz w:val="20"/>
                <w:szCs w:val="20"/>
              </w:rPr>
              <w:t>7</w:t>
            </w:r>
          </w:p>
        </w:tc>
        <w:tc>
          <w:tcPr>
            <w:tcW w:w="3690" w:type="dxa"/>
            <w:tcBorders>
              <w:top w:val="single" w:sz="4" w:space="0" w:color="auto"/>
              <w:left w:val="single" w:sz="4" w:space="0" w:color="auto"/>
              <w:bottom w:val="single" w:sz="18" w:space="0" w:color="auto"/>
              <w:right w:val="single" w:sz="4" w:space="0" w:color="auto"/>
            </w:tcBorders>
            <w:shd w:val="clear" w:color="auto" w:fill="auto"/>
          </w:tcPr>
          <w:p w:rsidR="006E6CB9" w:rsidRPr="00290108" w:rsidRDefault="006E6CB9" w:rsidP="006E6CB9">
            <w:pPr>
              <w:tabs>
                <w:tab w:val="left" w:pos="244"/>
              </w:tabs>
              <w:spacing w:before="60" w:after="60" w:line="360" w:lineRule="auto"/>
              <w:jc w:val="both"/>
              <w:rPr>
                <w:rFonts w:cs="Arial"/>
                <w:iCs/>
                <w:sz w:val="20"/>
                <w:szCs w:val="20"/>
              </w:rPr>
            </w:pPr>
            <w:r w:rsidRPr="00290108">
              <w:rPr>
                <w:rFonts w:cs="Arial"/>
                <w:iCs/>
                <w:sz w:val="20"/>
                <w:szCs w:val="20"/>
              </w:rPr>
              <w:t>Pontos-chave</w:t>
            </w:r>
          </w:p>
        </w:tc>
        <w:tc>
          <w:tcPr>
            <w:tcW w:w="3600" w:type="dxa"/>
            <w:tcBorders>
              <w:top w:val="single" w:sz="4" w:space="0" w:color="auto"/>
              <w:left w:val="single" w:sz="4" w:space="0" w:color="auto"/>
              <w:bottom w:val="single" w:sz="18" w:space="0" w:color="auto"/>
              <w:right w:val="single" w:sz="4" w:space="0" w:color="auto"/>
            </w:tcBorders>
            <w:shd w:val="clear" w:color="auto" w:fill="auto"/>
          </w:tcPr>
          <w:p w:rsidR="006E6CB9" w:rsidRPr="00290108" w:rsidRDefault="006E6CB9" w:rsidP="006E6CB9">
            <w:pPr>
              <w:spacing w:before="60" w:after="60" w:line="360" w:lineRule="auto"/>
              <w:ind w:left="-18" w:firstLine="18"/>
              <w:jc w:val="both"/>
              <w:rPr>
                <w:rFonts w:cs="Arial"/>
                <w:sz w:val="20"/>
                <w:szCs w:val="20"/>
              </w:rPr>
            </w:pPr>
          </w:p>
          <w:p w:rsidR="006E6CB9" w:rsidRPr="00290108" w:rsidRDefault="006E6CB9" w:rsidP="006E6CB9">
            <w:pPr>
              <w:spacing w:before="60" w:after="60" w:line="360" w:lineRule="auto"/>
              <w:ind w:left="-18" w:firstLine="18"/>
              <w:jc w:val="both"/>
              <w:rPr>
                <w:rFonts w:cs="Arial"/>
                <w:sz w:val="20"/>
                <w:szCs w:val="20"/>
              </w:rPr>
            </w:pPr>
          </w:p>
        </w:tc>
        <w:tc>
          <w:tcPr>
            <w:tcW w:w="2160" w:type="dxa"/>
            <w:tcBorders>
              <w:top w:val="single" w:sz="4" w:space="0" w:color="auto"/>
              <w:left w:val="single" w:sz="4" w:space="0" w:color="auto"/>
              <w:bottom w:val="single" w:sz="18" w:space="0" w:color="auto"/>
            </w:tcBorders>
            <w:shd w:val="clear" w:color="auto" w:fill="auto"/>
          </w:tcPr>
          <w:p w:rsidR="006E6CB9" w:rsidRPr="00290108" w:rsidRDefault="006E6CB9" w:rsidP="006E6CB9">
            <w:pPr>
              <w:spacing w:before="60" w:after="60" w:line="360" w:lineRule="auto"/>
              <w:ind w:left="-18" w:firstLine="18"/>
              <w:jc w:val="both"/>
              <w:rPr>
                <w:rFonts w:cs="Arial"/>
                <w:sz w:val="20"/>
                <w:szCs w:val="20"/>
              </w:rPr>
            </w:pPr>
          </w:p>
        </w:tc>
      </w:tr>
    </w:tbl>
    <w:p w:rsidR="006E6CB9" w:rsidRPr="006E6CB9" w:rsidRDefault="006E6CB9" w:rsidP="006E6CB9">
      <w:pPr>
        <w:tabs>
          <w:tab w:val="left" w:pos="424"/>
        </w:tabs>
        <w:spacing w:before="60"/>
        <w:jc w:val="both"/>
        <w:rPr>
          <w:rFonts w:cs="Arial"/>
          <w:b/>
          <w:lang w:val="pt-BR"/>
        </w:rPr>
      </w:pPr>
      <w:r w:rsidRPr="006E6CB9">
        <w:rPr>
          <w:rFonts w:cs="Arial"/>
          <w:b/>
          <w:lang w:val="pt-BR"/>
        </w:rPr>
        <w:lastRenderedPageBreak/>
        <w:t>Equipamentos e meios audiovisuais necessários:</w:t>
      </w:r>
    </w:p>
    <w:p w:rsidR="006E6CB9" w:rsidRPr="006E6CB9" w:rsidRDefault="006E6CB9" w:rsidP="006E6CB9">
      <w:pPr>
        <w:tabs>
          <w:tab w:val="left" w:pos="424"/>
        </w:tabs>
        <w:jc w:val="both"/>
        <w:rPr>
          <w:rFonts w:cs="Arial"/>
          <w:lang w:val="pt-BR"/>
        </w:rPr>
      </w:pPr>
    </w:p>
    <w:p w:rsidR="006E6CB9" w:rsidRDefault="006E6CB9" w:rsidP="006E6CB9">
      <w:pPr>
        <w:tabs>
          <w:tab w:val="left" w:pos="424"/>
        </w:tabs>
        <w:jc w:val="both"/>
        <w:rPr>
          <w:rFonts w:cs="Arial"/>
          <w:lang w:val="pt-BR"/>
        </w:rPr>
      </w:pPr>
    </w:p>
    <w:p w:rsidR="00F46483" w:rsidRDefault="00F46483" w:rsidP="006E6CB9">
      <w:pPr>
        <w:tabs>
          <w:tab w:val="left" w:pos="424"/>
        </w:tabs>
        <w:jc w:val="both"/>
        <w:rPr>
          <w:rFonts w:cs="Arial"/>
          <w:lang w:val="pt-BR"/>
        </w:rPr>
      </w:pPr>
    </w:p>
    <w:p w:rsidR="00F46483" w:rsidRDefault="00F46483" w:rsidP="006E6CB9">
      <w:pPr>
        <w:tabs>
          <w:tab w:val="left" w:pos="424"/>
        </w:tabs>
        <w:jc w:val="both"/>
        <w:rPr>
          <w:rFonts w:cs="Arial"/>
          <w:lang w:val="pt-BR"/>
        </w:rPr>
      </w:pPr>
    </w:p>
    <w:p w:rsidR="00F46483" w:rsidRDefault="00F46483" w:rsidP="006E6CB9">
      <w:pPr>
        <w:tabs>
          <w:tab w:val="left" w:pos="424"/>
        </w:tabs>
        <w:jc w:val="both"/>
        <w:rPr>
          <w:rFonts w:cs="Arial"/>
          <w:lang w:val="pt-BR"/>
        </w:rPr>
      </w:pPr>
    </w:p>
    <w:p w:rsidR="00F46483" w:rsidRPr="006E6CB9" w:rsidRDefault="00F46483" w:rsidP="006E6CB9">
      <w:pPr>
        <w:tabs>
          <w:tab w:val="left" w:pos="424"/>
        </w:tabs>
        <w:jc w:val="both"/>
        <w:rPr>
          <w:rFonts w:cs="Arial"/>
          <w:lang w:val="pt-BR"/>
        </w:rPr>
      </w:pPr>
    </w:p>
    <w:p w:rsidR="006E6CB9" w:rsidRPr="006E6CB9" w:rsidRDefault="006E6CB9" w:rsidP="006E6CB9">
      <w:pPr>
        <w:tabs>
          <w:tab w:val="left" w:pos="424"/>
        </w:tabs>
        <w:jc w:val="both"/>
        <w:rPr>
          <w:rFonts w:cs="Arial"/>
          <w:lang w:val="pt-BR"/>
        </w:rPr>
      </w:pPr>
    </w:p>
    <w:p w:rsidR="006E6CB9" w:rsidRPr="006E6CB9" w:rsidRDefault="006E6CB9" w:rsidP="00035880">
      <w:pPr>
        <w:tabs>
          <w:tab w:val="left" w:pos="424"/>
        </w:tabs>
        <w:jc w:val="both"/>
        <w:rPr>
          <w:rFonts w:cs="Arial"/>
          <w:lang w:val="pt-BR"/>
        </w:rPr>
      </w:pPr>
      <w:r w:rsidRPr="006E6CB9">
        <w:rPr>
          <w:rFonts w:cs="Arial"/>
          <w:b/>
          <w:lang w:val="pt-BR"/>
        </w:rPr>
        <w:t>Trabalhos para casa (TPC), exercícios e textos para leitura – incluir data a ser entregue:</w:t>
      </w:r>
      <w:r w:rsidRPr="006E6CB9">
        <w:rPr>
          <w:rFonts w:cs="Arial"/>
          <w:lang w:val="pt-BR"/>
        </w:rPr>
        <w:t xml:space="preserve"> </w:t>
      </w:r>
    </w:p>
    <w:p w:rsidR="006E6CB9" w:rsidRPr="006E6CB9" w:rsidRDefault="006E6CB9" w:rsidP="006E6CB9">
      <w:pPr>
        <w:tabs>
          <w:tab w:val="left" w:pos="244"/>
        </w:tabs>
        <w:spacing w:line="240" w:lineRule="auto"/>
        <w:jc w:val="both"/>
        <w:outlineLvl w:val="0"/>
        <w:rPr>
          <w:rFonts w:cs="Arial"/>
          <w:lang w:val="pt-BR"/>
        </w:rPr>
      </w:pPr>
    </w:p>
    <w:p w:rsidR="006E6CB9" w:rsidRDefault="006E6CB9" w:rsidP="006E6CB9">
      <w:pPr>
        <w:tabs>
          <w:tab w:val="left" w:pos="244"/>
        </w:tabs>
        <w:spacing w:line="240" w:lineRule="auto"/>
        <w:jc w:val="both"/>
        <w:outlineLvl w:val="0"/>
        <w:rPr>
          <w:rFonts w:cs="Arial"/>
          <w:lang w:val="pt-BR"/>
        </w:rPr>
      </w:pPr>
    </w:p>
    <w:p w:rsidR="005F3F7B" w:rsidRDefault="005F3F7B" w:rsidP="006E6CB9">
      <w:pPr>
        <w:tabs>
          <w:tab w:val="left" w:pos="244"/>
        </w:tabs>
        <w:spacing w:line="240" w:lineRule="auto"/>
        <w:jc w:val="both"/>
        <w:outlineLvl w:val="0"/>
        <w:rPr>
          <w:rFonts w:cs="Arial"/>
          <w:lang w:val="pt-BR"/>
        </w:rPr>
      </w:pPr>
    </w:p>
    <w:p w:rsidR="005F3F7B" w:rsidRDefault="005F3F7B" w:rsidP="006E6CB9">
      <w:pPr>
        <w:tabs>
          <w:tab w:val="left" w:pos="244"/>
        </w:tabs>
        <w:spacing w:line="240" w:lineRule="auto"/>
        <w:jc w:val="both"/>
        <w:outlineLvl w:val="0"/>
        <w:rPr>
          <w:rFonts w:cs="Arial"/>
          <w:lang w:val="pt-BR"/>
        </w:rPr>
      </w:pPr>
    </w:p>
    <w:p w:rsidR="007701A8" w:rsidRDefault="007701A8" w:rsidP="006E6CB9">
      <w:pPr>
        <w:tabs>
          <w:tab w:val="left" w:pos="244"/>
        </w:tabs>
        <w:spacing w:line="240" w:lineRule="auto"/>
        <w:jc w:val="both"/>
        <w:outlineLvl w:val="0"/>
        <w:rPr>
          <w:rFonts w:cs="Arial"/>
          <w:lang w:val="pt-BR"/>
        </w:rPr>
      </w:pPr>
    </w:p>
    <w:p w:rsidR="007701A8" w:rsidRDefault="007701A8" w:rsidP="006E6CB9">
      <w:pPr>
        <w:tabs>
          <w:tab w:val="left" w:pos="244"/>
        </w:tabs>
        <w:spacing w:line="240" w:lineRule="auto"/>
        <w:jc w:val="both"/>
        <w:outlineLvl w:val="0"/>
        <w:rPr>
          <w:rFonts w:cs="Arial"/>
          <w:lang w:val="pt-BR"/>
        </w:rPr>
      </w:pPr>
    </w:p>
    <w:p w:rsidR="007701A8" w:rsidRDefault="007701A8" w:rsidP="006E6CB9">
      <w:pPr>
        <w:tabs>
          <w:tab w:val="left" w:pos="244"/>
        </w:tabs>
        <w:spacing w:line="240" w:lineRule="auto"/>
        <w:jc w:val="both"/>
        <w:outlineLvl w:val="0"/>
        <w:rPr>
          <w:rFonts w:cs="Arial"/>
          <w:lang w:val="pt-BR"/>
        </w:rPr>
      </w:pPr>
    </w:p>
    <w:p w:rsidR="007701A8" w:rsidRDefault="007701A8" w:rsidP="006E6CB9">
      <w:pPr>
        <w:tabs>
          <w:tab w:val="left" w:pos="244"/>
        </w:tabs>
        <w:spacing w:line="240" w:lineRule="auto"/>
        <w:jc w:val="both"/>
        <w:outlineLvl w:val="0"/>
        <w:rPr>
          <w:rFonts w:cs="Arial"/>
          <w:lang w:val="pt-BR"/>
        </w:rPr>
      </w:pPr>
    </w:p>
    <w:p w:rsidR="007701A8" w:rsidRDefault="007701A8" w:rsidP="006E6CB9">
      <w:pPr>
        <w:tabs>
          <w:tab w:val="left" w:pos="244"/>
        </w:tabs>
        <w:spacing w:line="240" w:lineRule="auto"/>
        <w:jc w:val="both"/>
        <w:outlineLvl w:val="0"/>
        <w:rPr>
          <w:rFonts w:cs="Arial"/>
          <w:lang w:val="pt-BR"/>
        </w:rPr>
      </w:pPr>
    </w:p>
    <w:p w:rsidR="007701A8" w:rsidRDefault="007701A8" w:rsidP="006E6CB9">
      <w:pPr>
        <w:tabs>
          <w:tab w:val="left" w:pos="244"/>
        </w:tabs>
        <w:spacing w:line="240" w:lineRule="auto"/>
        <w:jc w:val="both"/>
        <w:outlineLvl w:val="0"/>
        <w:rPr>
          <w:rFonts w:cs="Arial"/>
          <w:lang w:val="pt-BR"/>
        </w:rPr>
      </w:pPr>
    </w:p>
    <w:p w:rsidR="007701A8" w:rsidRDefault="007701A8" w:rsidP="006E6CB9">
      <w:pPr>
        <w:tabs>
          <w:tab w:val="left" w:pos="244"/>
        </w:tabs>
        <w:spacing w:line="240" w:lineRule="auto"/>
        <w:jc w:val="both"/>
        <w:outlineLvl w:val="0"/>
        <w:rPr>
          <w:rFonts w:cs="Arial"/>
          <w:lang w:val="pt-BR"/>
        </w:rPr>
      </w:pPr>
    </w:p>
    <w:p w:rsidR="007701A8" w:rsidRDefault="007701A8" w:rsidP="006E6CB9">
      <w:pPr>
        <w:tabs>
          <w:tab w:val="left" w:pos="244"/>
        </w:tabs>
        <w:spacing w:line="240" w:lineRule="auto"/>
        <w:jc w:val="both"/>
        <w:outlineLvl w:val="0"/>
        <w:rPr>
          <w:rFonts w:cs="Arial"/>
          <w:lang w:val="pt-BR"/>
        </w:rPr>
      </w:pPr>
    </w:p>
    <w:p w:rsidR="005F3F7B" w:rsidRDefault="005F3F7B" w:rsidP="006E6CB9">
      <w:pPr>
        <w:tabs>
          <w:tab w:val="left" w:pos="244"/>
        </w:tabs>
        <w:spacing w:line="240" w:lineRule="auto"/>
        <w:jc w:val="both"/>
        <w:outlineLvl w:val="0"/>
        <w:rPr>
          <w:rFonts w:cs="Arial"/>
          <w:lang w:val="pt-BR"/>
        </w:rPr>
      </w:pPr>
    </w:p>
    <w:p w:rsidR="005F3F7B" w:rsidRPr="006E6CB9" w:rsidRDefault="005F3F7B" w:rsidP="006E6CB9">
      <w:pPr>
        <w:tabs>
          <w:tab w:val="left" w:pos="244"/>
        </w:tabs>
        <w:spacing w:line="240" w:lineRule="auto"/>
        <w:jc w:val="both"/>
        <w:outlineLvl w:val="0"/>
        <w:rPr>
          <w:rFonts w:cs="Arial"/>
          <w:lang w:val="pt-BR"/>
        </w:rPr>
      </w:pPr>
    </w:p>
    <w:p w:rsidR="006E6CB9" w:rsidRPr="006E6CB9" w:rsidRDefault="006E6CB9" w:rsidP="006E6CB9">
      <w:pPr>
        <w:tabs>
          <w:tab w:val="left" w:pos="244"/>
        </w:tabs>
        <w:spacing w:line="240" w:lineRule="auto"/>
        <w:jc w:val="both"/>
        <w:outlineLvl w:val="0"/>
        <w:rPr>
          <w:rFonts w:cs="Arial"/>
          <w:lang w:val="pt-BR"/>
        </w:rPr>
      </w:pPr>
    </w:p>
    <w:p w:rsidR="006E6CB9" w:rsidRPr="00927EAF" w:rsidRDefault="006E6CB9" w:rsidP="00927EAF">
      <w:pPr>
        <w:rPr>
          <w:b/>
          <w:lang w:val="pt-BR"/>
        </w:rPr>
      </w:pPr>
      <w:r w:rsidRPr="00927EAF">
        <w:rPr>
          <w:b/>
          <w:sz w:val="24"/>
          <w:szCs w:val="24"/>
          <w:lang w:val="pt-BR"/>
        </w:rPr>
        <w:t>Bibliografia (r</w:t>
      </w:r>
      <w:r w:rsidRPr="00927EAF">
        <w:rPr>
          <w:b/>
          <w:lang w:val="pt-BR"/>
        </w:rPr>
        <w:t>eferências usadas para o desenvolvimento do conteúdo):</w:t>
      </w:r>
    </w:p>
    <w:p w:rsidR="006E6CB9" w:rsidRPr="00F47FAF" w:rsidRDefault="006E6CB9" w:rsidP="00035880">
      <w:pPr>
        <w:rPr>
          <w:lang w:val="pt-BR"/>
        </w:rPr>
      </w:pPr>
      <w:r w:rsidRPr="00B4269D">
        <w:rPr>
          <w:lang w:val="en-GB"/>
        </w:rPr>
        <w:t xml:space="preserve">Brunton LL, Lazo JS, Parker KL. </w:t>
      </w:r>
      <w:r w:rsidRPr="006E6CB9">
        <w:rPr>
          <w:lang w:val="pt-BR"/>
        </w:rPr>
        <w:t xml:space="preserve">Goodman e Gilman - As bases farmacológicas da terapêutica. </w:t>
      </w:r>
      <w:r w:rsidRPr="00F47FAF">
        <w:rPr>
          <w:lang w:val="pt-BR"/>
        </w:rPr>
        <w:t>11 Edição. Brasil: Mcgraw-Hill; 2006.</w:t>
      </w:r>
    </w:p>
    <w:p w:rsidR="006E6CB9" w:rsidRPr="00F47FAF" w:rsidRDefault="006E6CB9" w:rsidP="00035880">
      <w:pPr>
        <w:rPr>
          <w:lang w:val="pt-BR"/>
        </w:rPr>
      </w:pPr>
      <w:r w:rsidRPr="006E6CB9">
        <w:rPr>
          <w:lang w:val="pt-BR"/>
        </w:rPr>
        <w:t xml:space="preserve">Katzung B. Farmacologia básica e clínica. </w:t>
      </w:r>
      <w:r w:rsidRPr="00F47FAF">
        <w:rPr>
          <w:lang w:val="pt-BR"/>
        </w:rPr>
        <w:t>9 Edição. Brasil: Guanabara Koogan; 2006.</w:t>
      </w:r>
    </w:p>
    <w:p w:rsidR="006E6CB9" w:rsidRPr="00F47FAF" w:rsidRDefault="006E6CB9" w:rsidP="00035880">
      <w:pPr>
        <w:rPr>
          <w:lang w:val="pt-BR"/>
        </w:rPr>
      </w:pPr>
      <w:r w:rsidRPr="006E6CB9">
        <w:rPr>
          <w:lang w:val="pt-BR"/>
        </w:rPr>
        <w:t xml:space="preserve">MISAU. Formulário Nacional de Medicamentos. </w:t>
      </w:r>
      <w:r w:rsidRPr="00F47FAF">
        <w:rPr>
          <w:lang w:val="pt-BR"/>
        </w:rPr>
        <w:t>5ª edição. Maputo. +</w:t>
      </w:r>
    </w:p>
    <w:p w:rsidR="005F3F7B" w:rsidRPr="00850CFC" w:rsidRDefault="006E6CB9" w:rsidP="00035880">
      <w:pPr>
        <w:rPr>
          <w:lang w:val="pt-PT"/>
        </w:rPr>
      </w:pPr>
      <w:r w:rsidRPr="006E6CB9">
        <w:rPr>
          <w:lang w:val="pt-BR"/>
        </w:rPr>
        <w:t xml:space="preserve">Nelson DL, Cox MM. Princípios de bioquímica do Lehninger. </w:t>
      </w:r>
      <w:r w:rsidRPr="00850CFC">
        <w:rPr>
          <w:lang w:val="pt-PT"/>
        </w:rPr>
        <w:t xml:space="preserve">4 edição. W.H. Freeman; 2004. </w:t>
      </w:r>
    </w:p>
    <w:p w:rsidR="005F3F7B" w:rsidRPr="00850CFC" w:rsidRDefault="005F3F7B">
      <w:pPr>
        <w:rPr>
          <w:lang w:val="pt-PT"/>
        </w:rPr>
      </w:pPr>
      <w:r w:rsidRPr="00850CFC">
        <w:rPr>
          <w:lang w:val="pt-PT"/>
        </w:rPr>
        <w:br w:type="page"/>
      </w:r>
    </w:p>
    <w:p w:rsidR="006E6CB9" w:rsidRPr="00290108" w:rsidRDefault="005F3F7B" w:rsidP="005F3F7B">
      <w:pPr>
        <w:pStyle w:val="TM-1n"/>
        <w:numPr>
          <w:ilvl w:val="0"/>
          <w:numId w:val="0"/>
        </w:numPr>
        <w:shd w:val="clear" w:color="auto" w:fill="C6D9F1"/>
        <w:tabs>
          <w:tab w:val="clear" w:pos="9072"/>
          <w:tab w:val="left" w:pos="284"/>
        </w:tabs>
      </w:pPr>
      <w:r>
        <w:lastRenderedPageBreak/>
        <w:t xml:space="preserve">BLOCO 1: </w:t>
      </w:r>
      <w:r w:rsidR="006E6CB9" w:rsidRPr="00290108">
        <w:t>INTRODUÇÃO A AULA</w:t>
      </w:r>
    </w:p>
    <w:p w:rsidR="006E6CB9" w:rsidRPr="00290108" w:rsidRDefault="006E6CB9" w:rsidP="00C52E09">
      <w:pPr>
        <w:pStyle w:val="TM-2n"/>
        <w:numPr>
          <w:ilvl w:val="1"/>
          <w:numId w:val="266"/>
        </w:numPr>
        <w:spacing w:before="120" w:after="0" w:line="276" w:lineRule="auto"/>
      </w:pPr>
      <w:r w:rsidRPr="00290108">
        <w:t>Apresentação do tópico, conteúdos e objectivos de aprendizagem.</w:t>
      </w:r>
    </w:p>
    <w:p w:rsidR="006E6CB9" w:rsidRPr="00290108" w:rsidRDefault="006E6CB9" w:rsidP="00C52E09">
      <w:pPr>
        <w:pStyle w:val="TM-2n"/>
        <w:numPr>
          <w:ilvl w:val="1"/>
          <w:numId w:val="266"/>
        </w:numPr>
        <w:spacing w:before="120" w:after="0" w:line="276" w:lineRule="auto"/>
        <w:ind w:left="446" w:hanging="446"/>
      </w:pPr>
      <w:r w:rsidRPr="00290108">
        <w:t>Apresentação da estrutura da aula.</w:t>
      </w:r>
    </w:p>
    <w:p w:rsidR="006E6CB9" w:rsidRPr="00290108" w:rsidRDefault="006E6CB9" w:rsidP="00C52E09">
      <w:pPr>
        <w:pStyle w:val="TM-2n"/>
        <w:numPr>
          <w:ilvl w:val="1"/>
          <w:numId w:val="266"/>
        </w:numPr>
        <w:spacing w:before="120" w:after="0" w:line="276" w:lineRule="auto"/>
        <w:ind w:left="446" w:hanging="446"/>
      </w:pPr>
      <w:r w:rsidRPr="00290108">
        <w:t>Apresentação da bibliografia que o aluno deverá consultar para ampliar</w:t>
      </w:r>
      <w:r>
        <w:t xml:space="preserve"> os </w:t>
      </w:r>
      <w:r w:rsidRPr="00290108">
        <w:t>conhecimentos.</w:t>
      </w:r>
    </w:p>
    <w:p w:rsidR="006E6CB9" w:rsidRPr="00290108" w:rsidRDefault="006E6CB9" w:rsidP="00F46483">
      <w:pPr>
        <w:pStyle w:val="TM-1n"/>
        <w:numPr>
          <w:ilvl w:val="0"/>
          <w:numId w:val="0"/>
        </w:numPr>
        <w:spacing w:before="120" w:after="0"/>
        <w:ind w:left="284" w:hanging="284"/>
      </w:pPr>
    </w:p>
    <w:p w:rsidR="006E6CB9" w:rsidRPr="00290108" w:rsidRDefault="005F3F7B" w:rsidP="005F3F7B">
      <w:pPr>
        <w:pStyle w:val="TM-1n"/>
        <w:numPr>
          <w:ilvl w:val="0"/>
          <w:numId w:val="0"/>
        </w:numPr>
        <w:shd w:val="clear" w:color="auto" w:fill="C6D9F1"/>
        <w:tabs>
          <w:tab w:val="clear" w:pos="9072"/>
          <w:tab w:val="left" w:pos="284"/>
        </w:tabs>
      </w:pPr>
      <w:r>
        <w:t xml:space="preserve">BLOCO 2: </w:t>
      </w:r>
      <w:r w:rsidR="006E6CB9">
        <w:t>NUTRIÇÃO, VITAMINAS E MINERAIS</w:t>
      </w:r>
    </w:p>
    <w:p w:rsidR="00F46483" w:rsidRDefault="006E6CB9" w:rsidP="00C52E09">
      <w:pPr>
        <w:pStyle w:val="TM-2n"/>
        <w:numPr>
          <w:ilvl w:val="1"/>
          <w:numId w:val="297"/>
        </w:numPr>
        <w:spacing w:before="120" w:after="0" w:line="276" w:lineRule="auto"/>
      </w:pPr>
      <w:r w:rsidRPr="00290108">
        <w:t>A malnutrição é uma condição provocada por uma dieta inadequada ou desequilibrada, na que faltam ou estão em proporções erradas alguns nutrientes essenciais. Como consequência da malnutrição podem aparecer diferentes doenças nutricionais, dependendo dos nutrientes que estão em falta ou em proporções alteradas.</w:t>
      </w:r>
    </w:p>
    <w:p w:rsidR="00F46483" w:rsidRDefault="006E6CB9" w:rsidP="00C52E09">
      <w:pPr>
        <w:pStyle w:val="TM-2n"/>
        <w:numPr>
          <w:ilvl w:val="1"/>
          <w:numId w:val="297"/>
        </w:numPr>
        <w:spacing w:before="120" w:after="0" w:line="276" w:lineRule="auto"/>
      </w:pPr>
      <w:r>
        <w:t xml:space="preserve">Existem dois tipos de nutrição: </w:t>
      </w:r>
      <w:r w:rsidRPr="00F46483">
        <w:rPr>
          <w:b/>
        </w:rPr>
        <w:t>nutrição enteral e nutrição parenteral</w:t>
      </w:r>
    </w:p>
    <w:p w:rsidR="00F46483" w:rsidRDefault="006E6CB9" w:rsidP="00C52E09">
      <w:pPr>
        <w:pStyle w:val="TM-2n"/>
        <w:numPr>
          <w:ilvl w:val="2"/>
          <w:numId w:val="297"/>
        </w:numPr>
        <w:spacing w:before="120" w:after="0" w:line="276" w:lineRule="auto"/>
        <w:ind w:firstLine="0"/>
      </w:pPr>
      <w:r w:rsidRPr="00F46483">
        <w:rPr>
          <w:b/>
        </w:rPr>
        <w:t>Nutrição enteral</w:t>
      </w:r>
      <w:r w:rsidRPr="00290108">
        <w:t>: É a administração de nutrientes por via oral ou através de sonda, utilizada para substituir ou complementar a alimentação oral em pacientes desnutridos ou com dificuldades para se alimentar de maneira autónoma. Para o efeito são utilizados os seguintes suprimentos:</w:t>
      </w:r>
      <w:r>
        <w:t xml:space="preserve"> leite adaptado que são designados de F75 e F100, BP5 e Plumpy Nut – serão abordados com mais detalhes na disciplina de Pediatria</w:t>
      </w:r>
    </w:p>
    <w:p w:rsidR="006E6CB9" w:rsidRPr="00290108" w:rsidRDefault="006E6CB9" w:rsidP="00C52E09">
      <w:pPr>
        <w:pStyle w:val="TM-2n"/>
        <w:numPr>
          <w:ilvl w:val="2"/>
          <w:numId w:val="297"/>
        </w:numPr>
        <w:spacing w:before="120" w:after="0" w:line="276" w:lineRule="auto"/>
        <w:ind w:firstLine="0"/>
      </w:pPr>
      <w:r w:rsidRPr="00F46483">
        <w:rPr>
          <w:b/>
        </w:rPr>
        <w:t>Nutrição parenteral</w:t>
      </w:r>
      <w:r w:rsidRPr="00290108">
        <w:t>: Consiste na administração de nutrientes por via intravenosa, evitando os passos habituais de ingestão e digestão. Está indicada para casos em que o indivíduo não consegue obter os nutrientes necessários por via oral ou enteral. A composição das soluções de nutrição parenteral é variável, podendo incluir água, electrólitos, dextrose, aminoácidos, lípidos, vitaminas e minerais.</w:t>
      </w:r>
      <w:r>
        <w:t xml:space="preserve"> Em Moçambique, poucos nutrientes de administração parenteral estão disponíveis; </w:t>
      </w:r>
    </w:p>
    <w:p w:rsidR="006E6CB9" w:rsidRPr="008B39E9" w:rsidRDefault="00F46483" w:rsidP="00C52E09">
      <w:pPr>
        <w:pStyle w:val="TM-3n"/>
        <w:numPr>
          <w:ilvl w:val="1"/>
          <w:numId w:val="297"/>
        </w:numPr>
        <w:tabs>
          <w:tab w:val="clear" w:pos="1276"/>
        </w:tabs>
        <w:spacing w:before="120" w:after="0" w:line="276" w:lineRule="auto"/>
        <w:rPr>
          <w:b/>
        </w:rPr>
      </w:pPr>
      <w:r>
        <w:rPr>
          <w:b/>
        </w:rPr>
        <w:t>Dextrose a 10% e a 30%</w:t>
      </w:r>
    </w:p>
    <w:p w:rsidR="006E6CB9" w:rsidRDefault="006E6CB9" w:rsidP="00C52E09">
      <w:pPr>
        <w:pStyle w:val="TM-4n"/>
        <w:numPr>
          <w:ilvl w:val="0"/>
          <w:numId w:val="229"/>
        </w:numPr>
        <w:tabs>
          <w:tab w:val="clear" w:pos="720"/>
          <w:tab w:val="clear" w:pos="1134"/>
        </w:tabs>
        <w:spacing w:before="120" w:after="0" w:line="276" w:lineRule="auto"/>
        <w:ind w:left="1440"/>
      </w:pPr>
      <w:r>
        <w:t>Forma farmacêutica e via de administração: injectável, por via EV</w:t>
      </w:r>
    </w:p>
    <w:p w:rsidR="006E6CB9" w:rsidRPr="00290108" w:rsidRDefault="006E6CB9" w:rsidP="00C52E09">
      <w:pPr>
        <w:pStyle w:val="TM-4n"/>
        <w:numPr>
          <w:ilvl w:val="0"/>
          <w:numId w:val="229"/>
        </w:numPr>
        <w:tabs>
          <w:tab w:val="clear" w:pos="720"/>
          <w:tab w:val="clear" w:pos="1134"/>
        </w:tabs>
        <w:spacing w:before="120" w:after="0" w:line="276" w:lineRule="auto"/>
        <w:ind w:left="1440"/>
      </w:pPr>
      <w:r>
        <w:t xml:space="preserve">Indicações: </w:t>
      </w:r>
      <w:r w:rsidRPr="00290108">
        <w:t>alimentação parenteral e na correcção da hipoglicémia (concentração baixa de glicose no sangue)</w:t>
      </w:r>
    </w:p>
    <w:p w:rsidR="006E6CB9" w:rsidRDefault="006E6CB9" w:rsidP="00C52E09">
      <w:pPr>
        <w:pStyle w:val="TM-4n"/>
        <w:numPr>
          <w:ilvl w:val="0"/>
          <w:numId w:val="229"/>
        </w:numPr>
        <w:tabs>
          <w:tab w:val="clear" w:pos="720"/>
          <w:tab w:val="clear" w:pos="1134"/>
        </w:tabs>
        <w:spacing w:before="120" w:after="0" w:line="276" w:lineRule="auto"/>
        <w:ind w:left="1440"/>
      </w:pPr>
      <w:r>
        <w:t>Dose e dosagem:</w:t>
      </w:r>
    </w:p>
    <w:p w:rsidR="006E6CB9" w:rsidRDefault="006E6CB9" w:rsidP="00C52E09">
      <w:pPr>
        <w:pStyle w:val="TM-4n"/>
        <w:numPr>
          <w:ilvl w:val="2"/>
          <w:numId w:val="229"/>
        </w:numPr>
        <w:tabs>
          <w:tab w:val="clear" w:pos="1134"/>
        </w:tabs>
        <w:spacing w:before="120" w:after="0" w:line="276" w:lineRule="auto"/>
      </w:pPr>
      <w:r>
        <w:t>Alimentação parentérica: 2 a 5 g/kg/dia (20 a 50 ml/kg/dia de Dextrose a 10%)</w:t>
      </w:r>
    </w:p>
    <w:p w:rsidR="006E6CB9" w:rsidRDefault="006E6CB9" w:rsidP="00C52E09">
      <w:pPr>
        <w:pStyle w:val="TM-4n"/>
        <w:numPr>
          <w:ilvl w:val="2"/>
          <w:numId w:val="229"/>
        </w:numPr>
        <w:tabs>
          <w:tab w:val="clear" w:pos="1134"/>
        </w:tabs>
        <w:spacing w:before="120" w:after="0" w:line="276" w:lineRule="auto"/>
      </w:pPr>
      <w:r>
        <w:t xml:space="preserve">Na </w:t>
      </w:r>
      <w:r w:rsidRPr="00290108">
        <w:t>hipoglicémia começa-se com 25 g de glicose</w:t>
      </w:r>
      <w:r>
        <w:t xml:space="preserve"> (250 ml de Dextrose a 10%)</w:t>
      </w:r>
      <w:r w:rsidRPr="00290108">
        <w:t>, passando depois a manutenção com 80 m</w:t>
      </w:r>
      <w:r>
        <w:t>l</w:t>
      </w:r>
      <w:r w:rsidRPr="00290108">
        <w:t xml:space="preserve">/kg por dia de </w:t>
      </w:r>
      <w:r>
        <w:t>dextrose a 10%</w:t>
      </w:r>
    </w:p>
    <w:p w:rsidR="006E6CB9" w:rsidRPr="00290108" w:rsidRDefault="006E6CB9" w:rsidP="00C52E09">
      <w:pPr>
        <w:pStyle w:val="TM-4n"/>
        <w:numPr>
          <w:ilvl w:val="2"/>
          <w:numId w:val="229"/>
        </w:numPr>
        <w:tabs>
          <w:tab w:val="clear" w:pos="1134"/>
        </w:tabs>
        <w:spacing w:before="120" w:after="0" w:line="276" w:lineRule="auto"/>
      </w:pPr>
      <w:r>
        <w:t>Na ausência de Dextrose a 10% pode-se reconstituir usando Dextrose a 5% e Dextrose a 30%. Junta-se 1/5 de Dextrose a 30% com 4/5 de Dextrose a 5%. Exemplo: adulto de 50 kg e necessita de alimentação parentérica – seria 50 ml/kg/dia de Dextrose a 10%, o que equivale a 2500 ml de Dextrose a 10%. Não havendo Dextrose a 10%, junta-se 1/5 de Dextrose a 30% (500 ml) com 4/5 de Dextrose a 5% (2000 ml).</w:t>
      </w:r>
    </w:p>
    <w:p w:rsidR="006E6CB9" w:rsidRDefault="006E6CB9" w:rsidP="00C52E09">
      <w:pPr>
        <w:pStyle w:val="TM-2n"/>
        <w:numPr>
          <w:ilvl w:val="1"/>
          <w:numId w:val="297"/>
        </w:numPr>
        <w:spacing w:before="120" w:after="0" w:line="276" w:lineRule="auto"/>
        <w:ind w:left="450" w:hanging="450"/>
      </w:pPr>
      <w:r w:rsidRPr="008B39E9">
        <w:rPr>
          <w:b/>
        </w:rPr>
        <w:t>Vitaminas e minerais</w:t>
      </w:r>
      <w:r w:rsidRPr="00290108">
        <w:t>. As vitaminas são nutrientes orgânicas requeridas em pequenas quantidades pelo organismo. Os suplementos vitamínicos se utilizam para garantir a obtenção diária de quantidades adequadas destes nutrientes.</w:t>
      </w:r>
      <w:r>
        <w:t xml:space="preserve"> Os minerais são substâncias inorgânicas necessárias à saúde equilibrada do corpo humano (Ferro, cobre, entre outros). De entre os minerais, aqui se dará particular ênfase ao Ferro na forma de sulfato ferroso.</w:t>
      </w:r>
    </w:p>
    <w:p w:rsidR="005F3F7B" w:rsidRPr="00290108" w:rsidRDefault="005F3F7B" w:rsidP="005F3F7B">
      <w:pPr>
        <w:pStyle w:val="TM-2n"/>
        <w:numPr>
          <w:ilvl w:val="0"/>
          <w:numId w:val="0"/>
        </w:numPr>
        <w:spacing w:before="120" w:after="0" w:line="276" w:lineRule="auto"/>
        <w:ind w:left="450"/>
      </w:pPr>
    </w:p>
    <w:p w:rsidR="006E6CB9" w:rsidRPr="008B39E9" w:rsidRDefault="006E6CB9" w:rsidP="00C52E09">
      <w:pPr>
        <w:pStyle w:val="TM-3n"/>
        <w:numPr>
          <w:ilvl w:val="2"/>
          <w:numId w:val="297"/>
        </w:numPr>
        <w:tabs>
          <w:tab w:val="clear" w:pos="1276"/>
        </w:tabs>
        <w:spacing w:before="120" w:after="0" w:line="276" w:lineRule="auto"/>
        <w:ind w:left="1080" w:hanging="630"/>
        <w:rPr>
          <w:b/>
        </w:rPr>
      </w:pPr>
      <w:r w:rsidRPr="008B39E9">
        <w:rPr>
          <w:b/>
        </w:rPr>
        <w:lastRenderedPageBreak/>
        <w:t>Ácido ascórbico (vitamina C).</w:t>
      </w:r>
    </w:p>
    <w:p w:rsidR="006E6CB9" w:rsidRDefault="006E6CB9" w:rsidP="00C52E09">
      <w:pPr>
        <w:pStyle w:val="TM-4n"/>
        <w:numPr>
          <w:ilvl w:val="0"/>
          <w:numId w:val="229"/>
        </w:numPr>
        <w:tabs>
          <w:tab w:val="clear" w:pos="720"/>
          <w:tab w:val="clear" w:pos="1134"/>
        </w:tabs>
        <w:spacing w:before="120" w:after="0" w:line="276" w:lineRule="auto"/>
        <w:ind w:left="1440"/>
      </w:pPr>
      <w:r>
        <w:t>Forma farmacêutica e via de administração: comprimidos e injectável, por via oral e IM ou EV</w:t>
      </w:r>
    </w:p>
    <w:p w:rsidR="006E6CB9" w:rsidRPr="00290108" w:rsidRDefault="006E6CB9" w:rsidP="00C52E09">
      <w:pPr>
        <w:pStyle w:val="TM-4n"/>
        <w:numPr>
          <w:ilvl w:val="0"/>
          <w:numId w:val="229"/>
        </w:numPr>
        <w:tabs>
          <w:tab w:val="clear" w:pos="720"/>
          <w:tab w:val="clear" w:pos="1134"/>
        </w:tabs>
        <w:spacing w:before="120" w:after="0" w:line="276" w:lineRule="auto"/>
        <w:ind w:left="1440"/>
      </w:pPr>
      <w:r>
        <w:t xml:space="preserve">Indicações: </w:t>
      </w:r>
      <w:r w:rsidRPr="00290108">
        <w:t>profilaxia e tratamento do escorbuto (doença provocada pela carência de vitamina C no organismo), e como coadjuvante no tratamento da anemia por deficiência de ferro</w:t>
      </w:r>
    </w:p>
    <w:p w:rsidR="006E6CB9" w:rsidRPr="00290108" w:rsidRDefault="006E6CB9" w:rsidP="00C52E09">
      <w:pPr>
        <w:pStyle w:val="TM-4n"/>
        <w:numPr>
          <w:ilvl w:val="0"/>
          <w:numId w:val="229"/>
        </w:numPr>
        <w:tabs>
          <w:tab w:val="clear" w:pos="720"/>
          <w:tab w:val="clear" w:pos="1134"/>
        </w:tabs>
        <w:spacing w:before="120" w:after="0" w:line="276" w:lineRule="auto"/>
        <w:ind w:left="1440"/>
      </w:pPr>
      <w:r>
        <w:t xml:space="preserve">Dose e dosagem: </w:t>
      </w:r>
      <w:r w:rsidRPr="00290108">
        <w:t xml:space="preserve"> 50-100 mg por dia (profilaxia), e 100-300 mg por dia</w:t>
      </w:r>
      <w:r>
        <w:t xml:space="preserve"> na 1ª semana e depois 100 mg/dia</w:t>
      </w:r>
      <w:r w:rsidRPr="00290108">
        <w:t xml:space="preserve"> (tratamento)</w:t>
      </w:r>
    </w:p>
    <w:p w:rsidR="006E6CB9" w:rsidRPr="008B39E9" w:rsidRDefault="006E6CB9" w:rsidP="00C52E09">
      <w:pPr>
        <w:pStyle w:val="TM-3n"/>
        <w:numPr>
          <w:ilvl w:val="2"/>
          <w:numId w:val="297"/>
        </w:numPr>
        <w:tabs>
          <w:tab w:val="clear" w:pos="1276"/>
        </w:tabs>
        <w:spacing w:before="120" w:after="0" w:line="276" w:lineRule="auto"/>
        <w:ind w:left="1080" w:hanging="630"/>
        <w:rPr>
          <w:b/>
        </w:rPr>
      </w:pPr>
      <w:r w:rsidRPr="008B39E9">
        <w:rPr>
          <w:b/>
        </w:rPr>
        <w:t>Axeroftol (vitamina A).</w:t>
      </w:r>
    </w:p>
    <w:p w:rsidR="006E6CB9" w:rsidRDefault="006E6CB9" w:rsidP="00C52E09">
      <w:pPr>
        <w:pStyle w:val="TM-4n"/>
        <w:numPr>
          <w:ilvl w:val="0"/>
          <w:numId w:val="229"/>
        </w:numPr>
        <w:tabs>
          <w:tab w:val="clear" w:pos="720"/>
          <w:tab w:val="clear" w:pos="1134"/>
        </w:tabs>
        <w:spacing w:before="120" w:after="0" w:line="276" w:lineRule="auto"/>
        <w:ind w:left="1440"/>
      </w:pPr>
      <w:r>
        <w:t>Forma farmacêutica e via de administração: cápsulas, por via oral</w:t>
      </w:r>
    </w:p>
    <w:p w:rsidR="006E6CB9" w:rsidRPr="00290108" w:rsidRDefault="006E6CB9" w:rsidP="00C52E09">
      <w:pPr>
        <w:pStyle w:val="TM-4n"/>
        <w:numPr>
          <w:ilvl w:val="0"/>
          <w:numId w:val="229"/>
        </w:numPr>
        <w:tabs>
          <w:tab w:val="clear" w:pos="720"/>
          <w:tab w:val="clear" w:pos="1134"/>
        </w:tabs>
        <w:spacing w:before="120" w:after="0" w:line="276" w:lineRule="auto"/>
        <w:ind w:left="1440"/>
      </w:pPr>
      <w:r>
        <w:t xml:space="preserve">Indicações: </w:t>
      </w:r>
      <w:r w:rsidRPr="00290108">
        <w:t>profilaxia e tratamento da hipovitaminose A, e em crianças de 6 meses a 6 anos com malnutrição, infecções ou diarreia recorrentes</w:t>
      </w:r>
    </w:p>
    <w:p w:rsidR="006E6CB9" w:rsidRPr="00290108" w:rsidRDefault="006E6CB9" w:rsidP="00C52E09">
      <w:pPr>
        <w:pStyle w:val="TM-4n"/>
        <w:numPr>
          <w:ilvl w:val="0"/>
          <w:numId w:val="229"/>
        </w:numPr>
        <w:tabs>
          <w:tab w:val="clear" w:pos="720"/>
          <w:tab w:val="clear" w:pos="1134"/>
        </w:tabs>
        <w:spacing w:before="120" w:after="0" w:line="276" w:lineRule="auto"/>
        <w:ind w:left="1440"/>
      </w:pPr>
      <w:r>
        <w:t>Dose e dosagem: a</w:t>
      </w:r>
      <w:r w:rsidRPr="00290108">
        <w:t xml:space="preserve"> dose recomendada em adultos é de 200.000 UI em cada 6 meses como profilaxia. Para o tratamento, a dose recomendada é de 200.000 UI no primeiro dia de tratamento, repetida no dia seguinte e 2 semanas mais tarde</w:t>
      </w:r>
    </w:p>
    <w:p w:rsidR="006E6CB9" w:rsidRPr="00290108" w:rsidRDefault="006E6CB9" w:rsidP="00C52E09">
      <w:pPr>
        <w:pStyle w:val="TM-4n"/>
        <w:numPr>
          <w:ilvl w:val="0"/>
          <w:numId w:val="229"/>
        </w:numPr>
        <w:tabs>
          <w:tab w:val="clear" w:pos="720"/>
          <w:tab w:val="clear" w:pos="1134"/>
        </w:tabs>
        <w:spacing w:before="120" w:after="0" w:line="276" w:lineRule="auto"/>
        <w:ind w:left="1440"/>
      </w:pPr>
      <w:r w:rsidRPr="00290108">
        <w:t>A dose recomendada em crianças com mais de 1 ano é de 200.000 UI em cada 4-6 meses como profilaxia. Para o tratamento a dose é de 200.000 UI no primeiro dia de tratamento, repetida no dia seguinte e 2 semanas mais tarde</w:t>
      </w:r>
    </w:p>
    <w:p w:rsidR="006E6CB9" w:rsidRPr="00290108" w:rsidRDefault="006E6CB9" w:rsidP="00C52E09">
      <w:pPr>
        <w:pStyle w:val="TM-3n"/>
        <w:numPr>
          <w:ilvl w:val="2"/>
          <w:numId w:val="297"/>
        </w:numPr>
        <w:tabs>
          <w:tab w:val="clear" w:pos="1276"/>
        </w:tabs>
        <w:spacing w:before="120" w:after="0" w:line="276" w:lineRule="auto"/>
        <w:ind w:left="1080" w:hanging="630"/>
      </w:pPr>
      <w:r w:rsidRPr="008B39E9">
        <w:rPr>
          <w:b/>
        </w:rPr>
        <w:t>Complexo B</w:t>
      </w:r>
      <w:r w:rsidRPr="00290108">
        <w:t>. Suplemento que contém todas as vitaminas do grupo B.</w:t>
      </w:r>
    </w:p>
    <w:p w:rsidR="006E6CB9" w:rsidRDefault="006E6CB9" w:rsidP="00C52E09">
      <w:pPr>
        <w:pStyle w:val="TM-4n"/>
        <w:numPr>
          <w:ilvl w:val="0"/>
          <w:numId w:val="229"/>
        </w:numPr>
        <w:tabs>
          <w:tab w:val="clear" w:pos="720"/>
          <w:tab w:val="clear" w:pos="1134"/>
        </w:tabs>
        <w:spacing w:before="120" w:after="0" w:line="276" w:lineRule="auto"/>
        <w:ind w:left="1440"/>
      </w:pPr>
      <w:r>
        <w:t>Forma farmacêutica e via de administração: comprimidos, injectável, por via oral e IM. A formulação injectável é de nível 3.</w:t>
      </w:r>
    </w:p>
    <w:p w:rsidR="006E6CB9" w:rsidRPr="00290108" w:rsidRDefault="006E6CB9" w:rsidP="00C52E09">
      <w:pPr>
        <w:pStyle w:val="TM-4n"/>
        <w:numPr>
          <w:ilvl w:val="0"/>
          <w:numId w:val="229"/>
        </w:numPr>
        <w:tabs>
          <w:tab w:val="clear" w:pos="720"/>
          <w:tab w:val="clear" w:pos="1134"/>
        </w:tabs>
        <w:spacing w:before="120" w:after="0" w:line="276" w:lineRule="auto"/>
        <w:ind w:left="1440"/>
      </w:pPr>
      <w:r>
        <w:t xml:space="preserve">Indicações: </w:t>
      </w:r>
      <w:r w:rsidRPr="00290108">
        <w:t>situações de hipovitaminose B múltiplas</w:t>
      </w:r>
      <w:r>
        <w:t>; adjuvante no tratamento de outras carências vitamínicas específicas (B1, B6, PP) que raramente aparecem isoladas</w:t>
      </w:r>
    </w:p>
    <w:p w:rsidR="006E6CB9" w:rsidRDefault="006E6CB9" w:rsidP="00C52E09">
      <w:pPr>
        <w:pStyle w:val="TM-4n"/>
        <w:numPr>
          <w:ilvl w:val="0"/>
          <w:numId w:val="229"/>
        </w:numPr>
        <w:tabs>
          <w:tab w:val="clear" w:pos="720"/>
          <w:tab w:val="clear" w:pos="1134"/>
        </w:tabs>
        <w:spacing w:before="120" w:after="0" w:line="276" w:lineRule="auto"/>
        <w:ind w:left="1440"/>
      </w:pPr>
      <w:r>
        <w:t xml:space="preserve">Dose e dosagem: </w:t>
      </w:r>
      <w:r w:rsidRPr="00290108">
        <w:t>1 comprimido</w:t>
      </w:r>
      <w:r>
        <w:t xml:space="preserve"> de 12</w:t>
      </w:r>
      <w:r w:rsidRPr="00290108">
        <w:t xml:space="preserve"> em  12 horas</w:t>
      </w:r>
      <w:r>
        <w:t xml:space="preserve"> ou 1 ampola de 12 em 12 horas IM</w:t>
      </w:r>
    </w:p>
    <w:p w:rsidR="006E6CB9" w:rsidRPr="00290108" w:rsidRDefault="006E6CB9" w:rsidP="00C52E09">
      <w:pPr>
        <w:pStyle w:val="TM-3n"/>
        <w:numPr>
          <w:ilvl w:val="2"/>
          <w:numId w:val="297"/>
        </w:numPr>
        <w:tabs>
          <w:tab w:val="clear" w:pos="1276"/>
        </w:tabs>
        <w:spacing w:before="120" w:after="0" w:line="276" w:lineRule="auto"/>
        <w:ind w:left="1080" w:hanging="630"/>
      </w:pPr>
      <w:r w:rsidRPr="008B39E9">
        <w:rPr>
          <w:b/>
        </w:rPr>
        <w:t>Multivitaminas</w:t>
      </w:r>
      <w:r w:rsidRPr="00290108">
        <w:t>. Preparação que contém diferentes vitaminas, minerais e outros nutrientes essenciais.</w:t>
      </w:r>
    </w:p>
    <w:p w:rsidR="006E6CB9" w:rsidRDefault="006E6CB9" w:rsidP="00C52E09">
      <w:pPr>
        <w:pStyle w:val="TM-4n"/>
        <w:numPr>
          <w:ilvl w:val="0"/>
          <w:numId w:val="229"/>
        </w:numPr>
        <w:tabs>
          <w:tab w:val="clear" w:pos="720"/>
          <w:tab w:val="clear" w:pos="1134"/>
        </w:tabs>
        <w:spacing w:before="120" w:after="0" w:line="276" w:lineRule="auto"/>
        <w:ind w:left="1440"/>
      </w:pPr>
      <w:r>
        <w:t>Forma farmacêutica e via de administração: comprimidos, xarope, por via oral</w:t>
      </w:r>
    </w:p>
    <w:p w:rsidR="006E6CB9" w:rsidRPr="00290108" w:rsidRDefault="006E6CB9" w:rsidP="00C52E09">
      <w:pPr>
        <w:pStyle w:val="TM-4n"/>
        <w:numPr>
          <w:ilvl w:val="0"/>
          <w:numId w:val="229"/>
        </w:numPr>
        <w:tabs>
          <w:tab w:val="clear" w:pos="720"/>
          <w:tab w:val="clear" w:pos="1134"/>
        </w:tabs>
        <w:spacing w:before="120" w:after="0" w:line="276" w:lineRule="auto"/>
        <w:ind w:left="1440"/>
      </w:pPr>
      <w:r>
        <w:t xml:space="preserve">Indicações: </w:t>
      </w:r>
      <w:r w:rsidRPr="00290108">
        <w:t>suplemento vitamínico, em particular em crianças e mulheres grávidas</w:t>
      </w:r>
    </w:p>
    <w:p w:rsidR="006E6CB9" w:rsidRPr="00290108" w:rsidRDefault="006E6CB9" w:rsidP="00C52E09">
      <w:pPr>
        <w:pStyle w:val="TM-4n"/>
        <w:numPr>
          <w:ilvl w:val="0"/>
          <w:numId w:val="229"/>
        </w:numPr>
        <w:tabs>
          <w:tab w:val="clear" w:pos="720"/>
          <w:tab w:val="clear" w:pos="1134"/>
        </w:tabs>
        <w:spacing w:before="120" w:after="0" w:line="276" w:lineRule="auto"/>
        <w:ind w:left="1440"/>
      </w:pPr>
      <w:r>
        <w:t xml:space="preserve">Dose e dosagem: </w:t>
      </w:r>
      <w:r w:rsidRPr="00290108">
        <w:t xml:space="preserve"> 1 de comprimido </w:t>
      </w:r>
      <w:r>
        <w:t xml:space="preserve">de 12 </w:t>
      </w:r>
      <w:r w:rsidRPr="00290108">
        <w:t>em 12 horas</w:t>
      </w:r>
    </w:p>
    <w:p w:rsidR="006E6CB9" w:rsidRPr="008B39E9" w:rsidRDefault="006E6CB9" w:rsidP="00C52E09">
      <w:pPr>
        <w:pStyle w:val="TM-3n"/>
        <w:numPr>
          <w:ilvl w:val="2"/>
          <w:numId w:val="297"/>
        </w:numPr>
        <w:tabs>
          <w:tab w:val="clear" w:pos="1276"/>
        </w:tabs>
        <w:spacing w:before="120" w:after="0" w:line="276" w:lineRule="auto"/>
        <w:ind w:left="1080" w:hanging="630"/>
        <w:rPr>
          <w:b/>
        </w:rPr>
      </w:pPr>
      <w:r w:rsidRPr="008B39E9">
        <w:rPr>
          <w:b/>
        </w:rPr>
        <w:t>Piridoxina (vitamina B</w:t>
      </w:r>
      <w:r w:rsidRPr="008B39E9">
        <w:rPr>
          <w:b/>
          <w:vertAlign w:val="subscript"/>
        </w:rPr>
        <w:t>6</w:t>
      </w:r>
      <w:r w:rsidRPr="008B39E9">
        <w:rPr>
          <w:b/>
        </w:rPr>
        <w:t>).</w:t>
      </w:r>
    </w:p>
    <w:p w:rsidR="006E6CB9" w:rsidRDefault="006E6CB9" w:rsidP="00C52E09">
      <w:pPr>
        <w:pStyle w:val="TM-4n"/>
        <w:numPr>
          <w:ilvl w:val="0"/>
          <w:numId w:val="229"/>
        </w:numPr>
        <w:tabs>
          <w:tab w:val="clear" w:pos="720"/>
          <w:tab w:val="clear" w:pos="1134"/>
        </w:tabs>
        <w:spacing w:before="120" w:after="0" w:line="276" w:lineRule="auto"/>
        <w:ind w:left="1440"/>
      </w:pPr>
      <w:r>
        <w:t>Forma farmacêutica e via de administração: comprimidos e injectável, por via oral e IM</w:t>
      </w:r>
    </w:p>
    <w:p w:rsidR="006E6CB9" w:rsidRPr="00290108" w:rsidRDefault="006E6CB9" w:rsidP="00C52E09">
      <w:pPr>
        <w:pStyle w:val="TM-4n"/>
        <w:numPr>
          <w:ilvl w:val="0"/>
          <w:numId w:val="229"/>
        </w:numPr>
        <w:tabs>
          <w:tab w:val="clear" w:pos="720"/>
          <w:tab w:val="clear" w:pos="1134"/>
        </w:tabs>
        <w:spacing w:before="120" w:after="0" w:line="276" w:lineRule="auto"/>
        <w:ind w:left="1440"/>
      </w:pPr>
      <w:r>
        <w:t xml:space="preserve">Indicações: </w:t>
      </w:r>
      <w:r w:rsidRPr="00290108">
        <w:t>profilaxia e tratamento da deficiência da vitamina B</w:t>
      </w:r>
      <w:r w:rsidRPr="00290108">
        <w:rPr>
          <w:vertAlign w:val="subscript"/>
        </w:rPr>
        <w:t>6</w:t>
      </w:r>
      <w:r w:rsidRPr="00290108">
        <w:t>, e da neuropatia periférica associada ao uso de isoniazida, estavudina e outros fármacos</w:t>
      </w:r>
    </w:p>
    <w:p w:rsidR="006E6CB9" w:rsidRDefault="006E6CB9" w:rsidP="00C52E09">
      <w:pPr>
        <w:pStyle w:val="TM-4n"/>
        <w:numPr>
          <w:ilvl w:val="0"/>
          <w:numId w:val="229"/>
        </w:numPr>
        <w:tabs>
          <w:tab w:val="clear" w:pos="720"/>
          <w:tab w:val="clear" w:pos="1134"/>
        </w:tabs>
        <w:spacing w:before="120" w:after="0" w:line="276" w:lineRule="auto"/>
        <w:ind w:left="1440"/>
      </w:pPr>
      <w:r>
        <w:t xml:space="preserve">Dose e dosagem: </w:t>
      </w:r>
      <w:r w:rsidRPr="00290108">
        <w:t xml:space="preserve"> 25-50 mg </w:t>
      </w:r>
      <w:r>
        <w:t xml:space="preserve">de 8 </w:t>
      </w:r>
      <w:r w:rsidRPr="00290108">
        <w:t>em  8 horas</w:t>
      </w:r>
      <w:r>
        <w:t>; profilaxia 10 mg/dia.</w:t>
      </w:r>
    </w:p>
    <w:p w:rsidR="006E6CB9" w:rsidRDefault="00F46483" w:rsidP="006E6CB9">
      <w:pPr>
        <w:pStyle w:val="TM-4n"/>
        <w:numPr>
          <w:ilvl w:val="0"/>
          <w:numId w:val="0"/>
        </w:numPr>
        <w:tabs>
          <w:tab w:val="left" w:pos="450"/>
          <w:tab w:val="left" w:pos="540"/>
        </w:tabs>
        <w:spacing w:before="120" w:after="0" w:line="276" w:lineRule="auto"/>
      </w:pPr>
      <w:r w:rsidRPr="00F46483">
        <w:rPr>
          <w:b/>
        </w:rPr>
        <w:t xml:space="preserve">       2.4</w:t>
      </w:r>
      <w:r w:rsidR="006E6CB9" w:rsidRPr="00F46483">
        <w:rPr>
          <w:b/>
        </w:rPr>
        <w:t>.6</w:t>
      </w:r>
      <w:r w:rsidR="006E6CB9">
        <w:t xml:space="preserve"> </w:t>
      </w:r>
      <w:r w:rsidR="006E6CB9" w:rsidRPr="008B39E9">
        <w:rPr>
          <w:b/>
        </w:rPr>
        <w:t>Hidroxicobalamina (Vitamina B12)</w:t>
      </w:r>
    </w:p>
    <w:p w:rsidR="006E6CB9" w:rsidRDefault="006E6CB9" w:rsidP="00C52E09">
      <w:pPr>
        <w:pStyle w:val="TM-4n"/>
        <w:numPr>
          <w:ilvl w:val="0"/>
          <w:numId w:val="231"/>
        </w:numPr>
        <w:tabs>
          <w:tab w:val="clear" w:pos="1134"/>
        </w:tabs>
        <w:spacing w:before="120" w:after="0" w:line="276" w:lineRule="auto"/>
      </w:pPr>
      <w:r>
        <w:t>Forma farmacêutica e via de administração: injectável e por via IM</w:t>
      </w:r>
    </w:p>
    <w:p w:rsidR="006E6CB9" w:rsidRDefault="006E6CB9" w:rsidP="00C52E09">
      <w:pPr>
        <w:pStyle w:val="TM-4n"/>
        <w:numPr>
          <w:ilvl w:val="0"/>
          <w:numId w:val="231"/>
        </w:numPr>
        <w:tabs>
          <w:tab w:val="clear" w:pos="1134"/>
        </w:tabs>
        <w:spacing w:before="120" w:after="0" w:line="276" w:lineRule="auto"/>
      </w:pPr>
      <w:r>
        <w:t>Indicações: profilaxia e tratamento da anemia por deficiência de vitamina B12 (anemia perniciosa, mal-absorção, dieta vegetariana pura, entre outras situações)</w:t>
      </w:r>
    </w:p>
    <w:p w:rsidR="006E6CB9" w:rsidRDefault="006E6CB9" w:rsidP="00C52E09">
      <w:pPr>
        <w:pStyle w:val="TM-4n"/>
        <w:numPr>
          <w:ilvl w:val="0"/>
          <w:numId w:val="231"/>
        </w:numPr>
        <w:tabs>
          <w:tab w:val="clear" w:pos="1134"/>
        </w:tabs>
        <w:spacing w:before="120" w:after="0" w:line="276" w:lineRule="auto"/>
      </w:pPr>
      <w:r>
        <w:lastRenderedPageBreak/>
        <w:t>Dose e dosagem: é variável para cada situação, mas em geral: tratamento 1 mg I.M. em dias alternados; dose de manutenção ou profilaxia   2 a 3 mg de 2/2 meses ou de 3/3 meses</w:t>
      </w:r>
    </w:p>
    <w:p w:rsidR="006E6CB9" w:rsidRDefault="006E6CB9" w:rsidP="006E6CB9">
      <w:pPr>
        <w:pStyle w:val="TM-4n"/>
        <w:numPr>
          <w:ilvl w:val="0"/>
          <w:numId w:val="0"/>
        </w:numPr>
        <w:spacing w:before="120" w:after="0" w:line="276" w:lineRule="auto"/>
        <w:ind w:left="450"/>
      </w:pPr>
      <w:r w:rsidRPr="00F46483">
        <w:rPr>
          <w:b/>
        </w:rPr>
        <w:t>2.</w:t>
      </w:r>
      <w:r w:rsidR="00F46483" w:rsidRPr="00F46483">
        <w:rPr>
          <w:b/>
        </w:rPr>
        <w:t>4</w:t>
      </w:r>
      <w:r w:rsidRPr="00F46483">
        <w:rPr>
          <w:b/>
        </w:rPr>
        <w:t>.7</w:t>
      </w:r>
      <w:r>
        <w:t xml:space="preserve"> </w:t>
      </w:r>
      <w:r w:rsidRPr="008B39E9">
        <w:rPr>
          <w:b/>
        </w:rPr>
        <w:t>Ácido fólico (Vitamina B9)</w:t>
      </w:r>
    </w:p>
    <w:p w:rsidR="006E6CB9" w:rsidRDefault="006E6CB9" w:rsidP="00C52E09">
      <w:pPr>
        <w:pStyle w:val="TM-4n"/>
        <w:numPr>
          <w:ilvl w:val="0"/>
          <w:numId w:val="232"/>
        </w:numPr>
        <w:tabs>
          <w:tab w:val="clear" w:pos="1134"/>
        </w:tabs>
        <w:spacing w:before="120" w:after="0" w:line="276" w:lineRule="auto"/>
      </w:pPr>
      <w:r>
        <w:t>Forma farmacêutica e via de administração: comprimidos, por via oral</w:t>
      </w:r>
    </w:p>
    <w:p w:rsidR="006E6CB9" w:rsidRDefault="006E6CB9" w:rsidP="00C52E09">
      <w:pPr>
        <w:pStyle w:val="TM-4n"/>
        <w:numPr>
          <w:ilvl w:val="0"/>
          <w:numId w:val="232"/>
        </w:numPr>
        <w:tabs>
          <w:tab w:val="clear" w:pos="1134"/>
        </w:tabs>
        <w:spacing w:before="120" w:after="0" w:line="276" w:lineRule="auto"/>
      </w:pPr>
      <w:r>
        <w:t>Indicações: tratamento e profilaxia da anemia por deficiência de ácido fólico (idosos, malnutridos, alcoólicos, mal-absorção, gravidez, entre outras situações). Particularmente indicado para a prevenção de defeitos de tubo neural no momento da concepção</w:t>
      </w:r>
    </w:p>
    <w:p w:rsidR="006E6CB9" w:rsidRDefault="006E6CB9" w:rsidP="00C52E09">
      <w:pPr>
        <w:pStyle w:val="TM-4n"/>
        <w:numPr>
          <w:ilvl w:val="0"/>
          <w:numId w:val="232"/>
        </w:numPr>
        <w:tabs>
          <w:tab w:val="clear" w:pos="1134"/>
        </w:tabs>
        <w:spacing w:before="120" w:after="0" w:line="276" w:lineRule="auto"/>
      </w:pPr>
      <w:r>
        <w:t>Dose e dosagem: 2.5 a 5 mg/dia</w:t>
      </w:r>
    </w:p>
    <w:p w:rsidR="006E6CB9" w:rsidRPr="008B39E9" w:rsidRDefault="006E6CB9" w:rsidP="006E6CB9">
      <w:pPr>
        <w:pStyle w:val="TM-4n"/>
        <w:numPr>
          <w:ilvl w:val="0"/>
          <w:numId w:val="0"/>
        </w:numPr>
        <w:spacing w:before="120" w:after="0" w:line="276" w:lineRule="auto"/>
        <w:ind w:left="450"/>
        <w:rPr>
          <w:b/>
        </w:rPr>
      </w:pPr>
      <w:r w:rsidRPr="00F46483">
        <w:rPr>
          <w:b/>
        </w:rPr>
        <w:t>2.</w:t>
      </w:r>
      <w:r w:rsidR="00F46483" w:rsidRPr="00F46483">
        <w:rPr>
          <w:b/>
        </w:rPr>
        <w:t>4</w:t>
      </w:r>
      <w:r w:rsidRPr="00F46483">
        <w:rPr>
          <w:b/>
        </w:rPr>
        <w:t>.8</w:t>
      </w:r>
      <w:r>
        <w:t xml:space="preserve"> </w:t>
      </w:r>
      <w:r w:rsidRPr="008B39E9">
        <w:rPr>
          <w:b/>
        </w:rPr>
        <w:t>Sulfato ferroso</w:t>
      </w:r>
    </w:p>
    <w:p w:rsidR="006E6CB9" w:rsidRDefault="006E6CB9" w:rsidP="00C52E09">
      <w:pPr>
        <w:pStyle w:val="TM-4n"/>
        <w:numPr>
          <w:ilvl w:val="0"/>
          <w:numId w:val="233"/>
        </w:numPr>
        <w:tabs>
          <w:tab w:val="clear" w:pos="1134"/>
        </w:tabs>
        <w:spacing w:before="120" w:after="0" w:line="276" w:lineRule="auto"/>
      </w:pPr>
      <w:r>
        <w:t>Forma farmacêutica e via de administração: comprimidos, por via oral</w:t>
      </w:r>
    </w:p>
    <w:p w:rsidR="006E6CB9" w:rsidRDefault="006E6CB9" w:rsidP="00C52E09">
      <w:pPr>
        <w:pStyle w:val="TM-4n"/>
        <w:numPr>
          <w:ilvl w:val="0"/>
          <w:numId w:val="233"/>
        </w:numPr>
        <w:tabs>
          <w:tab w:val="clear" w:pos="1134"/>
        </w:tabs>
        <w:spacing w:before="120" w:after="0" w:line="276" w:lineRule="auto"/>
      </w:pPr>
      <w:r>
        <w:t>Indicações: tratamento e prevenção de anemia por deficiência de ferro (gestantes, lactentes, hemorragias, entre outras situações)</w:t>
      </w:r>
    </w:p>
    <w:p w:rsidR="006E6CB9" w:rsidRDefault="006E6CB9" w:rsidP="00C52E09">
      <w:pPr>
        <w:pStyle w:val="TM-4n"/>
        <w:numPr>
          <w:ilvl w:val="0"/>
          <w:numId w:val="233"/>
        </w:numPr>
        <w:tabs>
          <w:tab w:val="clear" w:pos="1134"/>
        </w:tabs>
        <w:spacing w:before="120" w:after="0" w:line="276" w:lineRule="auto"/>
      </w:pPr>
      <w:r>
        <w:t>Dose e dosagem: tratamento, 1 comprimido (200 mg de sulfato ferroso) de 12 em 12 horas ou de 8 em 8 horas; prevenção, 1 comprimido por dia.</w:t>
      </w:r>
    </w:p>
    <w:p w:rsidR="006E6CB9" w:rsidRPr="00290108" w:rsidRDefault="006E6CB9" w:rsidP="006E6CB9">
      <w:pPr>
        <w:pStyle w:val="TM-0"/>
        <w:spacing w:before="120" w:after="0" w:line="276" w:lineRule="auto"/>
        <w:jc w:val="both"/>
      </w:pPr>
    </w:p>
    <w:p w:rsidR="006E6CB9" w:rsidRPr="00290108" w:rsidRDefault="005F3F7B" w:rsidP="005F3F7B">
      <w:pPr>
        <w:pStyle w:val="TM-1n"/>
        <w:numPr>
          <w:ilvl w:val="0"/>
          <w:numId w:val="0"/>
        </w:numPr>
        <w:shd w:val="clear" w:color="auto" w:fill="C6D9F1"/>
        <w:tabs>
          <w:tab w:val="clear" w:pos="9072"/>
          <w:tab w:val="left" w:pos="284"/>
        </w:tabs>
      </w:pPr>
      <w:r>
        <w:t xml:space="preserve">BLOCO 3: </w:t>
      </w:r>
      <w:r w:rsidR="006E6CB9" w:rsidRPr="00290108">
        <w:t>ANALGÉSICOS</w:t>
      </w:r>
      <w:r w:rsidR="006E6CB9">
        <w:t>/ANTIPIRÉTICOS E ANTI-INFLAMATÓRIOS</w:t>
      </w:r>
      <w:r w:rsidR="006E6CB9" w:rsidRPr="00290108">
        <w:tab/>
      </w:r>
    </w:p>
    <w:p w:rsidR="006E6CB9" w:rsidRPr="00290108" w:rsidRDefault="006E6CB9" w:rsidP="00C52E09">
      <w:pPr>
        <w:pStyle w:val="TM-2n"/>
        <w:numPr>
          <w:ilvl w:val="1"/>
          <w:numId w:val="267"/>
        </w:numPr>
        <w:spacing w:before="120" w:after="0" w:line="276" w:lineRule="auto"/>
      </w:pPr>
      <w:r w:rsidRPr="00290108">
        <w:t>Os analgésicos são fármacos utilizados para o alívio da dor (analgesia). Existem vários grupos diferentes.</w:t>
      </w:r>
    </w:p>
    <w:p w:rsidR="006E6CB9" w:rsidRPr="00290108" w:rsidRDefault="006E6CB9" w:rsidP="00C52E09">
      <w:pPr>
        <w:pStyle w:val="TM-2n"/>
        <w:numPr>
          <w:ilvl w:val="1"/>
          <w:numId w:val="267"/>
        </w:numPr>
        <w:spacing w:before="120" w:after="0" w:line="276" w:lineRule="auto"/>
      </w:pPr>
      <w:r w:rsidRPr="008B39E9">
        <w:rPr>
          <w:b/>
        </w:rPr>
        <w:t>Analgésicos antipiréticos</w:t>
      </w:r>
      <w:r w:rsidRPr="00290108">
        <w:t>. Fármacos utilizados no alívio da dor, e também para reduzir a temperatura corporal em situações de febre.</w:t>
      </w:r>
    </w:p>
    <w:p w:rsidR="006E6CB9" w:rsidRPr="008B39E9" w:rsidRDefault="006E6CB9" w:rsidP="00C52E09">
      <w:pPr>
        <w:pStyle w:val="TM-3n"/>
        <w:numPr>
          <w:ilvl w:val="2"/>
          <w:numId w:val="267"/>
        </w:numPr>
        <w:tabs>
          <w:tab w:val="clear" w:pos="1276"/>
        </w:tabs>
        <w:spacing w:before="120" w:after="0" w:line="276" w:lineRule="auto"/>
        <w:ind w:left="1080" w:hanging="630"/>
        <w:rPr>
          <w:b/>
        </w:rPr>
      </w:pPr>
      <w:r w:rsidRPr="008B39E9">
        <w:rPr>
          <w:b/>
        </w:rPr>
        <w:t>Paracetamol</w:t>
      </w:r>
    </w:p>
    <w:p w:rsidR="006E6CB9" w:rsidRDefault="006E6CB9" w:rsidP="00C52E09">
      <w:pPr>
        <w:pStyle w:val="TM-4n"/>
        <w:numPr>
          <w:ilvl w:val="0"/>
          <w:numId w:val="229"/>
        </w:numPr>
        <w:tabs>
          <w:tab w:val="clear" w:pos="720"/>
          <w:tab w:val="clear" w:pos="1134"/>
        </w:tabs>
        <w:spacing w:before="120" w:after="0" w:line="276" w:lineRule="auto"/>
        <w:ind w:left="1440"/>
      </w:pPr>
      <w:r>
        <w:t>Mecanismo de acção: inibe a síntese das prostaglandinas (substâncias envolvidas na inflamação, dor e febre)</w:t>
      </w:r>
    </w:p>
    <w:p w:rsidR="006E6CB9" w:rsidRDefault="006E6CB9" w:rsidP="00C52E09">
      <w:pPr>
        <w:pStyle w:val="TM-4n"/>
        <w:numPr>
          <w:ilvl w:val="0"/>
          <w:numId w:val="229"/>
        </w:numPr>
        <w:tabs>
          <w:tab w:val="clear" w:pos="720"/>
          <w:tab w:val="clear" w:pos="1134"/>
        </w:tabs>
        <w:spacing w:before="120" w:after="0" w:line="276" w:lineRule="auto"/>
        <w:ind w:left="1440"/>
      </w:pPr>
      <w:r>
        <w:t>Forma farmacêutica e via de administração: comprimidos, suspensão oral, supositórios e injectável, por via oral, rectal ou IM ou EV</w:t>
      </w:r>
    </w:p>
    <w:p w:rsidR="006E6CB9" w:rsidRPr="00290108" w:rsidRDefault="006E6CB9" w:rsidP="00C52E09">
      <w:pPr>
        <w:pStyle w:val="TM-4n"/>
        <w:numPr>
          <w:ilvl w:val="0"/>
          <w:numId w:val="229"/>
        </w:numPr>
        <w:tabs>
          <w:tab w:val="clear" w:pos="720"/>
          <w:tab w:val="clear" w:pos="1134"/>
        </w:tabs>
        <w:spacing w:before="120" w:after="0" w:line="276" w:lineRule="auto"/>
        <w:ind w:left="1440"/>
      </w:pPr>
      <w:r>
        <w:t xml:space="preserve">Indicações: </w:t>
      </w:r>
      <w:r w:rsidRPr="00290108">
        <w:t>dor ligeira e moderada, e na febre</w:t>
      </w:r>
    </w:p>
    <w:p w:rsidR="006E6CB9" w:rsidRPr="00290108" w:rsidRDefault="006E6CB9" w:rsidP="00C52E09">
      <w:pPr>
        <w:pStyle w:val="TM-4n"/>
        <w:numPr>
          <w:ilvl w:val="0"/>
          <w:numId w:val="229"/>
        </w:numPr>
        <w:tabs>
          <w:tab w:val="clear" w:pos="720"/>
          <w:tab w:val="clear" w:pos="1134"/>
        </w:tabs>
        <w:spacing w:before="120" w:after="0" w:line="276" w:lineRule="auto"/>
        <w:ind w:left="1440"/>
      </w:pPr>
      <w:r>
        <w:t xml:space="preserve">Dose e dosagem: </w:t>
      </w:r>
      <w:r w:rsidRPr="00290108">
        <w:t>500-1000 mg</w:t>
      </w:r>
      <w:r>
        <w:t xml:space="preserve"> de 6 em 6 horas</w:t>
      </w:r>
      <w:r w:rsidRPr="00290108">
        <w:t xml:space="preserve"> (máximo de 4 g por dia)</w:t>
      </w:r>
    </w:p>
    <w:p w:rsidR="006E6CB9" w:rsidRDefault="006E6CB9" w:rsidP="00C52E09">
      <w:pPr>
        <w:pStyle w:val="TM-4n"/>
        <w:numPr>
          <w:ilvl w:val="0"/>
          <w:numId w:val="229"/>
        </w:numPr>
        <w:tabs>
          <w:tab w:val="clear" w:pos="720"/>
          <w:tab w:val="clear" w:pos="1134"/>
        </w:tabs>
        <w:spacing w:before="120" w:after="0" w:line="276" w:lineRule="auto"/>
        <w:ind w:left="1440"/>
      </w:pPr>
      <w:r>
        <w:t>Efeitos secundários: geralmente bem tolerado, doses elevadas pode provocar necrose do fígado</w:t>
      </w:r>
    </w:p>
    <w:p w:rsidR="006E6CB9" w:rsidRPr="00290108" w:rsidRDefault="006E6CB9" w:rsidP="00C52E09">
      <w:pPr>
        <w:pStyle w:val="TM-4n"/>
        <w:numPr>
          <w:ilvl w:val="0"/>
          <w:numId w:val="229"/>
        </w:numPr>
        <w:tabs>
          <w:tab w:val="clear" w:pos="720"/>
          <w:tab w:val="clear" w:pos="1134"/>
        </w:tabs>
        <w:spacing w:before="120" w:after="0" w:line="276" w:lineRule="auto"/>
        <w:ind w:left="1440"/>
      </w:pPr>
      <w:r>
        <w:t xml:space="preserve">Contra-indicações: </w:t>
      </w:r>
      <w:r w:rsidRPr="00290108">
        <w:t>insuficiência hepática ou renal grave</w:t>
      </w:r>
    </w:p>
    <w:p w:rsidR="006E6CB9" w:rsidRPr="00290108" w:rsidRDefault="006E6CB9" w:rsidP="00C52E09">
      <w:pPr>
        <w:pStyle w:val="TM-2n"/>
        <w:numPr>
          <w:ilvl w:val="1"/>
          <w:numId w:val="267"/>
        </w:numPr>
        <w:spacing w:before="120" w:after="0" w:line="276" w:lineRule="auto"/>
        <w:ind w:left="450" w:hanging="450"/>
      </w:pPr>
      <w:r w:rsidRPr="008B39E9">
        <w:rPr>
          <w:b/>
        </w:rPr>
        <w:t>Analgésicos opióides</w:t>
      </w:r>
      <w:r w:rsidRPr="00290108">
        <w:t>. Fármacos com efeito analgésico potente, que actuam por ligação com receptores específicos ao nível do sistema nervoso central. Também produzem sedação e depressão respiratória.</w:t>
      </w:r>
    </w:p>
    <w:p w:rsidR="006E6CB9" w:rsidRPr="008B39E9" w:rsidRDefault="006E6CB9" w:rsidP="00C52E09">
      <w:pPr>
        <w:pStyle w:val="TM-3n"/>
        <w:numPr>
          <w:ilvl w:val="2"/>
          <w:numId w:val="267"/>
        </w:numPr>
        <w:tabs>
          <w:tab w:val="clear" w:pos="1276"/>
        </w:tabs>
        <w:spacing w:before="120" w:after="0" w:line="276" w:lineRule="auto"/>
        <w:ind w:left="1080" w:hanging="630"/>
        <w:rPr>
          <w:b/>
        </w:rPr>
      </w:pPr>
      <w:r w:rsidRPr="008B39E9">
        <w:rPr>
          <w:b/>
        </w:rPr>
        <w:t>Codeína</w:t>
      </w:r>
    </w:p>
    <w:p w:rsidR="006E6CB9" w:rsidRDefault="006E6CB9" w:rsidP="00C52E09">
      <w:pPr>
        <w:pStyle w:val="TM-4n"/>
        <w:numPr>
          <w:ilvl w:val="0"/>
          <w:numId w:val="229"/>
        </w:numPr>
        <w:tabs>
          <w:tab w:val="clear" w:pos="720"/>
          <w:tab w:val="clear" w:pos="1134"/>
        </w:tabs>
        <w:spacing w:before="120" w:after="0" w:line="276" w:lineRule="auto"/>
        <w:ind w:left="1440"/>
      </w:pPr>
      <w:r>
        <w:t>Mecanismo de acção: agonista fraco dos receptores opióides no cérebro e plexo mioentérico.</w:t>
      </w:r>
    </w:p>
    <w:p w:rsidR="006E6CB9" w:rsidRDefault="006E6CB9" w:rsidP="00C52E09">
      <w:pPr>
        <w:pStyle w:val="TM-4n"/>
        <w:numPr>
          <w:ilvl w:val="0"/>
          <w:numId w:val="229"/>
        </w:numPr>
        <w:tabs>
          <w:tab w:val="clear" w:pos="720"/>
          <w:tab w:val="clear" w:pos="1134"/>
        </w:tabs>
        <w:spacing w:before="120" w:after="0" w:line="276" w:lineRule="auto"/>
        <w:ind w:left="1440"/>
      </w:pPr>
      <w:r>
        <w:t>Forma farmacêutica e via de administração: comprimidos, xarope, por via oral</w:t>
      </w:r>
    </w:p>
    <w:p w:rsidR="006E6CB9" w:rsidRPr="00290108" w:rsidRDefault="006E6CB9" w:rsidP="00C52E09">
      <w:pPr>
        <w:pStyle w:val="TM-4n"/>
        <w:numPr>
          <w:ilvl w:val="0"/>
          <w:numId w:val="229"/>
        </w:numPr>
        <w:tabs>
          <w:tab w:val="clear" w:pos="720"/>
          <w:tab w:val="clear" w:pos="1134"/>
        </w:tabs>
        <w:spacing w:before="120" w:after="0" w:line="276" w:lineRule="auto"/>
        <w:ind w:left="1440"/>
      </w:pPr>
      <w:r>
        <w:lastRenderedPageBreak/>
        <w:t xml:space="preserve">Indicações: </w:t>
      </w:r>
      <w:r w:rsidRPr="00290108">
        <w:t>dores de intensidade moderada. Também utilizado como anti-tússico e anti-diarreico</w:t>
      </w:r>
    </w:p>
    <w:p w:rsidR="006E6CB9" w:rsidRPr="00290108" w:rsidRDefault="006E6CB9" w:rsidP="00C52E09">
      <w:pPr>
        <w:pStyle w:val="TM-4n"/>
        <w:numPr>
          <w:ilvl w:val="0"/>
          <w:numId w:val="229"/>
        </w:numPr>
        <w:tabs>
          <w:tab w:val="clear" w:pos="720"/>
          <w:tab w:val="clear" w:pos="1134"/>
        </w:tabs>
        <w:spacing w:before="120" w:after="0" w:line="276" w:lineRule="auto"/>
        <w:ind w:left="1440"/>
      </w:pPr>
      <w:r>
        <w:t xml:space="preserve">Dose e dosagem: </w:t>
      </w:r>
      <w:r w:rsidRPr="00290108">
        <w:t xml:space="preserve">15-60 mg </w:t>
      </w:r>
      <w:r>
        <w:t>de 4/4 horas ou de 6/6 horas</w:t>
      </w:r>
      <w:r w:rsidRPr="00290108">
        <w:t xml:space="preserve"> (máximo de 240 mg por dia)</w:t>
      </w:r>
    </w:p>
    <w:p w:rsidR="006E6CB9" w:rsidRDefault="006E6CB9" w:rsidP="00C52E09">
      <w:pPr>
        <w:pStyle w:val="TM-4n"/>
        <w:numPr>
          <w:ilvl w:val="0"/>
          <w:numId w:val="229"/>
        </w:numPr>
        <w:tabs>
          <w:tab w:val="clear" w:pos="720"/>
          <w:tab w:val="clear" w:pos="1134"/>
        </w:tabs>
        <w:spacing w:before="120" w:after="0" w:line="276" w:lineRule="auto"/>
        <w:ind w:left="1440"/>
      </w:pPr>
      <w:r>
        <w:t>Efeitos secundários: secura da boca, obstipação, sonolência, sedação, náuseas, vómitos e prurido.</w:t>
      </w:r>
    </w:p>
    <w:p w:rsidR="006E6CB9" w:rsidRDefault="006E6CB9" w:rsidP="00C52E09">
      <w:pPr>
        <w:pStyle w:val="TM-4n"/>
        <w:numPr>
          <w:ilvl w:val="0"/>
          <w:numId w:val="229"/>
        </w:numPr>
        <w:tabs>
          <w:tab w:val="clear" w:pos="720"/>
          <w:tab w:val="clear" w:pos="1134"/>
        </w:tabs>
        <w:spacing w:before="120" w:after="0" w:line="276" w:lineRule="auto"/>
        <w:ind w:left="1440"/>
      </w:pPr>
      <w:r>
        <w:t>Contra-indicações: crianças menores de 1 ano, insuficiência respiratória</w:t>
      </w:r>
    </w:p>
    <w:p w:rsidR="006E6CB9" w:rsidRDefault="006E6CB9" w:rsidP="00C52E09">
      <w:pPr>
        <w:pStyle w:val="TM-4n"/>
        <w:numPr>
          <w:ilvl w:val="0"/>
          <w:numId w:val="229"/>
        </w:numPr>
        <w:tabs>
          <w:tab w:val="clear" w:pos="720"/>
          <w:tab w:val="clear" w:pos="1134"/>
        </w:tabs>
        <w:spacing w:before="120" w:after="0" w:line="276" w:lineRule="auto"/>
        <w:ind w:left="1440"/>
      </w:pPr>
      <w:r>
        <w:t>Notas e precauções: Nas doses terapêuticas a sua toxicidade é menor do que a morfina, causando pouca dependência. Não usar associado a outro opióide. Tem efeito sinérgico em associação com paracetamol ou aspirina.</w:t>
      </w:r>
    </w:p>
    <w:p w:rsidR="006E6CB9" w:rsidRPr="008B39E9" w:rsidRDefault="006E6CB9" w:rsidP="00C52E09">
      <w:pPr>
        <w:pStyle w:val="TM-3n"/>
        <w:numPr>
          <w:ilvl w:val="2"/>
          <w:numId w:val="267"/>
        </w:numPr>
        <w:tabs>
          <w:tab w:val="clear" w:pos="1276"/>
        </w:tabs>
        <w:spacing w:before="120" w:after="0" w:line="276" w:lineRule="auto"/>
        <w:ind w:left="1080" w:hanging="630"/>
        <w:rPr>
          <w:b/>
        </w:rPr>
      </w:pPr>
      <w:r w:rsidRPr="008B39E9">
        <w:rPr>
          <w:b/>
        </w:rPr>
        <w:t>Petidina.</w:t>
      </w:r>
    </w:p>
    <w:p w:rsidR="006E6CB9" w:rsidRDefault="006E6CB9" w:rsidP="00C52E09">
      <w:pPr>
        <w:pStyle w:val="TM-4n"/>
        <w:numPr>
          <w:ilvl w:val="0"/>
          <w:numId w:val="229"/>
        </w:numPr>
        <w:tabs>
          <w:tab w:val="clear" w:pos="720"/>
          <w:tab w:val="clear" w:pos="1134"/>
        </w:tabs>
        <w:spacing w:before="120" w:after="0" w:line="276" w:lineRule="auto"/>
        <w:ind w:left="1440"/>
      </w:pPr>
      <w:r>
        <w:t>Mecanismo de acção: agonista dos receptores opióides no cérebro</w:t>
      </w:r>
    </w:p>
    <w:p w:rsidR="006E6CB9" w:rsidRDefault="006E6CB9" w:rsidP="00C52E09">
      <w:pPr>
        <w:pStyle w:val="TM-4n"/>
        <w:numPr>
          <w:ilvl w:val="0"/>
          <w:numId w:val="229"/>
        </w:numPr>
        <w:tabs>
          <w:tab w:val="clear" w:pos="720"/>
          <w:tab w:val="clear" w:pos="1134"/>
        </w:tabs>
        <w:spacing w:before="120" w:after="0" w:line="276" w:lineRule="auto"/>
        <w:ind w:left="1440"/>
      </w:pPr>
      <w:r>
        <w:t>Forma farmacêutica e via de administração:  injectável, por via IM, SC ou EV</w:t>
      </w:r>
    </w:p>
    <w:p w:rsidR="006E6CB9" w:rsidRPr="00290108" w:rsidRDefault="006E6CB9" w:rsidP="00C52E09">
      <w:pPr>
        <w:pStyle w:val="TM-4n"/>
        <w:numPr>
          <w:ilvl w:val="0"/>
          <w:numId w:val="229"/>
        </w:numPr>
        <w:tabs>
          <w:tab w:val="clear" w:pos="720"/>
          <w:tab w:val="clear" w:pos="1134"/>
        </w:tabs>
        <w:spacing w:before="120" w:after="0" w:line="276" w:lineRule="auto"/>
        <w:ind w:left="1440"/>
      </w:pPr>
      <w:r>
        <w:t xml:space="preserve">Indicações: </w:t>
      </w:r>
      <w:r w:rsidRPr="00290108">
        <w:t>dor aguda moderada a intensa. Utilizado também na analgesia do parto</w:t>
      </w:r>
    </w:p>
    <w:p w:rsidR="006E6CB9" w:rsidRPr="00290108" w:rsidRDefault="006E6CB9" w:rsidP="00C52E09">
      <w:pPr>
        <w:pStyle w:val="TM-4n"/>
        <w:numPr>
          <w:ilvl w:val="0"/>
          <w:numId w:val="229"/>
        </w:numPr>
        <w:tabs>
          <w:tab w:val="clear" w:pos="720"/>
          <w:tab w:val="clear" w:pos="1134"/>
        </w:tabs>
        <w:spacing w:before="120" w:after="0" w:line="276" w:lineRule="auto"/>
        <w:ind w:left="1440"/>
      </w:pPr>
      <w:r>
        <w:t xml:space="preserve">Dose e dosagem: </w:t>
      </w:r>
      <w:r w:rsidRPr="00290108">
        <w:t xml:space="preserve">50-100 mg </w:t>
      </w:r>
      <w:r>
        <w:t xml:space="preserve">de 4 </w:t>
      </w:r>
      <w:r w:rsidRPr="00290108">
        <w:t>em  4 horas</w:t>
      </w:r>
      <w:r>
        <w:t xml:space="preserve"> por via IM ou SC. Por via EV a dose é de 25 mg a cada 5 min, até obter o efeito analgésico (máximo de 100 mg).</w:t>
      </w:r>
    </w:p>
    <w:p w:rsidR="006E6CB9" w:rsidRPr="00290108" w:rsidRDefault="006E6CB9" w:rsidP="00C52E09">
      <w:pPr>
        <w:pStyle w:val="TM-4n"/>
        <w:numPr>
          <w:ilvl w:val="0"/>
          <w:numId w:val="229"/>
        </w:numPr>
        <w:tabs>
          <w:tab w:val="clear" w:pos="720"/>
          <w:tab w:val="clear" w:pos="1134"/>
        </w:tabs>
        <w:spacing w:before="120" w:after="0" w:line="276" w:lineRule="auto"/>
        <w:ind w:left="1440"/>
      </w:pPr>
      <w:r>
        <w:t xml:space="preserve">Efeitos secundários: depressão respiratória, supressão da tosse, hipotensão devido a depressão miocárdica, taquicardia, convulsões. </w:t>
      </w:r>
    </w:p>
    <w:p w:rsidR="006E6CB9" w:rsidRDefault="006E6CB9" w:rsidP="00C52E09">
      <w:pPr>
        <w:pStyle w:val="TM-4n"/>
        <w:numPr>
          <w:ilvl w:val="0"/>
          <w:numId w:val="229"/>
        </w:numPr>
        <w:tabs>
          <w:tab w:val="clear" w:pos="720"/>
          <w:tab w:val="clear" w:pos="1134"/>
        </w:tabs>
        <w:spacing w:before="120" w:after="0" w:line="276" w:lineRule="auto"/>
        <w:ind w:left="1440"/>
      </w:pPr>
      <w:r>
        <w:t>Contra-indicações: i</w:t>
      </w:r>
      <w:r w:rsidRPr="00290108">
        <w:t>nsuficiência respiratória, hepática, ou renal</w:t>
      </w:r>
    </w:p>
    <w:p w:rsidR="006E6CB9" w:rsidRDefault="006E6CB9" w:rsidP="00C52E09">
      <w:pPr>
        <w:pStyle w:val="TM-4n"/>
        <w:numPr>
          <w:ilvl w:val="0"/>
          <w:numId w:val="229"/>
        </w:numPr>
        <w:tabs>
          <w:tab w:val="clear" w:pos="720"/>
          <w:tab w:val="clear" w:pos="1134"/>
        </w:tabs>
        <w:spacing w:before="120" w:after="0" w:line="276" w:lineRule="auto"/>
        <w:ind w:left="1440"/>
      </w:pPr>
      <w:r>
        <w:t>Notas e precauções: é o único morfínico com efeito espasmolítico pelo que é indicado no alívio da cólica renal ou biliar devendo-se usar associado a butilescopolamina. Evitar o uso indiscriminado em quadros dolorosos abdominais agudos pois pode mascarar a progressão da doença e dificultar o diagnóstico.</w:t>
      </w:r>
    </w:p>
    <w:p w:rsidR="006E6CB9" w:rsidRPr="00290108" w:rsidRDefault="006E6CB9" w:rsidP="006E6CB9">
      <w:pPr>
        <w:pStyle w:val="TM-4n"/>
        <w:numPr>
          <w:ilvl w:val="0"/>
          <w:numId w:val="0"/>
        </w:numPr>
        <w:spacing w:before="120" w:after="0" w:line="276" w:lineRule="auto"/>
      </w:pPr>
      <w:r>
        <w:t>Nota: A morfina, é um opióide de nível 3, mais potente que a codeína e petidina e é usada principalmente para o controlo de dores que não foram controladas com outros analgésicos.</w:t>
      </w:r>
    </w:p>
    <w:p w:rsidR="006E6CB9" w:rsidRPr="008B39E9" w:rsidRDefault="006E6CB9" w:rsidP="00C52E09">
      <w:pPr>
        <w:pStyle w:val="TM-2n"/>
        <w:numPr>
          <w:ilvl w:val="1"/>
          <w:numId w:val="267"/>
        </w:numPr>
        <w:spacing w:before="120" w:after="0" w:line="276" w:lineRule="auto"/>
        <w:ind w:left="450" w:hanging="450"/>
        <w:rPr>
          <w:b/>
        </w:rPr>
      </w:pPr>
      <w:r w:rsidRPr="008B39E9">
        <w:rPr>
          <w:b/>
        </w:rPr>
        <w:t xml:space="preserve">Fármacos usados no tratamento da enxaqueca. </w:t>
      </w:r>
    </w:p>
    <w:p w:rsidR="006E6CB9" w:rsidRPr="008B39E9" w:rsidRDefault="006E6CB9" w:rsidP="00C52E09">
      <w:pPr>
        <w:pStyle w:val="TM-3n"/>
        <w:numPr>
          <w:ilvl w:val="2"/>
          <w:numId w:val="267"/>
        </w:numPr>
        <w:tabs>
          <w:tab w:val="clear" w:pos="1276"/>
        </w:tabs>
        <w:spacing w:before="120" w:after="0" w:line="276" w:lineRule="auto"/>
        <w:ind w:left="1080" w:hanging="630"/>
        <w:rPr>
          <w:b/>
        </w:rPr>
      </w:pPr>
      <w:r w:rsidRPr="008B39E9">
        <w:rPr>
          <w:b/>
        </w:rPr>
        <w:t xml:space="preserve">Ergotamina com cafeína. </w:t>
      </w:r>
    </w:p>
    <w:p w:rsidR="006E6CB9" w:rsidRPr="00290108" w:rsidRDefault="006E6CB9" w:rsidP="00C52E09">
      <w:pPr>
        <w:pStyle w:val="TM-3n"/>
        <w:numPr>
          <w:ilvl w:val="0"/>
          <w:numId w:val="239"/>
        </w:numPr>
        <w:tabs>
          <w:tab w:val="clear" w:pos="1276"/>
        </w:tabs>
        <w:spacing w:before="120" w:after="0" w:line="276" w:lineRule="auto"/>
      </w:pPr>
      <w:r>
        <w:t>Mecanismo de acção: a</w:t>
      </w:r>
      <w:r w:rsidRPr="00290108">
        <w:t>ctua ao nível do sistema nervoso central, aliviando a enxaqueca através da ligação com diferentes receptores das células nervosas e dos vasos sanguíneos cerebrais.</w:t>
      </w:r>
    </w:p>
    <w:p w:rsidR="006E6CB9" w:rsidRDefault="006E6CB9" w:rsidP="00C52E09">
      <w:pPr>
        <w:pStyle w:val="TM-4n"/>
        <w:numPr>
          <w:ilvl w:val="0"/>
          <w:numId w:val="229"/>
        </w:numPr>
        <w:tabs>
          <w:tab w:val="clear" w:pos="720"/>
          <w:tab w:val="clear" w:pos="1134"/>
        </w:tabs>
        <w:spacing w:before="120" w:after="0" w:line="276" w:lineRule="auto"/>
        <w:ind w:left="1440"/>
      </w:pPr>
      <w:r>
        <w:t>Forma farmacêutica e via de administração: comprimidos, por via oral</w:t>
      </w:r>
    </w:p>
    <w:p w:rsidR="006E6CB9" w:rsidRPr="00290108" w:rsidRDefault="006E6CB9" w:rsidP="00C52E09">
      <w:pPr>
        <w:pStyle w:val="TM-4n"/>
        <w:numPr>
          <w:ilvl w:val="0"/>
          <w:numId w:val="229"/>
        </w:numPr>
        <w:tabs>
          <w:tab w:val="clear" w:pos="720"/>
          <w:tab w:val="clear" w:pos="1134"/>
        </w:tabs>
        <w:spacing w:before="120" w:after="0" w:line="276" w:lineRule="auto"/>
        <w:ind w:left="1440"/>
      </w:pPr>
      <w:r>
        <w:t xml:space="preserve">Indicações: </w:t>
      </w:r>
      <w:r w:rsidRPr="00290108">
        <w:t>tratamento da cefaleia vascular e da enxaqueca</w:t>
      </w:r>
    </w:p>
    <w:p w:rsidR="006E6CB9" w:rsidRPr="00290108" w:rsidRDefault="006E6CB9" w:rsidP="00C52E09">
      <w:pPr>
        <w:pStyle w:val="TM-4n"/>
        <w:numPr>
          <w:ilvl w:val="0"/>
          <w:numId w:val="229"/>
        </w:numPr>
        <w:tabs>
          <w:tab w:val="clear" w:pos="720"/>
          <w:tab w:val="clear" w:pos="1134"/>
        </w:tabs>
        <w:spacing w:before="120" w:after="0" w:line="276" w:lineRule="auto"/>
        <w:ind w:left="1440"/>
      </w:pPr>
      <w:r>
        <w:t xml:space="preserve">Dose e dosagem: </w:t>
      </w:r>
      <w:r w:rsidRPr="00290108">
        <w:t xml:space="preserve">1-2 mg de ergotamina </w:t>
      </w:r>
      <w:r>
        <w:t>de 8/8 horas ou de 24/24 h</w:t>
      </w:r>
      <w:r w:rsidRPr="00290108">
        <w:t xml:space="preserve"> (máximo de 6 mg por dia)</w:t>
      </w:r>
    </w:p>
    <w:p w:rsidR="006E6CB9" w:rsidRDefault="006E6CB9" w:rsidP="00C52E09">
      <w:pPr>
        <w:pStyle w:val="TM-4n"/>
        <w:numPr>
          <w:ilvl w:val="0"/>
          <w:numId w:val="229"/>
        </w:numPr>
        <w:tabs>
          <w:tab w:val="clear" w:pos="720"/>
          <w:tab w:val="clear" w:pos="1134"/>
        </w:tabs>
        <w:spacing w:before="120" w:after="0" w:line="276" w:lineRule="auto"/>
        <w:ind w:left="1440"/>
      </w:pPr>
      <w:r>
        <w:t xml:space="preserve">Efeitos secundários: </w:t>
      </w:r>
      <w:r w:rsidRPr="00290108">
        <w:t>r edema</w:t>
      </w:r>
      <w:r>
        <w:t xml:space="preserve"> localizado (face, dedos, pés, calcanhares)</w:t>
      </w:r>
      <w:r w:rsidRPr="00290108">
        <w:t xml:space="preserve"> e alterações gastrointestinais. </w:t>
      </w:r>
    </w:p>
    <w:p w:rsidR="006E6CB9" w:rsidRDefault="006E6CB9" w:rsidP="00C52E09">
      <w:pPr>
        <w:pStyle w:val="TM-4n"/>
        <w:numPr>
          <w:ilvl w:val="0"/>
          <w:numId w:val="229"/>
        </w:numPr>
        <w:tabs>
          <w:tab w:val="clear" w:pos="720"/>
          <w:tab w:val="clear" w:pos="1134"/>
        </w:tabs>
        <w:spacing w:before="120" w:after="0" w:line="276" w:lineRule="auto"/>
        <w:ind w:left="1440"/>
      </w:pPr>
      <w:r>
        <w:t xml:space="preserve">Contra-indicações: </w:t>
      </w:r>
      <w:r w:rsidRPr="00290108">
        <w:t>hipertensão arterial grave e na gravidez</w:t>
      </w:r>
    </w:p>
    <w:p w:rsidR="006E6CB9" w:rsidRDefault="006E6CB9" w:rsidP="00C52E09">
      <w:pPr>
        <w:pStyle w:val="TM-4n"/>
        <w:numPr>
          <w:ilvl w:val="0"/>
          <w:numId w:val="229"/>
        </w:numPr>
        <w:tabs>
          <w:tab w:val="clear" w:pos="720"/>
          <w:tab w:val="clear" w:pos="1134"/>
        </w:tabs>
        <w:spacing w:before="120" w:after="0" w:line="276" w:lineRule="auto"/>
        <w:ind w:left="1440"/>
      </w:pPr>
      <w:r>
        <w:t>Nota e precauções: evitar bebidas alcoólicas, tabagismo, exposição ao frio, suspender o tratamento quando houver sinal de vasoespasmo (cianose dos dedos, lábios, pés, dor torácica ou aumento da tensão arterial).</w:t>
      </w:r>
    </w:p>
    <w:p w:rsidR="005F3F7B" w:rsidRPr="00290108" w:rsidRDefault="005F3F7B" w:rsidP="005F3F7B">
      <w:pPr>
        <w:pStyle w:val="TM-4n"/>
        <w:numPr>
          <w:ilvl w:val="0"/>
          <w:numId w:val="0"/>
        </w:numPr>
        <w:tabs>
          <w:tab w:val="clear" w:pos="1134"/>
        </w:tabs>
        <w:spacing w:before="120" w:after="0" w:line="276" w:lineRule="auto"/>
        <w:ind w:left="1440"/>
      </w:pPr>
    </w:p>
    <w:p w:rsidR="006E6CB9" w:rsidRPr="008B39E9" w:rsidRDefault="006E6CB9" w:rsidP="006E6CB9">
      <w:pPr>
        <w:pStyle w:val="TM-0"/>
        <w:spacing w:before="120" w:after="0" w:line="276" w:lineRule="auto"/>
        <w:jc w:val="both"/>
        <w:rPr>
          <w:b/>
        </w:rPr>
      </w:pPr>
      <w:r w:rsidRPr="00F46483">
        <w:rPr>
          <w:b/>
        </w:rPr>
        <w:lastRenderedPageBreak/>
        <w:t>3.5</w:t>
      </w:r>
      <w:r>
        <w:t xml:space="preserve"> </w:t>
      </w:r>
      <w:r w:rsidRPr="008B39E9">
        <w:rPr>
          <w:b/>
        </w:rPr>
        <w:t>Anti-inflamatórios (esteróides e não esteróides)</w:t>
      </w:r>
    </w:p>
    <w:p w:rsidR="006E6CB9" w:rsidRDefault="006E6CB9" w:rsidP="006E6CB9">
      <w:pPr>
        <w:pStyle w:val="TM-0"/>
        <w:spacing w:before="120" w:after="0" w:line="276" w:lineRule="auto"/>
        <w:jc w:val="both"/>
      </w:pPr>
      <w:r>
        <w:t>Os fármacos anti-inflamatórios são um grupo de fármacos usados para combater a inflamação. Eles podem ser: anti-inflamatórios não esteróides (AINES) e anti-inflamatórios esteróides</w:t>
      </w:r>
    </w:p>
    <w:p w:rsidR="006E6CB9" w:rsidRDefault="006E6CB9" w:rsidP="008141D5">
      <w:pPr>
        <w:pStyle w:val="TM-0"/>
        <w:spacing w:before="120" w:after="0" w:line="276" w:lineRule="auto"/>
        <w:ind w:left="720"/>
        <w:jc w:val="both"/>
      </w:pPr>
      <w:r w:rsidRPr="00F46483">
        <w:rPr>
          <w:b/>
        </w:rPr>
        <w:t>3.5.1</w:t>
      </w:r>
      <w:r>
        <w:t xml:space="preserve"> </w:t>
      </w:r>
      <w:r w:rsidRPr="008B39E9">
        <w:rPr>
          <w:b/>
        </w:rPr>
        <w:t>Anti-Inflamatórios Não Esteróides (AINES)</w:t>
      </w:r>
    </w:p>
    <w:p w:rsidR="006E6CB9" w:rsidRDefault="006E6CB9" w:rsidP="006E6CB9">
      <w:pPr>
        <w:pStyle w:val="TM-0"/>
        <w:spacing w:before="120" w:after="0" w:line="276" w:lineRule="auto"/>
        <w:jc w:val="both"/>
      </w:pPr>
      <w:r>
        <w:t xml:space="preserve">Os AINES actuam bloqueando a enzima ciclooxigenase (bloqueando deste modo a síntese de prostaglandinas) que está envolvida na reacção inflamatória. Além de diminuírem a inflamação, reduzem a dor e a febre. O seu principal efeito secundário é a capacidade gastroerrosiva, podendo ocasionar úlceras e hemorragias gástricas. Sua principal contra-indicação é a insuficiência renal, pois todos AINES pioram a função dos rins em pacientes com insuficiência renal. </w:t>
      </w:r>
    </w:p>
    <w:p w:rsidR="006E6CB9" w:rsidRPr="008B39E9" w:rsidRDefault="006E6CB9" w:rsidP="006E6CB9">
      <w:pPr>
        <w:pStyle w:val="TM-3n"/>
        <w:numPr>
          <w:ilvl w:val="0"/>
          <w:numId w:val="0"/>
        </w:numPr>
        <w:tabs>
          <w:tab w:val="clear" w:pos="1276"/>
        </w:tabs>
        <w:spacing w:before="120" w:after="0" w:line="276" w:lineRule="auto"/>
        <w:ind w:left="851" w:hanging="284"/>
        <w:rPr>
          <w:b/>
        </w:rPr>
      </w:pPr>
      <w:r w:rsidRPr="008B39E9">
        <w:rPr>
          <w:b/>
        </w:rPr>
        <w:t>Acetil salicilato de lisina (Aspegic).</w:t>
      </w:r>
    </w:p>
    <w:p w:rsidR="006E6CB9" w:rsidRDefault="006E6CB9" w:rsidP="00C52E09">
      <w:pPr>
        <w:pStyle w:val="TM-4n"/>
        <w:numPr>
          <w:ilvl w:val="0"/>
          <w:numId w:val="229"/>
        </w:numPr>
        <w:tabs>
          <w:tab w:val="clear" w:pos="720"/>
          <w:tab w:val="clear" w:pos="1134"/>
        </w:tabs>
        <w:spacing w:before="120" w:after="0" w:line="276" w:lineRule="auto"/>
        <w:ind w:left="1440"/>
      </w:pPr>
      <w:r>
        <w:t>Forma farmacêutica e via de administração: injectável, por via IM ou EV</w:t>
      </w:r>
    </w:p>
    <w:p w:rsidR="006E6CB9" w:rsidRPr="00290108" w:rsidRDefault="006E6CB9" w:rsidP="00C52E09">
      <w:pPr>
        <w:pStyle w:val="TM-4n"/>
        <w:numPr>
          <w:ilvl w:val="0"/>
          <w:numId w:val="229"/>
        </w:numPr>
        <w:tabs>
          <w:tab w:val="clear" w:pos="720"/>
          <w:tab w:val="clear" w:pos="1134"/>
        </w:tabs>
        <w:spacing w:before="120" w:after="0" w:line="276" w:lineRule="auto"/>
        <w:ind w:left="1440"/>
      </w:pPr>
      <w:r>
        <w:t xml:space="preserve">Indicações: </w:t>
      </w:r>
      <w:r w:rsidRPr="00290108">
        <w:t>analgésico e antipirético em situações onde não é possível utilizar a via oral (pacientes inconscientes, ou com vómitos intensos)</w:t>
      </w:r>
    </w:p>
    <w:p w:rsidR="006E6CB9" w:rsidRPr="00290108" w:rsidRDefault="006E6CB9" w:rsidP="00C52E09">
      <w:pPr>
        <w:pStyle w:val="TM-4n"/>
        <w:numPr>
          <w:ilvl w:val="0"/>
          <w:numId w:val="229"/>
        </w:numPr>
        <w:tabs>
          <w:tab w:val="clear" w:pos="720"/>
          <w:tab w:val="clear" w:pos="1134"/>
        </w:tabs>
        <w:spacing w:before="120" w:after="0" w:line="276" w:lineRule="auto"/>
        <w:ind w:left="1440"/>
      </w:pPr>
      <w:r>
        <w:t xml:space="preserve">Dose e dosagem: </w:t>
      </w:r>
      <w:r w:rsidRPr="00290108">
        <w:t>450-900 mg</w:t>
      </w:r>
      <w:r>
        <w:t>, e repetindo de 4/4h ou de 6/6h se necessário</w:t>
      </w:r>
    </w:p>
    <w:p w:rsidR="006E6CB9" w:rsidRDefault="006E6CB9" w:rsidP="00C52E09">
      <w:pPr>
        <w:pStyle w:val="TM-4n"/>
        <w:numPr>
          <w:ilvl w:val="0"/>
          <w:numId w:val="229"/>
        </w:numPr>
        <w:tabs>
          <w:tab w:val="clear" w:pos="720"/>
          <w:tab w:val="clear" w:pos="1134"/>
        </w:tabs>
        <w:spacing w:before="120" w:after="0" w:line="276" w:lineRule="auto"/>
        <w:ind w:left="1440"/>
      </w:pPr>
      <w:r>
        <w:t xml:space="preserve">Efeitos secundários: </w:t>
      </w:r>
      <w:r w:rsidRPr="00290108">
        <w:t>irritação</w:t>
      </w:r>
      <w:r>
        <w:t xml:space="preserve"> gástrica</w:t>
      </w:r>
    </w:p>
    <w:p w:rsidR="006E6CB9" w:rsidRPr="00290108" w:rsidRDefault="006E6CB9" w:rsidP="00C52E09">
      <w:pPr>
        <w:pStyle w:val="TM-4n"/>
        <w:numPr>
          <w:ilvl w:val="0"/>
          <w:numId w:val="229"/>
        </w:numPr>
        <w:tabs>
          <w:tab w:val="clear" w:pos="720"/>
          <w:tab w:val="clear" w:pos="1134"/>
        </w:tabs>
        <w:spacing w:before="120" w:after="0" w:line="276" w:lineRule="auto"/>
        <w:ind w:left="1440"/>
      </w:pPr>
      <w:r w:rsidRPr="00290108">
        <w:t>Contra-indica</w:t>
      </w:r>
      <w:r>
        <w:t xml:space="preserve">ções: </w:t>
      </w:r>
      <w:r w:rsidRPr="00290108">
        <w:t>alergia a ácido acetil-salicílico. Não recomendado em crianças menores de 12 anos</w:t>
      </w:r>
    </w:p>
    <w:p w:rsidR="006E6CB9" w:rsidRPr="008B39E9" w:rsidRDefault="006E6CB9" w:rsidP="006E6CB9">
      <w:pPr>
        <w:pStyle w:val="TM-3n"/>
        <w:numPr>
          <w:ilvl w:val="0"/>
          <w:numId w:val="0"/>
        </w:numPr>
        <w:tabs>
          <w:tab w:val="clear" w:pos="1276"/>
        </w:tabs>
        <w:spacing w:before="120" w:after="0" w:line="276" w:lineRule="auto"/>
        <w:ind w:left="851" w:hanging="284"/>
        <w:rPr>
          <w:b/>
        </w:rPr>
      </w:pPr>
      <w:r w:rsidRPr="008B39E9">
        <w:rPr>
          <w:b/>
        </w:rPr>
        <w:t>Áci</w:t>
      </w:r>
      <w:r>
        <w:rPr>
          <w:b/>
        </w:rPr>
        <w:t>do acetil-salicílico (Aspirina)</w:t>
      </w:r>
    </w:p>
    <w:p w:rsidR="006E6CB9" w:rsidRDefault="006E6CB9" w:rsidP="00C52E09">
      <w:pPr>
        <w:pStyle w:val="TM-4n"/>
        <w:numPr>
          <w:ilvl w:val="0"/>
          <w:numId w:val="229"/>
        </w:numPr>
        <w:tabs>
          <w:tab w:val="clear" w:pos="720"/>
          <w:tab w:val="clear" w:pos="1134"/>
        </w:tabs>
        <w:spacing w:before="120" w:after="0" w:line="276" w:lineRule="auto"/>
        <w:ind w:left="1440"/>
      </w:pPr>
      <w:r>
        <w:t>Forma farmacêutica e via de administração: comprimidos, por via oral</w:t>
      </w:r>
    </w:p>
    <w:p w:rsidR="006E6CB9" w:rsidRPr="00290108" w:rsidRDefault="006E6CB9" w:rsidP="00C52E09">
      <w:pPr>
        <w:pStyle w:val="TM-4n"/>
        <w:numPr>
          <w:ilvl w:val="0"/>
          <w:numId w:val="229"/>
        </w:numPr>
        <w:tabs>
          <w:tab w:val="clear" w:pos="720"/>
          <w:tab w:val="clear" w:pos="1134"/>
        </w:tabs>
        <w:spacing w:before="120" w:after="0" w:line="276" w:lineRule="auto"/>
        <w:ind w:left="1440"/>
      </w:pPr>
      <w:r>
        <w:t xml:space="preserve">Indicações: </w:t>
      </w:r>
      <w:r w:rsidRPr="00290108">
        <w:t>dor de baixa intensidade e na febre. Também utilizado para evitar a agregação plaquetária</w:t>
      </w:r>
      <w:r>
        <w:t xml:space="preserve"> (anti-agregante plaquetário) </w:t>
      </w:r>
    </w:p>
    <w:p w:rsidR="006E6CB9" w:rsidRPr="00290108" w:rsidRDefault="006E6CB9" w:rsidP="00C52E09">
      <w:pPr>
        <w:pStyle w:val="TM-4n"/>
        <w:numPr>
          <w:ilvl w:val="0"/>
          <w:numId w:val="229"/>
        </w:numPr>
        <w:tabs>
          <w:tab w:val="clear" w:pos="720"/>
          <w:tab w:val="clear" w:pos="1134"/>
        </w:tabs>
        <w:spacing w:before="120" w:after="0" w:line="276" w:lineRule="auto"/>
        <w:ind w:left="1440"/>
      </w:pPr>
      <w:r>
        <w:t xml:space="preserve">Dose e dosagem: </w:t>
      </w:r>
      <w:r w:rsidRPr="00290108">
        <w:t xml:space="preserve">500-1000 mg </w:t>
      </w:r>
      <w:r>
        <w:t xml:space="preserve">de 6 em </w:t>
      </w:r>
      <w:r w:rsidRPr="00290108">
        <w:t>6 horas (máximo de 4 g por dia)</w:t>
      </w:r>
      <w:r>
        <w:t>. Como anti-agregante plaquetário, a dose é 125 a 250 mg/dia em toma única.</w:t>
      </w:r>
    </w:p>
    <w:p w:rsidR="006E6CB9" w:rsidRDefault="006E6CB9" w:rsidP="00C52E09">
      <w:pPr>
        <w:pStyle w:val="TM-0"/>
        <w:numPr>
          <w:ilvl w:val="0"/>
          <w:numId w:val="240"/>
        </w:numPr>
        <w:spacing w:before="120" w:after="0" w:line="276" w:lineRule="auto"/>
        <w:jc w:val="both"/>
      </w:pPr>
      <w:r>
        <w:t xml:space="preserve">Efeitos secundários: </w:t>
      </w:r>
      <w:r w:rsidRPr="00290108">
        <w:t>irritação gástrica</w:t>
      </w:r>
      <w:r>
        <w:t xml:space="preserve"> (úlceras, hemorragias)</w:t>
      </w:r>
      <w:r w:rsidRPr="00290108">
        <w:t>.</w:t>
      </w:r>
    </w:p>
    <w:p w:rsidR="006E6CB9" w:rsidRPr="00035880" w:rsidRDefault="006E6CB9" w:rsidP="00C52E09">
      <w:pPr>
        <w:pStyle w:val="TM-0"/>
        <w:numPr>
          <w:ilvl w:val="0"/>
          <w:numId w:val="240"/>
        </w:numPr>
        <w:spacing w:before="120" w:after="0" w:line="276" w:lineRule="auto"/>
        <w:jc w:val="both"/>
        <w:rPr>
          <w:b/>
        </w:rPr>
      </w:pPr>
      <w:r w:rsidRPr="00290108">
        <w:t>Contra-indica</w:t>
      </w:r>
      <w:r>
        <w:t>ções: a</w:t>
      </w:r>
      <w:r w:rsidRPr="00290108">
        <w:t>lergia a ácido acetil-salicílico. Não recomendado em crianças menores de 12 anos</w:t>
      </w:r>
      <w:r w:rsidRPr="00035880">
        <w:rPr>
          <w:b/>
        </w:rPr>
        <w:t>Diclofenac</w:t>
      </w:r>
    </w:p>
    <w:p w:rsidR="006E6CB9" w:rsidRDefault="006E6CB9" w:rsidP="00C52E09">
      <w:pPr>
        <w:pStyle w:val="TM-0"/>
        <w:numPr>
          <w:ilvl w:val="0"/>
          <w:numId w:val="238"/>
        </w:numPr>
        <w:spacing w:before="120" w:after="0" w:line="276" w:lineRule="auto"/>
        <w:jc w:val="both"/>
      </w:pPr>
      <w:r>
        <w:t>Forma farmacêutica e via de administração: comprimidos, injectável, por via oral e IM; existe disponível na forma de gel para aplicação cutânea externa</w:t>
      </w:r>
    </w:p>
    <w:p w:rsidR="006E6CB9" w:rsidRDefault="006E6CB9" w:rsidP="00C52E09">
      <w:pPr>
        <w:pStyle w:val="TM-0"/>
        <w:numPr>
          <w:ilvl w:val="0"/>
          <w:numId w:val="238"/>
        </w:numPr>
        <w:spacing w:before="120" w:after="0" w:line="276" w:lineRule="auto"/>
        <w:jc w:val="both"/>
      </w:pPr>
      <w:r>
        <w:t>Indicações: controlo da dor e inflamação de intensidade ligeira, moderada a severa, controlo da dor e inflamação da: artrite reumatóide, bursites, tendinites, dismenorreia (dor menstrual), crise de gota</w:t>
      </w:r>
    </w:p>
    <w:p w:rsidR="006E6CB9" w:rsidRDefault="006E6CB9" w:rsidP="00C52E09">
      <w:pPr>
        <w:pStyle w:val="TM-0"/>
        <w:numPr>
          <w:ilvl w:val="0"/>
          <w:numId w:val="238"/>
        </w:numPr>
        <w:spacing w:before="120" w:after="0" w:line="276" w:lineRule="auto"/>
        <w:jc w:val="both"/>
      </w:pPr>
      <w:r>
        <w:t>Dose e dosagem: 25 a 50 mg de 8 em 8 horas</w:t>
      </w:r>
    </w:p>
    <w:p w:rsidR="006E6CB9" w:rsidRDefault="006E6CB9" w:rsidP="00C52E09">
      <w:pPr>
        <w:pStyle w:val="TM-0"/>
        <w:numPr>
          <w:ilvl w:val="0"/>
          <w:numId w:val="238"/>
        </w:numPr>
        <w:spacing w:before="120" w:after="0" w:line="276" w:lineRule="auto"/>
        <w:jc w:val="both"/>
      </w:pPr>
      <w:r>
        <w:t>Efeitos secundários: dispepsia, náuseas, vómitos, diarreia ou obstipação. Raramente ocorre a irritação gástrica com úlcera e hemorragia digestiva.</w:t>
      </w:r>
    </w:p>
    <w:p w:rsidR="006E6CB9" w:rsidRDefault="006E6CB9" w:rsidP="00C52E09">
      <w:pPr>
        <w:pStyle w:val="TM-0"/>
        <w:numPr>
          <w:ilvl w:val="0"/>
          <w:numId w:val="238"/>
        </w:numPr>
        <w:spacing w:before="120" w:after="0" w:line="276" w:lineRule="auto"/>
        <w:jc w:val="both"/>
      </w:pPr>
      <w:r>
        <w:t>Contra-indicações: hipersensibilidade aos AINES, úlceras pépticas activas, insuficiência renal, hepática ou cardíaca severas, hipertensão arterial não controlada.</w:t>
      </w:r>
    </w:p>
    <w:p w:rsidR="006E6CB9" w:rsidRDefault="006E6CB9" w:rsidP="00C52E09">
      <w:pPr>
        <w:pStyle w:val="TM-0"/>
        <w:numPr>
          <w:ilvl w:val="0"/>
          <w:numId w:val="238"/>
        </w:numPr>
        <w:spacing w:before="120" w:after="0" w:line="276" w:lineRule="auto"/>
        <w:jc w:val="both"/>
      </w:pPr>
      <w:r>
        <w:t xml:space="preserve">Notas e precauções: não é recomendado o uso durante a gravidez. A sua administração durante o terceiro trimestre da gravidez está associado a prolongamento da gestação e do trabalho de parto, risco aumentado de hemorragia ante-parto e pós-parto e encerramento prematuro do canal arterial. Pode ser usado durante a lactação. É recomendável tomar com alimentos para diminuir os efeitos irritantes gastrointestinais.  </w:t>
      </w:r>
    </w:p>
    <w:p w:rsidR="006E6CB9" w:rsidRPr="008B39E9" w:rsidRDefault="006E6CB9" w:rsidP="006E6CB9">
      <w:pPr>
        <w:pStyle w:val="TM-0"/>
        <w:spacing w:before="120" w:after="0" w:line="276" w:lineRule="auto"/>
        <w:jc w:val="both"/>
        <w:rPr>
          <w:b/>
        </w:rPr>
      </w:pPr>
      <w:r w:rsidRPr="008B39E9">
        <w:rPr>
          <w:b/>
        </w:rPr>
        <w:lastRenderedPageBreak/>
        <w:t>Ibuprofeno</w:t>
      </w:r>
    </w:p>
    <w:p w:rsidR="006E6CB9" w:rsidRDefault="006E6CB9" w:rsidP="00C52E09">
      <w:pPr>
        <w:pStyle w:val="TM-0"/>
        <w:numPr>
          <w:ilvl w:val="0"/>
          <w:numId w:val="238"/>
        </w:numPr>
        <w:spacing w:before="120" w:after="0" w:line="276" w:lineRule="auto"/>
        <w:jc w:val="both"/>
      </w:pPr>
      <w:r>
        <w:t xml:space="preserve">Forma farmacêutica e via de administração: comprimidos, supositórios, por via oral e rectal </w:t>
      </w:r>
    </w:p>
    <w:p w:rsidR="006E6CB9" w:rsidRDefault="006E6CB9" w:rsidP="00C52E09">
      <w:pPr>
        <w:pStyle w:val="TM-0"/>
        <w:numPr>
          <w:ilvl w:val="0"/>
          <w:numId w:val="238"/>
        </w:numPr>
        <w:spacing w:before="120" w:after="0" w:line="276" w:lineRule="auto"/>
        <w:jc w:val="both"/>
      </w:pPr>
      <w:r>
        <w:t>Indicações: controlo da dor e inflamação de intensidade ligeira ou moderada, controlo da dor e inflamação da: artrite reumatóide, bursites, tendinites, dismenorreia (dor menstrual)</w:t>
      </w:r>
    </w:p>
    <w:p w:rsidR="006E6CB9" w:rsidRDefault="006E6CB9" w:rsidP="00C52E09">
      <w:pPr>
        <w:pStyle w:val="TM-0"/>
        <w:numPr>
          <w:ilvl w:val="0"/>
          <w:numId w:val="238"/>
        </w:numPr>
        <w:spacing w:before="120" w:after="0" w:line="276" w:lineRule="auto"/>
        <w:jc w:val="both"/>
      </w:pPr>
      <w:r>
        <w:t>Dose e dosagem: 200 a 400 mg de 8 em 8 horas; Dose máxima diária 2400 mg.</w:t>
      </w:r>
    </w:p>
    <w:p w:rsidR="006E6CB9" w:rsidRDefault="006E6CB9" w:rsidP="00C52E09">
      <w:pPr>
        <w:pStyle w:val="TM-0"/>
        <w:numPr>
          <w:ilvl w:val="0"/>
          <w:numId w:val="238"/>
        </w:numPr>
        <w:spacing w:before="120" w:after="0" w:line="276" w:lineRule="auto"/>
        <w:jc w:val="both"/>
      </w:pPr>
      <w:r>
        <w:t>Os efeitos secundários e contra-indicações são similares ao diclofenac, porém menos pronunciados.</w:t>
      </w:r>
    </w:p>
    <w:p w:rsidR="006E6CB9" w:rsidRPr="008B39E9" w:rsidRDefault="006E6CB9" w:rsidP="006E6CB9">
      <w:pPr>
        <w:pStyle w:val="TM-0"/>
        <w:spacing w:before="120" w:after="0" w:line="276" w:lineRule="auto"/>
        <w:jc w:val="both"/>
        <w:rPr>
          <w:b/>
        </w:rPr>
      </w:pPr>
      <w:r w:rsidRPr="008B39E9">
        <w:rPr>
          <w:b/>
        </w:rPr>
        <w:t>Indometacina</w:t>
      </w:r>
    </w:p>
    <w:p w:rsidR="006E6CB9" w:rsidRDefault="006E6CB9" w:rsidP="00C52E09">
      <w:pPr>
        <w:pStyle w:val="TM-0"/>
        <w:numPr>
          <w:ilvl w:val="0"/>
          <w:numId w:val="238"/>
        </w:numPr>
        <w:spacing w:before="120" w:after="0" w:line="276" w:lineRule="auto"/>
        <w:jc w:val="both"/>
      </w:pPr>
      <w:r>
        <w:t xml:space="preserve">Forma farmacêutica e via de administração: comprimidos, suspensão oral, por via oral e IM; </w:t>
      </w:r>
    </w:p>
    <w:p w:rsidR="006E6CB9" w:rsidRDefault="006E6CB9" w:rsidP="00C52E09">
      <w:pPr>
        <w:pStyle w:val="TM-0"/>
        <w:numPr>
          <w:ilvl w:val="0"/>
          <w:numId w:val="238"/>
        </w:numPr>
        <w:spacing w:before="120" w:after="0" w:line="276" w:lineRule="auto"/>
        <w:jc w:val="both"/>
      </w:pPr>
      <w:r>
        <w:t>Indicações: controlo da dor e inflamação na artrite reumatóide, bursites, tendinites, dismenorreia (dor menstrual); tratamento da crise aguda de gota; persistência do canal arterial no recém-nascido</w:t>
      </w:r>
    </w:p>
    <w:p w:rsidR="006E6CB9" w:rsidRDefault="006E6CB9" w:rsidP="00C52E09">
      <w:pPr>
        <w:pStyle w:val="TM-0"/>
        <w:numPr>
          <w:ilvl w:val="0"/>
          <w:numId w:val="238"/>
        </w:numPr>
        <w:spacing w:before="120" w:after="0" w:line="276" w:lineRule="auto"/>
        <w:jc w:val="both"/>
      </w:pPr>
      <w:r>
        <w:t xml:space="preserve">Doses: </w:t>
      </w:r>
    </w:p>
    <w:p w:rsidR="006E6CB9" w:rsidRDefault="006E6CB9" w:rsidP="00C52E09">
      <w:pPr>
        <w:pStyle w:val="TM-0"/>
        <w:numPr>
          <w:ilvl w:val="1"/>
          <w:numId w:val="238"/>
        </w:numPr>
        <w:spacing w:before="120" w:after="0" w:line="276" w:lineRule="auto"/>
        <w:jc w:val="both"/>
      </w:pPr>
      <w:r>
        <w:t>Adultos – 25 a 50 mg 3 vezes/dia;</w:t>
      </w:r>
    </w:p>
    <w:p w:rsidR="006E6CB9" w:rsidRDefault="006E6CB9" w:rsidP="00C52E09">
      <w:pPr>
        <w:pStyle w:val="TM-0"/>
        <w:numPr>
          <w:ilvl w:val="1"/>
          <w:numId w:val="238"/>
        </w:numPr>
        <w:spacing w:before="120" w:after="0" w:line="276" w:lineRule="auto"/>
        <w:jc w:val="both"/>
      </w:pPr>
      <w:r>
        <w:t>Na crise aguda de gota: 50mg de 6/6h no 1º dia; 50 mg de 8/8h no 2º e 3º dia</w:t>
      </w:r>
    </w:p>
    <w:p w:rsidR="006E6CB9" w:rsidRDefault="006E6CB9" w:rsidP="00C52E09">
      <w:pPr>
        <w:pStyle w:val="TM-0"/>
        <w:numPr>
          <w:ilvl w:val="0"/>
          <w:numId w:val="242"/>
        </w:numPr>
        <w:spacing w:before="120" w:after="0" w:line="276" w:lineRule="auto"/>
        <w:jc w:val="both"/>
      </w:pPr>
      <w:r>
        <w:t>Os efeitos secundários, contra-indicações são semelhantes aos do diclofenac.</w:t>
      </w:r>
    </w:p>
    <w:p w:rsidR="006E6CB9" w:rsidRPr="008B39E9" w:rsidRDefault="006E6CB9" w:rsidP="008141D5">
      <w:pPr>
        <w:pStyle w:val="TM-0"/>
        <w:spacing w:before="120" w:after="0" w:line="276" w:lineRule="auto"/>
        <w:ind w:left="360"/>
        <w:jc w:val="both"/>
        <w:rPr>
          <w:b/>
        </w:rPr>
      </w:pPr>
      <w:r>
        <w:t xml:space="preserve">3.5.2 </w:t>
      </w:r>
      <w:r w:rsidRPr="008B39E9">
        <w:rPr>
          <w:b/>
        </w:rPr>
        <w:t>Anti-inflamatórios Esteróides</w:t>
      </w:r>
    </w:p>
    <w:p w:rsidR="006E6CB9" w:rsidRDefault="006E6CB9" w:rsidP="006E6CB9">
      <w:pPr>
        <w:pStyle w:val="TM-0"/>
        <w:spacing w:before="120" w:after="0" w:line="276" w:lineRule="auto"/>
        <w:jc w:val="both"/>
      </w:pPr>
      <w:r>
        <w:t>Os anti-inflamatórios esteróides são um grupo de fármacos que bloqueiam a enzima fosfolipase A2 (a 1ª etapa da inflamação), bloqueando deste modo toda a cascata da inflamação, sendo por isto usado frequentemente em muitos processos alérgicos. Seus principais efeitos secundários estão relacionados com a retenção de sódio (favorecendo o acúmulo de água no espaço intravascular e aumentando a pressão arterial) e seu efeito imunossupressor, estando deste modo contra-indicado em pacientes com infecções fúngicas sistêmicas, com história patológica pregressa de tuberculose, HTA, Insuficiência Cardíaca. Também estão contra-indicados em pacientes com psicose ou antecedentes psiquiátricos, diabetes mellitus, antecedentes de úlcera péptica, osteoporose, glaucoma.</w:t>
      </w:r>
    </w:p>
    <w:p w:rsidR="006E6CB9" w:rsidRPr="008B39E9" w:rsidRDefault="006E6CB9" w:rsidP="006E6CB9">
      <w:pPr>
        <w:pStyle w:val="TM-0"/>
        <w:spacing w:before="120" w:after="0" w:line="276" w:lineRule="auto"/>
        <w:jc w:val="both"/>
        <w:rPr>
          <w:b/>
        </w:rPr>
      </w:pPr>
      <w:r w:rsidRPr="008B39E9">
        <w:rPr>
          <w:b/>
        </w:rPr>
        <w:t>Prednisolona</w:t>
      </w:r>
    </w:p>
    <w:p w:rsidR="006E6CB9" w:rsidRDefault="006E6CB9" w:rsidP="00C52E09">
      <w:pPr>
        <w:pStyle w:val="TM-0"/>
        <w:numPr>
          <w:ilvl w:val="0"/>
          <w:numId w:val="234"/>
        </w:numPr>
        <w:spacing w:before="120" w:after="0" w:line="276" w:lineRule="auto"/>
        <w:jc w:val="both"/>
      </w:pPr>
      <w:r>
        <w:t>Forma farmacêutica e via de administração: comprimidos, injectável, por via oral e EV ou IM</w:t>
      </w:r>
    </w:p>
    <w:p w:rsidR="006E6CB9" w:rsidRDefault="006E6CB9" w:rsidP="00C52E09">
      <w:pPr>
        <w:pStyle w:val="TM-0"/>
        <w:numPr>
          <w:ilvl w:val="0"/>
          <w:numId w:val="234"/>
        </w:numPr>
        <w:spacing w:before="120" w:after="0" w:line="276" w:lineRule="auto"/>
        <w:jc w:val="both"/>
      </w:pPr>
      <w:r>
        <w:t>Indicações: doenças respiratórias (asma brônquica, certas formas de tuberculose – tuberculose meníngea, TB pericárdica, entre outras), transtornos alérgicos, síndrome nefrótico, doenças auto-imunes (artrite reumatóide, lúpus eritematoso, bursites), entre outras situações</w:t>
      </w:r>
    </w:p>
    <w:p w:rsidR="006E6CB9" w:rsidRDefault="006E6CB9" w:rsidP="00C52E09">
      <w:pPr>
        <w:pStyle w:val="TM-0"/>
        <w:numPr>
          <w:ilvl w:val="0"/>
          <w:numId w:val="234"/>
        </w:numPr>
        <w:spacing w:before="120" w:after="0" w:line="276" w:lineRule="auto"/>
        <w:jc w:val="both"/>
      </w:pPr>
      <w:r>
        <w:t>Doses: 10 a 20 mg/dia, podendo ir até 60 mg/dia, de preferência de manhã depois do pequeno almoço. Dose de manutenção: habitualmente entre 2,5 – 15 mg/dia.</w:t>
      </w:r>
    </w:p>
    <w:p w:rsidR="006E6CB9" w:rsidRDefault="006E6CB9" w:rsidP="00C52E09">
      <w:pPr>
        <w:pStyle w:val="TM-0"/>
        <w:numPr>
          <w:ilvl w:val="0"/>
          <w:numId w:val="234"/>
        </w:numPr>
        <w:spacing w:before="120" w:after="0" w:line="276" w:lineRule="auto"/>
        <w:jc w:val="both"/>
      </w:pPr>
      <w:r>
        <w:t>Notas e precauções: em tratamento prolongado, usar a dose mais baixa possível e administrá-la de preferência numa toma única matinal ou dose dupla desta em dias alternados; nestes tratamentos prolongados, para minimizar os riscos de supressão do eixo hipófise-supra-renal, fazer a supressão gradual da corticoterapia. Assegurar um aporte proteico elevado, suplemento de potássio e cálcio, e fazer restrição de sódio.</w:t>
      </w:r>
    </w:p>
    <w:p w:rsidR="006E6CB9" w:rsidRPr="008B39E9" w:rsidRDefault="006E6CB9" w:rsidP="006E6CB9">
      <w:pPr>
        <w:pStyle w:val="TM-0"/>
        <w:spacing w:before="120" w:after="0" w:line="276" w:lineRule="auto"/>
        <w:jc w:val="both"/>
        <w:rPr>
          <w:b/>
        </w:rPr>
      </w:pPr>
      <w:r w:rsidRPr="008B39E9">
        <w:rPr>
          <w:b/>
        </w:rPr>
        <w:t>Hidrocortisona</w:t>
      </w:r>
    </w:p>
    <w:p w:rsidR="006E6CB9" w:rsidRDefault="006E6CB9" w:rsidP="00C52E09">
      <w:pPr>
        <w:pStyle w:val="TM-0"/>
        <w:numPr>
          <w:ilvl w:val="0"/>
          <w:numId w:val="234"/>
        </w:numPr>
        <w:spacing w:before="120" w:after="0" w:line="276" w:lineRule="auto"/>
        <w:jc w:val="both"/>
      </w:pPr>
      <w:r>
        <w:t>Forma farmacêutica e via de administração: injectável, por via EV</w:t>
      </w:r>
    </w:p>
    <w:p w:rsidR="006E6CB9" w:rsidRDefault="006E6CB9" w:rsidP="00C52E09">
      <w:pPr>
        <w:pStyle w:val="TM-0"/>
        <w:numPr>
          <w:ilvl w:val="0"/>
          <w:numId w:val="234"/>
        </w:numPr>
        <w:spacing w:before="120" w:after="0" w:line="276" w:lineRule="auto"/>
        <w:jc w:val="both"/>
      </w:pPr>
      <w:r>
        <w:t>Indicações: tratamento de reacções alérgicas agudas (asma brônquica, angioedema, choque anafilático)</w:t>
      </w:r>
    </w:p>
    <w:p w:rsidR="006E6CB9" w:rsidRDefault="006E6CB9" w:rsidP="00C52E09">
      <w:pPr>
        <w:pStyle w:val="TM-0"/>
        <w:numPr>
          <w:ilvl w:val="0"/>
          <w:numId w:val="234"/>
        </w:numPr>
        <w:spacing w:before="120" w:after="0" w:line="276" w:lineRule="auto"/>
        <w:jc w:val="both"/>
      </w:pPr>
      <w:r>
        <w:lastRenderedPageBreak/>
        <w:t>Dose e dosagem: 100 a 500 mg 3 a 4 vezes por dia</w:t>
      </w:r>
    </w:p>
    <w:p w:rsidR="006E6CB9" w:rsidRDefault="006E6CB9" w:rsidP="00C52E09">
      <w:pPr>
        <w:pStyle w:val="TM-0"/>
        <w:numPr>
          <w:ilvl w:val="0"/>
          <w:numId w:val="234"/>
        </w:numPr>
        <w:spacing w:before="120" w:after="0" w:line="276" w:lineRule="auto"/>
        <w:jc w:val="both"/>
      </w:pPr>
      <w:r>
        <w:t>Os efeitos secundários, contra-indicações e precauções são similares aos da prednisolona e as descritas de uma forma geral para os anti-inflamatórios esteróides.</w:t>
      </w:r>
    </w:p>
    <w:p w:rsidR="006E6CB9" w:rsidRPr="00290108" w:rsidRDefault="006E6CB9" w:rsidP="006E6CB9">
      <w:pPr>
        <w:pStyle w:val="TM-0"/>
        <w:spacing w:before="120" w:after="0" w:line="276" w:lineRule="auto"/>
        <w:jc w:val="both"/>
      </w:pPr>
    </w:p>
    <w:p w:rsidR="006E6CB9" w:rsidRPr="00290108" w:rsidRDefault="005F3F7B" w:rsidP="005F3F7B">
      <w:pPr>
        <w:pStyle w:val="TM-1n"/>
        <w:numPr>
          <w:ilvl w:val="0"/>
          <w:numId w:val="0"/>
        </w:numPr>
        <w:shd w:val="clear" w:color="auto" w:fill="C6D9F1"/>
        <w:tabs>
          <w:tab w:val="clear" w:pos="9072"/>
          <w:tab w:val="left" w:pos="284"/>
        </w:tabs>
      </w:pPr>
      <w:r>
        <w:t xml:space="preserve">BLOCO 4: </w:t>
      </w:r>
      <w:r w:rsidR="006E6CB9" w:rsidRPr="00290108">
        <w:t>ANTI-</w:t>
      </w:r>
      <w:r w:rsidR="006E6CB9">
        <w:t>ALÉRGICOS</w:t>
      </w:r>
      <w:r w:rsidR="006E6CB9" w:rsidRPr="00290108">
        <w:tab/>
      </w:r>
    </w:p>
    <w:p w:rsidR="006E6CB9" w:rsidRDefault="006E6CB9" w:rsidP="00F957A0">
      <w:pPr>
        <w:pStyle w:val="TM-2n"/>
        <w:numPr>
          <w:ilvl w:val="0"/>
          <w:numId w:val="0"/>
        </w:numPr>
        <w:spacing w:before="120" w:after="0" w:line="276" w:lineRule="auto"/>
      </w:pPr>
      <w:r>
        <w:t>Os fármacos anti-alérgicos são grupos de fármacos que são usados nos transtornos alérgicos e podem ser divididos em 2 grupos principais: os anti-inflamatórios esteróides (abordados no bloco anterior) e os anti-histamínicos. Os anti-histamínicos serão abordados neste bloco.</w:t>
      </w:r>
    </w:p>
    <w:p w:rsidR="006E6CB9" w:rsidRPr="008B39E9" w:rsidRDefault="006E6CB9" w:rsidP="006E6CB9">
      <w:pPr>
        <w:pStyle w:val="TM-2n"/>
        <w:numPr>
          <w:ilvl w:val="0"/>
          <w:numId w:val="0"/>
        </w:numPr>
        <w:spacing w:before="120" w:after="0" w:line="276" w:lineRule="auto"/>
        <w:ind w:left="284" w:hanging="284"/>
        <w:rPr>
          <w:b/>
        </w:rPr>
      </w:pPr>
      <w:r w:rsidRPr="007701A8">
        <w:rPr>
          <w:b/>
        </w:rPr>
        <w:t>4.1</w:t>
      </w:r>
      <w:r>
        <w:t xml:space="preserve"> </w:t>
      </w:r>
      <w:r w:rsidRPr="008B39E9">
        <w:rPr>
          <w:b/>
        </w:rPr>
        <w:t>Anti-histamínicos</w:t>
      </w:r>
    </w:p>
    <w:p w:rsidR="006E6CB9" w:rsidRDefault="006E6CB9" w:rsidP="00F957A0">
      <w:pPr>
        <w:pStyle w:val="TM-2n"/>
        <w:numPr>
          <w:ilvl w:val="0"/>
          <w:numId w:val="0"/>
        </w:numPr>
        <w:spacing w:before="120" w:after="0" w:line="276" w:lineRule="auto"/>
      </w:pPr>
      <w:r>
        <w:t>Os anti-histamínicos são um grupo de fármacos usados nos transtornos alérgicos e de outras situações. Actuam por bloqueio dos receptores “H1” da histamina, diminuindo ou boqueando as acções da histamina. Seus principais efeitos secundários são a sonolência, sensação de fadiga, tonturas, boca seca e visão turva. Suas principais contra-indicações são a gravidez, especialmente  no 1º trimestre e lactação, pelo risco de efeitos sedativos no lactente.</w:t>
      </w:r>
    </w:p>
    <w:p w:rsidR="006E6CB9" w:rsidRPr="008B39E9" w:rsidRDefault="006E6CB9" w:rsidP="00F957A0">
      <w:pPr>
        <w:pStyle w:val="TM-2n"/>
        <w:numPr>
          <w:ilvl w:val="0"/>
          <w:numId w:val="0"/>
        </w:numPr>
        <w:spacing w:before="120" w:after="0" w:line="276" w:lineRule="auto"/>
        <w:ind w:left="284" w:firstLine="256"/>
        <w:rPr>
          <w:b/>
        </w:rPr>
      </w:pPr>
      <w:r w:rsidRPr="00F957A0">
        <w:rPr>
          <w:b/>
        </w:rPr>
        <w:t>4.1.1</w:t>
      </w:r>
      <w:r>
        <w:t xml:space="preserve"> </w:t>
      </w:r>
      <w:r w:rsidRPr="008B39E9">
        <w:rPr>
          <w:b/>
        </w:rPr>
        <w:t>Clorfeniramina</w:t>
      </w:r>
    </w:p>
    <w:p w:rsidR="006E6CB9" w:rsidRDefault="006E6CB9" w:rsidP="00C52E09">
      <w:pPr>
        <w:pStyle w:val="TM-2n"/>
        <w:numPr>
          <w:ilvl w:val="0"/>
          <w:numId w:val="236"/>
        </w:numPr>
        <w:spacing w:before="120" w:after="0" w:line="276" w:lineRule="auto"/>
      </w:pPr>
      <w:r>
        <w:t>Forma farmacêutica e via de administração: comprimidos, xarope, por via oral</w:t>
      </w:r>
    </w:p>
    <w:p w:rsidR="006E6CB9" w:rsidRDefault="006E6CB9" w:rsidP="00C52E09">
      <w:pPr>
        <w:pStyle w:val="TM-2n"/>
        <w:numPr>
          <w:ilvl w:val="0"/>
          <w:numId w:val="236"/>
        </w:numPr>
        <w:spacing w:before="120" w:after="0" w:line="276" w:lineRule="auto"/>
      </w:pPr>
      <w:r>
        <w:t>Indicações: tratamento sintomático de estados alérgicos agudos ligeiros ou moderados e de alergias crónicas</w:t>
      </w:r>
    </w:p>
    <w:p w:rsidR="006E6CB9" w:rsidRDefault="006E6CB9" w:rsidP="00C52E09">
      <w:pPr>
        <w:pStyle w:val="TM-2n"/>
        <w:numPr>
          <w:ilvl w:val="0"/>
          <w:numId w:val="236"/>
        </w:numPr>
        <w:spacing w:before="120" w:after="0" w:line="276" w:lineRule="auto"/>
      </w:pPr>
      <w:r>
        <w:t>Doses: adultos – 4 mg de 8 em 8 horas</w:t>
      </w:r>
    </w:p>
    <w:p w:rsidR="006E6CB9" w:rsidRPr="008B39E9" w:rsidRDefault="006E6CB9" w:rsidP="00F957A0">
      <w:pPr>
        <w:pStyle w:val="TM-2n"/>
        <w:numPr>
          <w:ilvl w:val="0"/>
          <w:numId w:val="0"/>
        </w:numPr>
        <w:spacing w:before="120" w:after="0" w:line="276" w:lineRule="auto"/>
        <w:ind w:left="284" w:firstLine="256"/>
        <w:rPr>
          <w:b/>
        </w:rPr>
      </w:pPr>
      <w:r w:rsidRPr="00F957A0">
        <w:rPr>
          <w:b/>
        </w:rPr>
        <w:t>4.1.2</w:t>
      </w:r>
      <w:r>
        <w:t xml:space="preserve"> </w:t>
      </w:r>
      <w:r w:rsidRPr="008B39E9">
        <w:rPr>
          <w:b/>
        </w:rPr>
        <w:t>Difenidramina</w:t>
      </w:r>
    </w:p>
    <w:p w:rsidR="006E6CB9" w:rsidRDefault="006E6CB9" w:rsidP="00C52E09">
      <w:pPr>
        <w:pStyle w:val="TM-2n"/>
        <w:numPr>
          <w:ilvl w:val="0"/>
          <w:numId w:val="237"/>
        </w:numPr>
        <w:spacing w:before="120" w:after="0" w:line="276" w:lineRule="auto"/>
      </w:pPr>
      <w:r>
        <w:t>Forma farmacêutica e via de administração: injectável, por via IM ou EV</w:t>
      </w:r>
    </w:p>
    <w:p w:rsidR="006E6CB9" w:rsidRDefault="006E6CB9" w:rsidP="00C52E09">
      <w:pPr>
        <w:pStyle w:val="TM-2n"/>
        <w:numPr>
          <w:ilvl w:val="0"/>
          <w:numId w:val="237"/>
        </w:numPr>
        <w:spacing w:before="120" w:after="0" w:line="276" w:lineRule="auto"/>
      </w:pPr>
      <w:r>
        <w:t>Indicações: tratamento sintomático de alérgia aguda; tratamento de vertigens, vómitos e cinestoses (enjoo)</w:t>
      </w:r>
    </w:p>
    <w:p w:rsidR="006E6CB9" w:rsidRDefault="006E6CB9" w:rsidP="00C52E09">
      <w:pPr>
        <w:pStyle w:val="TM-2n"/>
        <w:numPr>
          <w:ilvl w:val="0"/>
          <w:numId w:val="237"/>
        </w:numPr>
        <w:spacing w:before="120" w:after="0" w:line="276" w:lineRule="auto"/>
      </w:pPr>
      <w:r>
        <w:t xml:space="preserve">Doses: 50 mg a repetir se necessário </w:t>
      </w:r>
    </w:p>
    <w:p w:rsidR="006E6CB9" w:rsidRPr="008B39E9" w:rsidRDefault="006E6CB9" w:rsidP="00F957A0">
      <w:pPr>
        <w:pStyle w:val="TM-2n"/>
        <w:numPr>
          <w:ilvl w:val="0"/>
          <w:numId w:val="0"/>
        </w:numPr>
        <w:spacing w:before="120" w:after="0" w:line="276" w:lineRule="auto"/>
        <w:ind w:left="284" w:firstLine="256"/>
        <w:rPr>
          <w:b/>
        </w:rPr>
      </w:pPr>
      <w:r w:rsidRPr="00F957A0">
        <w:rPr>
          <w:b/>
        </w:rPr>
        <w:t>4.1.3</w:t>
      </w:r>
      <w:r>
        <w:t xml:space="preserve"> </w:t>
      </w:r>
      <w:r w:rsidRPr="008B39E9">
        <w:rPr>
          <w:b/>
        </w:rPr>
        <w:t>Prometazina</w:t>
      </w:r>
    </w:p>
    <w:p w:rsidR="006E6CB9" w:rsidRDefault="006E6CB9" w:rsidP="00C52E09">
      <w:pPr>
        <w:pStyle w:val="TM-2n"/>
        <w:numPr>
          <w:ilvl w:val="0"/>
          <w:numId w:val="237"/>
        </w:numPr>
        <w:spacing w:before="120" w:after="0" w:line="276" w:lineRule="auto"/>
      </w:pPr>
      <w:r>
        <w:t xml:space="preserve">Forma farmacêutica e via de administração: comprimidos, elixir, injectável, por via oral,  IM ou EV. A formulação injectável é de nivel 3. </w:t>
      </w:r>
    </w:p>
    <w:p w:rsidR="006E6CB9" w:rsidRDefault="006E6CB9" w:rsidP="00C52E09">
      <w:pPr>
        <w:pStyle w:val="TM-2n"/>
        <w:numPr>
          <w:ilvl w:val="0"/>
          <w:numId w:val="237"/>
        </w:numPr>
        <w:spacing w:before="120" w:after="0" w:line="276" w:lineRule="auto"/>
      </w:pPr>
      <w:r>
        <w:t>Indicações: tratamento sintomático de reacções alérgicas, vertigens, vómitos e cinestoses (enjoo), controlo de estados psicóticos com agitação e insónia</w:t>
      </w:r>
    </w:p>
    <w:p w:rsidR="006E6CB9" w:rsidRDefault="006E6CB9" w:rsidP="00C52E09">
      <w:pPr>
        <w:pStyle w:val="TM-2n"/>
        <w:numPr>
          <w:ilvl w:val="0"/>
          <w:numId w:val="237"/>
        </w:numPr>
        <w:spacing w:before="120" w:after="0" w:line="276" w:lineRule="auto"/>
      </w:pPr>
      <w:r>
        <w:t>Doses: variável de acordo com a situação; processos alérgicos -  25 mg ao deitar ou 10 mg de 8 em 8 horas; nos enjoos e vertigens – 25 mg de 12 em 12 horas.</w:t>
      </w:r>
    </w:p>
    <w:p w:rsidR="006E6CB9" w:rsidRDefault="006E6CB9" w:rsidP="00C52E09">
      <w:pPr>
        <w:pStyle w:val="TM-2n"/>
        <w:numPr>
          <w:ilvl w:val="0"/>
          <w:numId w:val="237"/>
        </w:numPr>
        <w:spacing w:before="120" w:after="0" w:line="276" w:lineRule="auto"/>
      </w:pPr>
      <w:r>
        <w:t>Notas e precauções: no caso de usar a via EV (situações de emergência) diluir o conteúdo de uma ampola (50mg/2ml) em 20 ml de água destilada e administrar a dose requerida muito lentamente.</w:t>
      </w:r>
    </w:p>
    <w:p w:rsidR="006E6CB9" w:rsidRPr="008B39E9" w:rsidRDefault="006E6CB9" w:rsidP="00C52E09">
      <w:pPr>
        <w:pStyle w:val="TM-2n"/>
        <w:numPr>
          <w:ilvl w:val="1"/>
          <w:numId w:val="243"/>
        </w:numPr>
        <w:spacing w:before="120" w:after="0" w:line="276" w:lineRule="auto"/>
        <w:rPr>
          <w:b/>
        </w:rPr>
      </w:pPr>
      <w:r w:rsidRPr="008B39E9">
        <w:rPr>
          <w:b/>
        </w:rPr>
        <w:t>Adrenalina</w:t>
      </w:r>
    </w:p>
    <w:p w:rsidR="006E6CB9" w:rsidRDefault="006E6CB9" w:rsidP="00C52E09">
      <w:pPr>
        <w:pStyle w:val="TM-2n"/>
        <w:numPr>
          <w:ilvl w:val="0"/>
          <w:numId w:val="235"/>
        </w:numPr>
        <w:spacing w:before="120" w:after="0" w:line="276" w:lineRule="auto"/>
      </w:pPr>
      <w:r>
        <w:t>A adrenalina é um fármaco com propriedades simpaticomiméticos (estimulando os receptores alfa 1 e beta 1 e beta 2 adrenérgicos) levando a broncodilatação, vasoconstrição, diminuição de edema. É usada também nos transtornos alérgicos, razão pela qual é abordada neste bloco.</w:t>
      </w:r>
    </w:p>
    <w:p w:rsidR="006E6CB9" w:rsidRDefault="006E6CB9" w:rsidP="00C52E09">
      <w:pPr>
        <w:pStyle w:val="TM-2n"/>
        <w:numPr>
          <w:ilvl w:val="0"/>
          <w:numId w:val="235"/>
        </w:numPr>
        <w:spacing w:before="120" w:after="0" w:line="276" w:lineRule="auto"/>
      </w:pPr>
      <w:r>
        <w:t>Forma farmacêutica e via de administração: injectável, por via EV, IM e SC</w:t>
      </w:r>
    </w:p>
    <w:p w:rsidR="006E6CB9" w:rsidRDefault="006E6CB9" w:rsidP="00C52E09">
      <w:pPr>
        <w:pStyle w:val="TM-2n"/>
        <w:numPr>
          <w:ilvl w:val="0"/>
          <w:numId w:val="235"/>
        </w:numPr>
        <w:spacing w:before="120" w:after="0" w:line="276" w:lineRule="auto"/>
      </w:pPr>
      <w:r>
        <w:lastRenderedPageBreak/>
        <w:t>Indicações: paragem cardíaca, bradicardia, anafilaxia, reacções alérgicas graves, asma brônquica, obstrução das vias respiratórias superiores para reduzir o edema da mucosa</w:t>
      </w:r>
    </w:p>
    <w:p w:rsidR="006E6CB9" w:rsidRDefault="006E6CB9" w:rsidP="00C52E09">
      <w:pPr>
        <w:pStyle w:val="TM-2n"/>
        <w:numPr>
          <w:ilvl w:val="0"/>
          <w:numId w:val="235"/>
        </w:numPr>
        <w:spacing w:before="120" w:after="0" w:line="276" w:lineRule="auto"/>
      </w:pPr>
      <w:r>
        <w:t xml:space="preserve">Doses: </w:t>
      </w:r>
    </w:p>
    <w:p w:rsidR="006E6CB9" w:rsidRDefault="006E6CB9" w:rsidP="00C52E09">
      <w:pPr>
        <w:pStyle w:val="TM-2n"/>
        <w:numPr>
          <w:ilvl w:val="1"/>
          <w:numId w:val="235"/>
        </w:numPr>
        <w:spacing w:before="120" w:after="0"/>
      </w:pPr>
      <w:r>
        <w:t xml:space="preserve">Na paragem cardíaca: 1 mg EV a cada 3-5 minutos; </w:t>
      </w:r>
    </w:p>
    <w:p w:rsidR="006E6CB9" w:rsidRDefault="006E6CB9" w:rsidP="00C52E09">
      <w:pPr>
        <w:pStyle w:val="TM-2n"/>
        <w:numPr>
          <w:ilvl w:val="1"/>
          <w:numId w:val="235"/>
        </w:numPr>
        <w:spacing w:before="120" w:after="0"/>
      </w:pPr>
      <w:r>
        <w:t>Na asma:  0.3 a 0.5 mg SC ou IM;</w:t>
      </w:r>
    </w:p>
    <w:p w:rsidR="006E6CB9" w:rsidRDefault="006E6CB9" w:rsidP="00C52E09">
      <w:pPr>
        <w:pStyle w:val="TM-2n"/>
        <w:numPr>
          <w:ilvl w:val="1"/>
          <w:numId w:val="235"/>
        </w:numPr>
        <w:spacing w:before="120" w:after="0"/>
      </w:pPr>
      <w:r>
        <w:t>Anafilaxia: 0.3 a 0.5 mg IM. No choque anafilático severo diluir 1 mg da solução 1:1000 em 9 ml de soro fisiológico (formando uma solução de 1:10.000) e administrar por via EV lento repetindo cada minuto de acordo com a resposta obtida.</w:t>
      </w:r>
    </w:p>
    <w:p w:rsidR="006E6CB9" w:rsidRDefault="006E6CB9" w:rsidP="00C52E09">
      <w:pPr>
        <w:pStyle w:val="TM-2n"/>
        <w:numPr>
          <w:ilvl w:val="0"/>
          <w:numId w:val="241"/>
        </w:numPr>
        <w:spacing w:before="120" w:after="0" w:line="276" w:lineRule="auto"/>
      </w:pPr>
      <w:r>
        <w:t>Efeitos secundários: relacionados com a vasoconstrição (necrose, gangrena, hipertensão, taquicardia, arritmias, agitação, entre outros)</w:t>
      </w:r>
    </w:p>
    <w:p w:rsidR="006E6CB9" w:rsidRDefault="006E6CB9" w:rsidP="00C52E09">
      <w:pPr>
        <w:pStyle w:val="TM-2n"/>
        <w:numPr>
          <w:ilvl w:val="0"/>
          <w:numId w:val="241"/>
        </w:numPr>
        <w:spacing w:before="120" w:after="0" w:line="276" w:lineRule="auto"/>
      </w:pPr>
      <w:r>
        <w:t>Contra-indicações: taquicardia, gravidez</w:t>
      </w:r>
    </w:p>
    <w:p w:rsidR="008141D5" w:rsidRDefault="008141D5" w:rsidP="008141D5">
      <w:pPr>
        <w:pStyle w:val="TM-2n"/>
        <w:numPr>
          <w:ilvl w:val="0"/>
          <w:numId w:val="0"/>
        </w:numPr>
        <w:spacing w:before="120" w:after="0" w:line="276" w:lineRule="auto"/>
        <w:ind w:left="1204"/>
      </w:pPr>
    </w:p>
    <w:p w:rsidR="006E6CB9" w:rsidRDefault="006E6CB9" w:rsidP="006E6CB9">
      <w:pPr>
        <w:pStyle w:val="TM-2n"/>
        <w:numPr>
          <w:ilvl w:val="0"/>
          <w:numId w:val="0"/>
        </w:numPr>
        <w:spacing w:after="0" w:line="276" w:lineRule="auto"/>
        <w:ind w:left="1204"/>
      </w:pPr>
    </w:p>
    <w:p w:rsidR="006E6CB9" w:rsidRPr="00290108" w:rsidRDefault="005F3F7B" w:rsidP="005F3F7B">
      <w:pPr>
        <w:pStyle w:val="TM-1n"/>
        <w:numPr>
          <w:ilvl w:val="0"/>
          <w:numId w:val="0"/>
        </w:numPr>
        <w:shd w:val="clear" w:color="auto" w:fill="C6D9F1"/>
        <w:tabs>
          <w:tab w:val="clear" w:pos="9072"/>
          <w:tab w:val="left" w:pos="284"/>
        </w:tabs>
        <w:spacing w:after="0"/>
      </w:pPr>
      <w:r>
        <w:t xml:space="preserve">BLOCO 5: </w:t>
      </w:r>
      <w:r w:rsidR="006E6CB9" w:rsidRPr="00290108">
        <w:t>PROGRAMA DE MEDICAMENTOS ESSENCIAIS</w:t>
      </w:r>
      <w:r w:rsidR="006E6CB9" w:rsidRPr="00290108">
        <w:tab/>
      </w:r>
    </w:p>
    <w:p w:rsidR="006E6CB9" w:rsidRPr="00290108" w:rsidRDefault="006E6CB9" w:rsidP="00C52E09">
      <w:pPr>
        <w:pStyle w:val="TM-2n"/>
        <w:numPr>
          <w:ilvl w:val="1"/>
          <w:numId w:val="268"/>
        </w:numPr>
        <w:spacing w:before="120" w:after="0" w:line="276" w:lineRule="auto"/>
      </w:pPr>
      <w:r w:rsidRPr="00290108">
        <w:t>A via principal de abastecimento de medicamentos para centros e postos de saúde é através do Programa de Medicamentos Essenciais.</w:t>
      </w:r>
    </w:p>
    <w:p w:rsidR="006E6CB9" w:rsidRPr="00290108" w:rsidRDefault="006E6CB9" w:rsidP="00C52E09">
      <w:pPr>
        <w:pStyle w:val="TM-2n"/>
        <w:numPr>
          <w:ilvl w:val="1"/>
          <w:numId w:val="268"/>
        </w:numPr>
        <w:spacing w:before="120" w:after="0" w:line="276" w:lineRule="auto"/>
      </w:pPr>
      <w:r w:rsidRPr="00290108">
        <w:t>O Programa de Medicamentos Essenciais (PME) define as listas básicas de medicamentos que devem estar disponíveis nas unidades sanitárias.</w:t>
      </w:r>
    </w:p>
    <w:p w:rsidR="006E6CB9" w:rsidRPr="00290108" w:rsidRDefault="006E6CB9" w:rsidP="00C52E09">
      <w:pPr>
        <w:pStyle w:val="TM-2n"/>
        <w:numPr>
          <w:ilvl w:val="1"/>
          <w:numId w:val="268"/>
        </w:numPr>
        <w:spacing w:before="120" w:after="0" w:line="276" w:lineRule="auto"/>
        <w:ind w:left="450" w:hanging="450"/>
      </w:pPr>
      <w:r w:rsidRPr="00290108">
        <w:t xml:space="preserve">Os medicamentos do PME são distribuídos em kits. </w:t>
      </w:r>
      <w:r>
        <w:t xml:space="preserve">No passado existiam </w:t>
      </w:r>
      <w:r w:rsidRPr="00290108">
        <w:t>3 tipos diferentes de kit, indicados pelas letras A, B, e C</w:t>
      </w:r>
      <w:r>
        <w:t>, com diferente composição em relação aos medicamentos e artigos médicos em cada kit</w:t>
      </w:r>
      <w:r w:rsidRPr="00290108">
        <w:t>.</w:t>
      </w:r>
    </w:p>
    <w:p w:rsidR="006E6CB9" w:rsidRDefault="006E6CB9" w:rsidP="00C52E09">
      <w:pPr>
        <w:pStyle w:val="TM-2n"/>
        <w:numPr>
          <w:ilvl w:val="1"/>
          <w:numId w:val="268"/>
        </w:numPr>
      </w:pPr>
      <w:r>
        <w:t xml:space="preserve">O MISAU reformulou a composição dos KITS em função das necessidades actuais do SNS em dois tipos: KIT </w:t>
      </w:r>
      <w:r w:rsidRPr="00493AED">
        <w:rPr>
          <w:b/>
        </w:rPr>
        <w:t>Unidade Sanitária e KIT Agente Polivalente Elementar (APE)</w:t>
      </w:r>
      <w:r>
        <w:t>, não havendo deste modo uma diferença entre os KITs que vão às US. Em anexo, se encontra a lista de medicamentos existentes no KIT US e KIT APE.</w:t>
      </w:r>
    </w:p>
    <w:p w:rsidR="008141D5" w:rsidRDefault="008141D5" w:rsidP="007701A8">
      <w:pPr>
        <w:pStyle w:val="TM-2n"/>
        <w:numPr>
          <w:ilvl w:val="0"/>
          <w:numId w:val="0"/>
        </w:numPr>
        <w:spacing w:after="0"/>
        <w:ind w:left="360"/>
      </w:pPr>
    </w:p>
    <w:p w:rsidR="006E6CB9" w:rsidRPr="00290108" w:rsidRDefault="005F3F7B" w:rsidP="005F3F7B">
      <w:pPr>
        <w:pStyle w:val="TM-1n"/>
        <w:numPr>
          <w:ilvl w:val="0"/>
          <w:numId w:val="0"/>
        </w:numPr>
        <w:shd w:val="clear" w:color="auto" w:fill="C6D9F1"/>
        <w:tabs>
          <w:tab w:val="clear" w:pos="9072"/>
          <w:tab w:val="left" w:pos="284"/>
        </w:tabs>
      </w:pPr>
      <w:r>
        <w:t xml:space="preserve">BLOCO 6: </w:t>
      </w:r>
      <w:r w:rsidR="006E6CB9" w:rsidRPr="00290108">
        <w:t>RECEITAS MÉDICAS</w:t>
      </w:r>
      <w:r w:rsidR="006E6CB9" w:rsidRPr="00290108">
        <w:tab/>
      </w:r>
    </w:p>
    <w:p w:rsidR="006E6CB9" w:rsidRPr="00290108" w:rsidRDefault="006E6CB9" w:rsidP="00C52E09">
      <w:pPr>
        <w:pStyle w:val="TM-2n"/>
        <w:numPr>
          <w:ilvl w:val="1"/>
          <w:numId w:val="269"/>
        </w:numPr>
        <w:spacing w:before="120" w:after="0" w:line="276" w:lineRule="auto"/>
      </w:pPr>
      <w:r w:rsidRPr="00290108">
        <w:t>Receita médica. Após a decisão de prescrever um medicamento,</w:t>
      </w:r>
      <w:r>
        <w:t xml:space="preserve"> o passo seguinte é a elaboração de uma </w:t>
      </w:r>
      <w:r w:rsidRPr="00290108">
        <w:t xml:space="preserve">prescrição. </w:t>
      </w:r>
      <w:r w:rsidRPr="00290108">
        <w:rPr>
          <w:rFonts w:eastAsia="Calibri"/>
        </w:rPr>
        <w:t>Uma prescrição ou receita médica é basicamente uma requisição do clínico ao farmacêutico para fornecer ao paciente determinados medicamentos.</w:t>
      </w:r>
    </w:p>
    <w:p w:rsidR="006E6CB9" w:rsidRPr="00290108" w:rsidRDefault="006E6CB9" w:rsidP="00C52E09">
      <w:pPr>
        <w:pStyle w:val="TM-2n"/>
        <w:numPr>
          <w:ilvl w:val="1"/>
          <w:numId w:val="269"/>
        </w:numPr>
        <w:spacing w:before="120" w:after="0" w:line="276" w:lineRule="auto"/>
        <w:ind w:left="450" w:hanging="450"/>
      </w:pPr>
      <w:r w:rsidRPr="00290108">
        <w:rPr>
          <w:rFonts w:eastAsia="Calibri"/>
        </w:rPr>
        <w:t>Antes de prescrever um medicamento deve-se verificar que corresponde ao nível de prescrição do Técnico de Medicina (nível máximo 2).</w:t>
      </w:r>
    </w:p>
    <w:p w:rsidR="006E6CB9" w:rsidRPr="00290108" w:rsidRDefault="006E6CB9" w:rsidP="00C52E09">
      <w:pPr>
        <w:pStyle w:val="TM-2n"/>
        <w:numPr>
          <w:ilvl w:val="1"/>
          <w:numId w:val="269"/>
        </w:numPr>
        <w:spacing w:before="120" w:after="0" w:line="276" w:lineRule="auto"/>
        <w:ind w:left="450" w:hanging="450"/>
      </w:pPr>
      <w:r w:rsidRPr="00290108">
        <w:rPr>
          <w:rFonts w:eastAsia="Calibri"/>
        </w:rPr>
        <w:t>Na elaboração duma receita médica deve-se ter em conta as seguintes normas:</w:t>
      </w:r>
    </w:p>
    <w:p w:rsidR="006E6CB9" w:rsidRPr="00290108" w:rsidRDefault="006E6CB9" w:rsidP="00C52E09">
      <w:pPr>
        <w:pStyle w:val="TM-3n"/>
        <w:numPr>
          <w:ilvl w:val="2"/>
          <w:numId w:val="269"/>
        </w:numPr>
        <w:tabs>
          <w:tab w:val="clear" w:pos="1276"/>
        </w:tabs>
        <w:spacing w:before="120" w:after="0" w:line="276" w:lineRule="auto"/>
        <w:ind w:left="1080" w:hanging="630"/>
      </w:pPr>
      <w:r w:rsidRPr="00290108">
        <w:t>Escrever numa linguagem clara e objectiva, indicando com precisão o que se quer administrar.</w:t>
      </w:r>
    </w:p>
    <w:p w:rsidR="006E6CB9" w:rsidRPr="00290108" w:rsidRDefault="006E6CB9" w:rsidP="00C52E09">
      <w:pPr>
        <w:pStyle w:val="TM-3n"/>
        <w:numPr>
          <w:ilvl w:val="2"/>
          <w:numId w:val="269"/>
        </w:numPr>
        <w:tabs>
          <w:tab w:val="clear" w:pos="1276"/>
        </w:tabs>
        <w:spacing w:before="120" w:after="0" w:line="276" w:lineRule="auto"/>
        <w:ind w:left="1080" w:hanging="630"/>
      </w:pPr>
      <w:r w:rsidRPr="00290108">
        <w:t>Identificar correctamente o paciente e o prescritor, incluindo a instituição onde o prescritor presta serviços.</w:t>
      </w:r>
    </w:p>
    <w:p w:rsidR="006E6CB9" w:rsidRPr="00290108" w:rsidRDefault="006E6CB9" w:rsidP="00C52E09">
      <w:pPr>
        <w:pStyle w:val="TM-3n"/>
        <w:numPr>
          <w:ilvl w:val="2"/>
          <w:numId w:val="269"/>
        </w:numPr>
        <w:tabs>
          <w:tab w:val="clear" w:pos="1276"/>
        </w:tabs>
        <w:spacing w:before="120" w:after="0" w:line="276" w:lineRule="auto"/>
        <w:ind w:left="1080" w:hanging="630"/>
      </w:pPr>
      <w:r w:rsidRPr="00290108">
        <w:t>Expressar claramente o nome do medicamento, forma farmacêutica desejada, e dosagem. Por exemplo, paracetamol, comprimidos de 500 mg.</w:t>
      </w:r>
    </w:p>
    <w:p w:rsidR="006E6CB9" w:rsidRPr="00290108" w:rsidRDefault="006E6CB9" w:rsidP="00C52E09">
      <w:pPr>
        <w:pStyle w:val="TM-3n"/>
        <w:numPr>
          <w:ilvl w:val="2"/>
          <w:numId w:val="269"/>
        </w:numPr>
        <w:tabs>
          <w:tab w:val="clear" w:pos="1276"/>
        </w:tabs>
        <w:spacing w:before="120" w:after="0" w:line="276" w:lineRule="auto"/>
        <w:ind w:left="1080" w:hanging="630"/>
      </w:pPr>
      <w:r w:rsidRPr="00290108">
        <w:t>Indicar claramente a quantidade de medicamento a ser aviada (20 cápsula, 45 comprimidos, 3 frascos, etc.).</w:t>
      </w:r>
    </w:p>
    <w:p w:rsidR="006E6CB9" w:rsidRPr="00290108" w:rsidRDefault="006E6CB9" w:rsidP="00C52E09">
      <w:pPr>
        <w:pStyle w:val="TM-3n"/>
        <w:numPr>
          <w:ilvl w:val="2"/>
          <w:numId w:val="269"/>
        </w:numPr>
        <w:tabs>
          <w:tab w:val="clear" w:pos="1276"/>
        </w:tabs>
        <w:spacing w:before="120" w:after="0" w:line="276" w:lineRule="auto"/>
        <w:ind w:left="1080" w:hanging="630"/>
      </w:pPr>
      <w:r w:rsidRPr="00290108">
        <w:t>Indicar claramente o regime posológico, isto é, os intervalos entre as tomas de medicamento e a duração do mesmo. Por exemplo, 1 cápsula em cada 8 horas, durante 7 dias.</w:t>
      </w:r>
    </w:p>
    <w:p w:rsidR="006E6CB9" w:rsidRPr="00290108" w:rsidRDefault="006E6CB9" w:rsidP="00C52E09">
      <w:pPr>
        <w:pStyle w:val="TM-3n"/>
        <w:numPr>
          <w:ilvl w:val="2"/>
          <w:numId w:val="269"/>
        </w:numPr>
        <w:tabs>
          <w:tab w:val="clear" w:pos="1276"/>
        </w:tabs>
        <w:spacing w:before="120" w:after="0" w:line="276" w:lineRule="auto"/>
        <w:ind w:left="1080" w:hanging="630"/>
      </w:pPr>
      <w:r w:rsidRPr="00290108">
        <w:lastRenderedPageBreak/>
        <w:t>Indicar a data da prescrição.</w:t>
      </w:r>
    </w:p>
    <w:p w:rsidR="006E6CB9" w:rsidRPr="00290108" w:rsidRDefault="006E6CB9" w:rsidP="00C52E09">
      <w:pPr>
        <w:pStyle w:val="TM-3n"/>
        <w:numPr>
          <w:ilvl w:val="2"/>
          <w:numId w:val="269"/>
        </w:numPr>
        <w:tabs>
          <w:tab w:val="clear" w:pos="1276"/>
        </w:tabs>
        <w:spacing w:before="120" w:after="0" w:line="276" w:lineRule="auto"/>
        <w:ind w:left="1080" w:hanging="630"/>
      </w:pPr>
      <w:r w:rsidRPr="00290108">
        <w:t>A assinatura do prescritor deve constar na receita.</w:t>
      </w:r>
    </w:p>
    <w:p w:rsidR="006E6CB9" w:rsidRPr="00290108" w:rsidRDefault="006E6CB9" w:rsidP="006E6CB9">
      <w:pPr>
        <w:pStyle w:val="TM-2n"/>
        <w:numPr>
          <w:ilvl w:val="0"/>
          <w:numId w:val="0"/>
        </w:numPr>
        <w:spacing w:before="120" w:after="0" w:line="276" w:lineRule="auto"/>
      </w:pPr>
    </w:p>
    <w:p w:rsidR="006E6CB9" w:rsidRPr="00290108" w:rsidRDefault="005F3F7B" w:rsidP="005F3F7B">
      <w:pPr>
        <w:pStyle w:val="TM-1n"/>
        <w:numPr>
          <w:ilvl w:val="0"/>
          <w:numId w:val="0"/>
        </w:numPr>
        <w:shd w:val="clear" w:color="auto" w:fill="C6D9F1"/>
        <w:tabs>
          <w:tab w:val="clear" w:pos="9072"/>
          <w:tab w:val="left" w:pos="284"/>
        </w:tabs>
      </w:pPr>
      <w:r>
        <w:t xml:space="preserve">BLOCO 7: </w:t>
      </w:r>
      <w:r w:rsidR="006E6CB9" w:rsidRPr="00290108">
        <w:t>PONTOS-CHAVE</w:t>
      </w:r>
    </w:p>
    <w:p w:rsidR="006E6CB9" w:rsidRDefault="006E6CB9" w:rsidP="00C52E09">
      <w:pPr>
        <w:pStyle w:val="TM-2n"/>
        <w:numPr>
          <w:ilvl w:val="1"/>
          <w:numId w:val="57"/>
        </w:numPr>
        <w:spacing w:before="120" w:after="0" w:line="276" w:lineRule="auto"/>
        <w:ind w:left="450" w:hanging="450"/>
      </w:pPr>
      <w:r>
        <w:t>A nutrição enteral é a administração de nutrientes por via oral ou através de uma sonda, enquanto que na alimentação parenteral, os nutrientes são adminsitrados por via intravenosa.</w:t>
      </w:r>
    </w:p>
    <w:p w:rsidR="006E6CB9" w:rsidRDefault="006E6CB9" w:rsidP="00C52E09">
      <w:pPr>
        <w:pStyle w:val="TM-2n"/>
        <w:numPr>
          <w:ilvl w:val="1"/>
          <w:numId w:val="57"/>
        </w:numPr>
        <w:spacing w:before="120" w:after="0" w:line="276" w:lineRule="auto"/>
        <w:ind w:left="450" w:hanging="450"/>
      </w:pPr>
      <w:r>
        <w:t>As vitaminas (multivitaminas) são usadas como suplemento para profilaxia ou tratamento de situações de hipoavitaminoses específicas ou múltiplas hipoavitaminoses.</w:t>
      </w:r>
    </w:p>
    <w:p w:rsidR="006E6CB9" w:rsidRDefault="006E6CB9" w:rsidP="00C52E09">
      <w:pPr>
        <w:pStyle w:val="TM-2n"/>
        <w:numPr>
          <w:ilvl w:val="1"/>
          <w:numId w:val="57"/>
        </w:numPr>
        <w:spacing w:before="120" w:after="0" w:line="276" w:lineRule="auto"/>
        <w:ind w:left="450" w:hanging="450"/>
      </w:pPr>
      <w:r>
        <w:t>O sulfato ferroso e ácido fólico são usado na profilaxia e tratamento de anemias por deficiência de ferro e ácido fólico (idosos, malnutridos, alcoólicos, mal-absorção, gravidez, lactação entre outros)</w:t>
      </w:r>
    </w:p>
    <w:p w:rsidR="006E6CB9" w:rsidRDefault="006E6CB9" w:rsidP="00C52E09">
      <w:pPr>
        <w:pStyle w:val="TM-2n"/>
        <w:numPr>
          <w:ilvl w:val="1"/>
          <w:numId w:val="57"/>
        </w:numPr>
        <w:spacing w:before="120" w:after="0" w:line="276" w:lineRule="auto"/>
        <w:ind w:left="450" w:hanging="450"/>
      </w:pPr>
      <w:r>
        <w:t>O paracetamol é um analgésico antipirético sem propriedades anti-inflamatórias</w:t>
      </w:r>
    </w:p>
    <w:p w:rsidR="006E6CB9" w:rsidRDefault="006E6CB9" w:rsidP="00C52E09">
      <w:pPr>
        <w:pStyle w:val="TM-2n"/>
        <w:numPr>
          <w:ilvl w:val="1"/>
          <w:numId w:val="57"/>
        </w:numPr>
        <w:spacing w:before="120" w:after="0" w:line="276" w:lineRule="auto"/>
        <w:ind w:left="450" w:hanging="450"/>
      </w:pPr>
      <w:r>
        <w:t>Os analgésicos opióides apresentam como efeitos secundários principais a secura das secreções, sedação e depressão respiratória.</w:t>
      </w:r>
    </w:p>
    <w:p w:rsidR="006E6CB9" w:rsidRDefault="006E6CB9" w:rsidP="00C52E09">
      <w:pPr>
        <w:pStyle w:val="TM-2n"/>
        <w:numPr>
          <w:ilvl w:val="1"/>
          <w:numId w:val="57"/>
        </w:numPr>
        <w:spacing w:before="120" w:after="0" w:line="276" w:lineRule="auto"/>
        <w:ind w:left="450" w:hanging="450"/>
      </w:pPr>
      <w:r>
        <w:t>O efeito secundário principal dos anti-inflamatórios é a gastroerrosão com propensão a úlceras e hemorragias digestivas.</w:t>
      </w:r>
    </w:p>
    <w:p w:rsidR="006E6CB9" w:rsidRDefault="006E6CB9" w:rsidP="00C52E09">
      <w:pPr>
        <w:pStyle w:val="TM-2n"/>
        <w:numPr>
          <w:ilvl w:val="1"/>
          <w:numId w:val="57"/>
        </w:numPr>
        <w:spacing w:before="120" w:after="0" w:line="276" w:lineRule="auto"/>
        <w:ind w:left="450" w:hanging="450"/>
      </w:pPr>
      <w:r>
        <w:t>A Aspirina tem efeito analgésico, anti-inflamatório, anti-pirético e anti-agregante plaquetário. Este último efeito é conseguido com baixas doses (125 a 250 mg/dia)</w:t>
      </w:r>
    </w:p>
    <w:p w:rsidR="006E6CB9" w:rsidRDefault="006E6CB9" w:rsidP="00C52E09">
      <w:pPr>
        <w:pStyle w:val="TM-2n"/>
        <w:numPr>
          <w:ilvl w:val="1"/>
          <w:numId w:val="57"/>
        </w:numPr>
        <w:spacing w:before="120" w:after="0" w:line="276" w:lineRule="auto"/>
        <w:ind w:left="450" w:hanging="450"/>
      </w:pPr>
      <w:r>
        <w:t>Os anti-inflamatórios esteróides (prednisolona, hidrocortisona) e anti-histamínicos (clorfeniramina, difenidramina) são usados em processo alérgicos agudos ou crónicos.</w:t>
      </w:r>
    </w:p>
    <w:p w:rsidR="006E6CB9" w:rsidRDefault="006E6CB9" w:rsidP="00C52E09">
      <w:pPr>
        <w:pStyle w:val="TM-2n"/>
        <w:numPr>
          <w:ilvl w:val="1"/>
          <w:numId w:val="57"/>
        </w:numPr>
        <w:spacing w:before="120" w:after="0" w:line="276" w:lineRule="auto"/>
        <w:ind w:left="450" w:hanging="450"/>
      </w:pPr>
      <w:r>
        <w:t>O efeito secundário principal dos anti-histamínicos (clorfeniramina, difenidramina) é a sedação.</w:t>
      </w:r>
    </w:p>
    <w:p w:rsidR="006E6CB9" w:rsidRDefault="006E6CB9" w:rsidP="00C52E09">
      <w:pPr>
        <w:pStyle w:val="TM-2n"/>
        <w:numPr>
          <w:ilvl w:val="1"/>
          <w:numId w:val="57"/>
        </w:numPr>
        <w:spacing w:before="120" w:after="0" w:line="276" w:lineRule="auto"/>
        <w:ind w:left="450" w:hanging="450"/>
      </w:pPr>
      <w:r>
        <w:t>A adrenalina é um fármaco simpaticomimético usado para situações de emergência (choque anafilático, paragem cardíaca, asma grave).</w:t>
      </w:r>
    </w:p>
    <w:p w:rsidR="006E6CB9" w:rsidRPr="00290108" w:rsidRDefault="006E6CB9" w:rsidP="00C52E09">
      <w:pPr>
        <w:pStyle w:val="TM-2n"/>
        <w:numPr>
          <w:ilvl w:val="1"/>
          <w:numId w:val="57"/>
        </w:numPr>
        <w:spacing w:before="120" w:after="0" w:line="276" w:lineRule="auto"/>
        <w:ind w:left="450" w:hanging="450"/>
      </w:pPr>
      <w:r w:rsidRPr="00290108">
        <w:t xml:space="preserve">O Programa de Medicamentos Essenciais (PME) define a lista básica de medicamentos que devem estar disponíveis nas unidades sanitárias. Os medicamentos são distribuídos em kits </w:t>
      </w:r>
      <w:r>
        <w:t>US e APE</w:t>
      </w:r>
      <w:r w:rsidRPr="00290108">
        <w:t>.</w:t>
      </w:r>
    </w:p>
    <w:p w:rsidR="006E6CB9" w:rsidRDefault="006E6CB9" w:rsidP="00C52E09">
      <w:pPr>
        <w:pStyle w:val="TM-2n"/>
        <w:numPr>
          <w:ilvl w:val="1"/>
          <w:numId w:val="57"/>
        </w:numPr>
        <w:tabs>
          <w:tab w:val="left" w:pos="540"/>
        </w:tabs>
        <w:spacing w:before="120" w:after="0" w:line="276" w:lineRule="auto"/>
        <w:ind w:left="450" w:hanging="450"/>
      </w:pPr>
      <w:r w:rsidRPr="00290108">
        <w:t>Uma receita médica é uma requisição do clínico ao farmacêutico para fornecer ao paciente determinados medicamentos.</w:t>
      </w:r>
    </w:p>
    <w:p w:rsidR="006E6CB9" w:rsidRDefault="006E6CB9" w:rsidP="00C52E09">
      <w:pPr>
        <w:pStyle w:val="TM-2n"/>
        <w:numPr>
          <w:ilvl w:val="1"/>
          <w:numId w:val="57"/>
        </w:numPr>
        <w:tabs>
          <w:tab w:val="left" w:pos="540"/>
        </w:tabs>
        <w:spacing w:before="120" w:after="0" w:line="276" w:lineRule="auto"/>
        <w:ind w:left="450" w:hanging="450"/>
      </w:pPr>
      <w:r w:rsidRPr="00AB5E8B">
        <w:t>Uma receita médica deve conter a seguinte informação: identificação de paciente, prescritor, e unidade sanitária; nome do medicamento, forma farmacêutica e dosagem; quantidade do medicamento; posologia; data da receita e assinatura do prescritor.</w:t>
      </w:r>
    </w:p>
    <w:p w:rsidR="006E6CB9" w:rsidRDefault="006E6CB9" w:rsidP="006E6CB9">
      <w:pPr>
        <w:pStyle w:val="TM-1n"/>
        <w:numPr>
          <w:ilvl w:val="0"/>
          <w:numId w:val="0"/>
        </w:numPr>
        <w:ind w:left="284"/>
      </w:pPr>
    </w:p>
    <w:p w:rsidR="006E6CB9" w:rsidRDefault="006E6CB9" w:rsidP="006E6CB9">
      <w:pPr>
        <w:pStyle w:val="TM-1n"/>
        <w:numPr>
          <w:ilvl w:val="0"/>
          <w:numId w:val="0"/>
        </w:numPr>
        <w:ind w:left="284"/>
      </w:pPr>
    </w:p>
    <w:p w:rsidR="006E6CB9" w:rsidRDefault="006E6CB9" w:rsidP="006E6CB9">
      <w:pPr>
        <w:pStyle w:val="TM-1n"/>
        <w:numPr>
          <w:ilvl w:val="0"/>
          <w:numId w:val="0"/>
        </w:numPr>
        <w:ind w:left="284"/>
      </w:pPr>
      <w:r>
        <w:t xml:space="preserve">ANEXOS: Páginas </w:t>
      </w:r>
      <w:r w:rsidR="00035880">
        <w:t>seguintes</w:t>
      </w:r>
    </w:p>
    <w:p w:rsidR="00F957A0" w:rsidRDefault="00F957A0" w:rsidP="00F957A0">
      <w:pPr>
        <w:pStyle w:val="TM-2n"/>
        <w:numPr>
          <w:ilvl w:val="0"/>
          <w:numId w:val="0"/>
        </w:numPr>
        <w:tabs>
          <w:tab w:val="left" w:pos="0"/>
        </w:tabs>
        <w:spacing w:before="120" w:after="0" w:line="276" w:lineRule="auto"/>
        <w:ind w:right="1476"/>
      </w:pPr>
    </w:p>
    <w:p w:rsidR="00F957A0" w:rsidRDefault="00F957A0" w:rsidP="00F957A0">
      <w:pPr>
        <w:pStyle w:val="TM-2n"/>
        <w:numPr>
          <w:ilvl w:val="0"/>
          <w:numId w:val="0"/>
        </w:numPr>
        <w:tabs>
          <w:tab w:val="left" w:pos="0"/>
        </w:tabs>
        <w:spacing w:before="120" w:after="0" w:line="276" w:lineRule="auto"/>
        <w:ind w:right="1476"/>
      </w:pPr>
    </w:p>
    <w:p w:rsidR="00F957A0" w:rsidRDefault="00F957A0" w:rsidP="00F957A0">
      <w:pPr>
        <w:pStyle w:val="TM-2n"/>
        <w:numPr>
          <w:ilvl w:val="0"/>
          <w:numId w:val="0"/>
        </w:numPr>
        <w:tabs>
          <w:tab w:val="left" w:pos="0"/>
        </w:tabs>
        <w:spacing w:before="120" w:after="0" w:line="276" w:lineRule="auto"/>
        <w:ind w:right="1476"/>
      </w:pPr>
    </w:p>
    <w:p w:rsidR="006E6CB9" w:rsidRPr="00C93B41" w:rsidRDefault="006E6CB9" w:rsidP="00F957A0">
      <w:pPr>
        <w:pStyle w:val="TM-2n"/>
        <w:numPr>
          <w:ilvl w:val="0"/>
          <w:numId w:val="0"/>
        </w:numPr>
        <w:tabs>
          <w:tab w:val="left" w:pos="0"/>
        </w:tabs>
        <w:spacing w:before="120" w:after="0" w:line="276" w:lineRule="auto"/>
        <w:ind w:right="1476"/>
      </w:pPr>
      <w:r>
        <w:rPr>
          <w:noProof/>
          <w:lang w:val="en-ZW" w:eastAsia="en-ZW"/>
        </w:rPr>
        <w:lastRenderedPageBreak/>
        <w:drawing>
          <wp:anchor distT="0" distB="0" distL="114300" distR="114300" simplePos="0" relativeHeight="251671552" behindDoc="1" locked="0" layoutInCell="1" allowOverlap="1" wp14:anchorId="569E71F0" wp14:editId="1785F183">
            <wp:simplePos x="0" y="0"/>
            <wp:positionH relativeFrom="column">
              <wp:posOffset>60960</wp:posOffset>
            </wp:positionH>
            <wp:positionV relativeFrom="paragraph">
              <wp:posOffset>436880</wp:posOffset>
            </wp:positionV>
            <wp:extent cx="6271895" cy="7810500"/>
            <wp:effectExtent l="19050" t="0" r="0" b="0"/>
            <wp:wrapTight wrapText="bothSides">
              <wp:wrapPolygon edited="0">
                <wp:start x="-66" y="0"/>
                <wp:lineTo x="-66" y="21547"/>
                <wp:lineTo x="21585" y="21547"/>
                <wp:lineTo x="21585" y="0"/>
                <wp:lineTo x="-66" y="0"/>
              </wp:wrapPolygon>
            </wp:wrapTight>
            <wp:docPr id="214"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6" cstate="print"/>
                    <a:srcRect/>
                    <a:stretch>
                      <a:fillRect/>
                    </a:stretch>
                  </pic:blipFill>
                  <pic:spPr bwMode="auto">
                    <a:xfrm>
                      <a:off x="0" y="0"/>
                      <a:ext cx="6271895" cy="7810500"/>
                    </a:xfrm>
                    <a:prstGeom prst="rect">
                      <a:avLst/>
                    </a:prstGeom>
                    <a:noFill/>
                    <a:ln w="9525">
                      <a:noFill/>
                      <a:miter lim="800000"/>
                      <a:headEnd/>
                      <a:tailEnd/>
                    </a:ln>
                  </pic:spPr>
                </pic:pic>
              </a:graphicData>
            </a:graphic>
          </wp:anchor>
        </w:drawing>
      </w:r>
    </w:p>
    <w:p w:rsidR="006E6CB9" w:rsidRPr="00C93B41" w:rsidRDefault="006E6CB9" w:rsidP="006E6CB9"/>
    <w:p w:rsidR="006E6CB9" w:rsidRPr="00C93B41" w:rsidRDefault="006E6CB9" w:rsidP="006E6CB9"/>
    <w:p w:rsidR="006E6CB9" w:rsidRPr="00C93B41" w:rsidRDefault="006E6CB9" w:rsidP="006E6CB9"/>
    <w:p w:rsidR="006E6CB9" w:rsidRPr="00C93B41" w:rsidRDefault="006E6CB9" w:rsidP="006E6CB9"/>
    <w:p w:rsidR="006E6CB9" w:rsidRPr="00C93B41" w:rsidRDefault="00F957A0" w:rsidP="006E6CB9">
      <w:r w:rsidRPr="00F957A0">
        <w:rPr>
          <w:noProof/>
          <w:lang w:val="en-ZW" w:eastAsia="en-ZW"/>
        </w:rPr>
        <w:lastRenderedPageBreak/>
        <w:drawing>
          <wp:anchor distT="0" distB="0" distL="114300" distR="114300" simplePos="0" relativeHeight="251683840" behindDoc="1" locked="0" layoutInCell="1" allowOverlap="1" wp14:anchorId="088EE298" wp14:editId="6C9796F1">
            <wp:simplePos x="0" y="0"/>
            <wp:positionH relativeFrom="column">
              <wp:posOffset>273492</wp:posOffset>
            </wp:positionH>
            <wp:positionV relativeFrom="paragraph">
              <wp:posOffset>87464</wp:posOffset>
            </wp:positionV>
            <wp:extent cx="6175016" cy="8619214"/>
            <wp:effectExtent l="19050" t="0" r="0" b="0"/>
            <wp:wrapTight wrapText="bothSides">
              <wp:wrapPolygon edited="0">
                <wp:start x="-67" y="0"/>
                <wp:lineTo x="-67" y="21570"/>
                <wp:lineTo x="21582" y="21570"/>
                <wp:lineTo x="21582" y="0"/>
                <wp:lineTo x="-67" y="0"/>
              </wp:wrapPolygon>
            </wp:wrapTight>
            <wp:docPr id="5"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7" cstate="print"/>
                    <a:srcRect/>
                    <a:stretch>
                      <a:fillRect/>
                    </a:stretch>
                  </pic:blipFill>
                  <pic:spPr bwMode="auto">
                    <a:xfrm>
                      <a:off x="0" y="0"/>
                      <a:ext cx="6177280" cy="8622665"/>
                    </a:xfrm>
                    <a:prstGeom prst="rect">
                      <a:avLst/>
                    </a:prstGeom>
                    <a:noFill/>
                    <a:ln w="9525">
                      <a:noFill/>
                      <a:miter lim="800000"/>
                      <a:headEnd/>
                      <a:tailEnd/>
                    </a:ln>
                  </pic:spPr>
                </pic:pic>
              </a:graphicData>
            </a:graphic>
          </wp:anchor>
        </w:drawing>
      </w:r>
    </w:p>
    <w:p w:rsidR="006E6CB9" w:rsidRPr="00C93B41" w:rsidRDefault="006E6CB9" w:rsidP="006E6CB9"/>
    <w:p w:rsidR="006E6CB9" w:rsidRPr="00C93B41" w:rsidRDefault="006E6CB9" w:rsidP="006E6CB9"/>
    <w:p w:rsidR="006E6CB9" w:rsidRPr="00C93B41" w:rsidRDefault="006E6CB9" w:rsidP="006E6CB9"/>
    <w:p w:rsidR="006E6CB9" w:rsidRPr="00C93B41" w:rsidRDefault="006E6CB9" w:rsidP="006E6CB9"/>
    <w:p w:rsidR="006E6CB9" w:rsidRPr="00C93B41" w:rsidRDefault="006E6CB9" w:rsidP="006E6CB9"/>
    <w:p w:rsidR="006E6CB9" w:rsidRPr="00C93B41" w:rsidRDefault="006E6CB9" w:rsidP="006E6CB9"/>
    <w:p w:rsidR="006E6CB9" w:rsidRPr="00C93B41" w:rsidRDefault="006E6CB9" w:rsidP="006E6CB9"/>
    <w:p w:rsidR="006E6CB9" w:rsidRPr="00C93B41" w:rsidRDefault="006E6CB9" w:rsidP="006E6CB9"/>
    <w:p w:rsidR="006E6CB9" w:rsidRPr="00C93B41" w:rsidRDefault="006E6CB9" w:rsidP="006E6CB9"/>
    <w:p w:rsidR="006E6CB9" w:rsidRPr="00C93B41" w:rsidRDefault="006E6CB9" w:rsidP="006E6CB9"/>
    <w:p w:rsidR="006E6CB9" w:rsidRPr="00C93B41" w:rsidRDefault="006E6CB9" w:rsidP="006E6CB9"/>
    <w:p w:rsidR="006E6CB9" w:rsidRPr="00C93B41" w:rsidRDefault="006E6CB9" w:rsidP="006E6CB9"/>
    <w:p w:rsidR="006E6CB9" w:rsidRPr="00C93B41" w:rsidRDefault="006E6CB9" w:rsidP="006E6CB9"/>
    <w:p w:rsidR="006E6CB9" w:rsidRPr="00C93B41" w:rsidRDefault="006E6CB9" w:rsidP="006E6CB9"/>
    <w:p w:rsidR="006E6CB9" w:rsidRPr="00C93B41" w:rsidRDefault="006E6CB9" w:rsidP="006E6CB9"/>
    <w:p w:rsidR="006E6CB9" w:rsidRPr="00C93B41" w:rsidRDefault="006E6CB9" w:rsidP="006E6CB9"/>
    <w:p w:rsidR="006E6CB9" w:rsidRPr="00C93B41" w:rsidRDefault="006E6CB9" w:rsidP="006E6CB9"/>
    <w:p w:rsidR="006E6CB9" w:rsidRPr="00C93B41" w:rsidRDefault="006E6CB9" w:rsidP="006E6CB9"/>
    <w:p w:rsidR="006E6CB9" w:rsidRPr="00C93B41" w:rsidRDefault="006E6CB9" w:rsidP="006E6CB9"/>
    <w:p w:rsidR="006E6CB9" w:rsidRPr="00C93B41" w:rsidRDefault="006E6CB9" w:rsidP="006E6CB9"/>
    <w:p w:rsidR="006E6CB9" w:rsidRPr="00C93B41" w:rsidRDefault="006E6CB9" w:rsidP="006E6CB9">
      <w:r>
        <w:rPr>
          <w:noProof/>
          <w:lang w:val="en-ZW" w:eastAsia="en-ZW"/>
        </w:rPr>
        <w:lastRenderedPageBreak/>
        <w:drawing>
          <wp:anchor distT="0" distB="0" distL="0" distR="0" simplePos="0" relativeHeight="251673600" behindDoc="1" locked="0" layoutInCell="0" allowOverlap="1" wp14:anchorId="0E867E76" wp14:editId="58AE1F5A">
            <wp:simplePos x="0" y="0"/>
            <wp:positionH relativeFrom="page">
              <wp:posOffset>634365</wp:posOffset>
            </wp:positionH>
            <wp:positionV relativeFrom="page">
              <wp:posOffset>336550</wp:posOffset>
            </wp:positionV>
            <wp:extent cx="6436360" cy="9062085"/>
            <wp:effectExtent l="19050" t="0" r="2540" b="0"/>
            <wp:wrapTight wrapText="bothSides">
              <wp:wrapPolygon edited="0">
                <wp:start x="-64" y="0"/>
                <wp:lineTo x="-64" y="21568"/>
                <wp:lineTo x="21609" y="21568"/>
                <wp:lineTo x="21609" y="0"/>
                <wp:lineTo x="-64" y="0"/>
              </wp:wrapPolygon>
            </wp:wrapTight>
            <wp:docPr id="21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58" cstate="print"/>
                    <a:srcRect/>
                    <a:stretch>
                      <a:fillRect/>
                    </a:stretch>
                  </pic:blipFill>
                  <pic:spPr bwMode="auto">
                    <a:xfrm>
                      <a:off x="0" y="0"/>
                      <a:ext cx="6436360" cy="9062085"/>
                    </a:xfrm>
                    <a:prstGeom prst="rect">
                      <a:avLst/>
                    </a:prstGeom>
                    <a:noFill/>
                    <a:ln w="9525">
                      <a:noFill/>
                      <a:miter lim="800000"/>
                      <a:headEnd/>
                      <a:tailEnd/>
                    </a:ln>
                  </pic:spPr>
                </pic:pic>
              </a:graphicData>
            </a:graphic>
          </wp:anchor>
        </w:drawing>
      </w:r>
    </w:p>
    <w:tbl>
      <w:tblPr>
        <w:tblW w:w="10150" w:type="dxa"/>
        <w:tblLayout w:type="fixed"/>
        <w:tblCellMar>
          <w:left w:w="70" w:type="dxa"/>
          <w:right w:w="70" w:type="dxa"/>
        </w:tblCellMar>
        <w:tblLook w:val="0020" w:firstRow="1" w:lastRow="0" w:firstColumn="0" w:lastColumn="0" w:noHBand="0" w:noVBand="0"/>
      </w:tblPr>
      <w:tblGrid>
        <w:gridCol w:w="1418"/>
        <w:gridCol w:w="5312"/>
        <w:gridCol w:w="1800"/>
        <w:gridCol w:w="1620"/>
      </w:tblGrid>
      <w:tr w:rsidR="00035880" w:rsidRPr="002E2EB1" w:rsidTr="00F47FAF">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035880" w:rsidRPr="002E2EB1" w:rsidRDefault="00035880" w:rsidP="00F47FAF">
            <w:pPr>
              <w:spacing w:line="240" w:lineRule="auto"/>
              <w:rPr>
                <w:rFonts w:eastAsia="Calibri" w:cs="Arial"/>
                <w:b/>
                <w:szCs w:val="24"/>
                <w:lang w:val="pt-PT"/>
              </w:rPr>
            </w:pPr>
            <w:r w:rsidRPr="002E2EB1">
              <w:rPr>
                <w:rFonts w:eastAsia="Calibri" w:cs="Arial"/>
                <w:b/>
                <w:szCs w:val="24"/>
                <w:lang w:val="pt-PT"/>
              </w:rPr>
              <w:lastRenderedPageBreak/>
              <w:t>Disciplina</w:t>
            </w:r>
          </w:p>
        </w:tc>
        <w:tc>
          <w:tcPr>
            <w:tcW w:w="5312" w:type="dxa"/>
            <w:tcBorders>
              <w:top w:val="single" w:sz="6" w:space="0" w:color="000000"/>
              <w:left w:val="single" w:sz="6" w:space="0" w:color="000000"/>
              <w:bottom w:val="single" w:sz="6" w:space="0" w:color="000000"/>
              <w:right w:val="single" w:sz="6" w:space="0" w:color="000000"/>
            </w:tcBorders>
            <w:vAlign w:val="center"/>
          </w:tcPr>
          <w:p w:rsidR="00035880" w:rsidRPr="002E2EB1" w:rsidRDefault="00035880" w:rsidP="00F47FAF">
            <w:pPr>
              <w:spacing w:line="240" w:lineRule="auto"/>
              <w:rPr>
                <w:rFonts w:eastAsia="Calibri" w:cs="Arial"/>
                <w:szCs w:val="24"/>
                <w:lang w:val="pt-PT"/>
              </w:rPr>
            </w:pPr>
            <w:r w:rsidRPr="002E2EB1">
              <w:rPr>
                <w:rFonts w:eastAsia="Calibri" w:cs="Arial"/>
                <w:szCs w:val="24"/>
                <w:lang w:val="pt-PT"/>
              </w:rPr>
              <w:t>Introdução às Ciências Médicas</w:t>
            </w:r>
          </w:p>
        </w:tc>
        <w:tc>
          <w:tcPr>
            <w:tcW w:w="1800" w:type="dxa"/>
            <w:tcBorders>
              <w:top w:val="single" w:sz="6" w:space="0" w:color="000000"/>
              <w:left w:val="single" w:sz="6" w:space="0" w:color="000000"/>
              <w:bottom w:val="single" w:sz="6" w:space="0" w:color="000000"/>
              <w:right w:val="single" w:sz="6" w:space="0" w:color="000000"/>
            </w:tcBorders>
            <w:vAlign w:val="center"/>
          </w:tcPr>
          <w:p w:rsidR="00035880" w:rsidRPr="002E2EB1" w:rsidRDefault="00035880" w:rsidP="00F47FAF">
            <w:pPr>
              <w:spacing w:line="240" w:lineRule="auto"/>
              <w:rPr>
                <w:rFonts w:eastAsia="Calibri" w:cs="Arial"/>
                <w:b/>
                <w:szCs w:val="24"/>
                <w:lang w:val="pt-PT"/>
              </w:rPr>
            </w:pPr>
            <w:r w:rsidRPr="002E2EB1">
              <w:rPr>
                <w:rFonts w:eastAsia="Calibri" w:cs="Arial"/>
                <w:b/>
                <w:szCs w:val="24"/>
                <w:lang w:val="pt-PT"/>
              </w:rPr>
              <w:t xml:space="preserve">N° da Aula </w:t>
            </w:r>
          </w:p>
        </w:tc>
        <w:tc>
          <w:tcPr>
            <w:tcW w:w="1620" w:type="dxa"/>
            <w:tcBorders>
              <w:top w:val="single" w:sz="6" w:space="0" w:color="000000"/>
              <w:left w:val="single" w:sz="6" w:space="0" w:color="000000"/>
              <w:bottom w:val="single" w:sz="6" w:space="0" w:color="000000"/>
              <w:right w:val="single" w:sz="6" w:space="0" w:color="000000"/>
            </w:tcBorders>
            <w:vAlign w:val="center"/>
          </w:tcPr>
          <w:p w:rsidR="00035880" w:rsidRPr="002E2EB1" w:rsidRDefault="00035880" w:rsidP="00F47FAF">
            <w:pPr>
              <w:spacing w:line="240" w:lineRule="auto"/>
              <w:jc w:val="center"/>
              <w:rPr>
                <w:rFonts w:eastAsia="Calibri" w:cs="Arial"/>
                <w:lang w:val="pt-PT"/>
              </w:rPr>
            </w:pPr>
            <w:r>
              <w:rPr>
                <w:rFonts w:eastAsia="Calibri" w:cs="Arial"/>
                <w:lang w:val="pt-PT"/>
              </w:rPr>
              <w:t>24</w:t>
            </w:r>
          </w:p>
        </w:tc>
      </w:tr>
      <w:tr w:rsidR="00035880" w:rsidRPr="002E2EB1" w:rsidTr="00F47FAF">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035880" w:rsidRPr="002E2EB1" w:rsidRDefault="00035880" w:rsidP="00F47FAF">
            <w:pPr>
              <w:spacing w:line="240" w:lineRule="auto"/>
              <w:rPr>
                <w:rFonts w:eastAsia="Calibri" w:cs="Arial"/>
                <w:b/>
                <w:szCs w:val="24"/>
                <w:lang w:val="pt-PT"/>
              </w:rPr>
            </w:pPr>
            <w:r w:rsidRPr="002E2EB1">
              <w:rPr>
                <w:rFonts w:eastAsia="Calibri" w:cs="Arial"/>
                <w:b/>
                <w:szCs w:val="24"/>
                <w:lang w:val="pt-PT"/>
              </w:rPr>
              <w:t>Tópico</w:t>
            </w:r>
          </w:p>
        </w:tc>
        <w:tc>
          <w:tcPr>
            <w:tcW w:w="5312" w:type="dxa"/>
            <w:tcBorders>
              <w:top w:val="single" w:sz="6" w:space="0" w:color="000000"/>
              <w:left w:val="single" w:sz="6" w:space="0" w:color="000000"/>
              <w:bottom w:val="single" w:sz="6" w:space="0" w:color="000000"/>
              <w:right w:val="single" w:sz="6" w:space="0" w:color="000000"/>
            </w:tcBorders>
            <w:vAlign w:val="center"/>
          </w:tcPr>
          <w:p w:rsidR="00035880" w:rsidRPr="002E2EB1" w:rsidRDefault="00035880" w:rsidP="00F47FAF">
            <w:pPr>
              <w:spacing w:line="240" w:lineRule="auto"/>
              <w:rPr>
                <w:rFonts w:eastAsia="Calibri" w:cs="Arial"/>
                <w:szCs w:val="24"/>
                <w:lang w:val="pt-PT"/>
              </w:rPr>
            </w:pPr>
            <w:r w:rsidRPr="002E2EB1">
              <w:rPr>
                <w:rFonts w:eastAsia="Calibri" w:cs="Arial"/>
                <w:szCs w:val="24"/>
                <w:lang w:val="pt-PT"/>
              </w:rPr>
              <w:t>Farmacologia</w:t>
            </w:r>
          </w:p>
        </w:tc>
        <w:tc>
          <w:tcPr>
            <w:tcW w:w="1800" w:type="dxa"/>
            <w:tcBorders>
              <w:top w:val="single" w:sz="6" w:space="0" w:color="000000"/>
              <w:left w:val="single" w:sz="6" w:space="0" w:color="000000"/>
              <w:bottom w:val="single" w:sz="6" w:space="0" w:color="000000"/>
              <w:right w:val="single" w:sz="6" w:space="0" w:color="000000"/>
            </w:tcBorders>
            <w:vAlign w:val="center"/>
          </w:tcPr>
          <w:p w:rsidR="00035880" w:rsidRPr="002E2EB1" w:rsidRDefault="00035880" w:rsidP="00F47FAF">
            <w:pPr>
              <w:spacing w:line="240" w:lineRule="auto"/>
              <w:rPr>
                <w:rFonts w:eastAsia="Calibri" w:cs="Arial"/>
                <w:b/>
                <w:szCs w:val="24"/>
                <w:lang w:val="pt-PT"/>
              </w:rPr>
            </w:pPr>
            <w:r w:rsidRPr="002E2EB1">
              <w:rPr>
                <w:rFonts w:eastAsia="Calibri" w:cs="Arial"/>
                <w:b/>
                <w:szCs w:val="24"/>
                <w:lang w:val="pt-PT"/>
              </w:rPr>
              <w:t xml:space="preserve">Tipo </w:t>
            </w:r>
          </w:p>
        </w:tc>
        <w:tc>
          <w:tcPr>
            <w:tcW w:w="1620" w:type="dxa"/>
            <w:tcBorders>
              <w:top w:val="single" w:sz="6" w:space="0" w:color="000000"/>
              <w:left w:val="single" w:sz="6" w:space="0" w:color="000000"/>
              <w:bottom w:val="single" w:sz="6" w:space="0" w:color="000000"/>
              <w:right w:val="single" w:sz="6" w:space="0" w:color="000000"/>
            </w:tcBorders>
            <w:vAlign w:val="center"/>
          </w:tcPr>
          <w:p w:rsidR="00035880" w:rsidRPr="002E2EB1" w:rsidRDefault="00035880" w:rsidP="00F47FAF">
            <w:pPr>
              <w:spacing w:line="240" w:lineRule="auto"/>
              <w:jc w:val="center"/>
              <w:rPr>
                <w:rFonts w:eastAsia="Calibri" w:cs="Arial"/>
                <w:lang w:val="pt-PT"/>
              </w:rPr>
            </w:pPr>
            <w:r w:rsidRPr="002E2EB1">
              <w:rPr>
                <w:rFonts w:eastAsia="Calibri" w:cs="Arial"/>
                <w:lang w:val="pt-PT"/>
              </w:rPr>
              <w:t>Teórica</w:t>
            </w:r>
          </w:p>
        </w:tc>
      </w:tr>
      <w:tr w:rsidR="00035880" w:rsidRPr="002E2EB1" w:rsidTr="00F47FAF">
        <w:trPr>
          <w:cantSplit/>
          <w:trHeight w:val="414"/>
        </w:trPr>
        <w:tc>
          <w:tcPr>
            <w:tcW w:w="1418" w:type="dxa"/>
            <w:tcBorders>
              <w:top w:val="single" w:sz="6" w:space="0" w:color="000000"/>
              <w:left w:val="single" w:sz="6" w:space="0" w:color="000000"/>
              <w:bottom w:val="single" w:sz="6" w:space="0" w:color="000000"/>
              <w:right w:val="single" w:sz="6" w:space="0" w:color="000000"/>
            </w:tcBorders>
            <w:vAlign w:val="center"/>
          </w:tcPr>
          <w:p w:rsidR="00035880" w:rsidRPr="002E2EB1" w:rsidRDefault="00035880" w:rsidP="00F47FAF">
            <w:pPr>
              <w:spacing w:line="240" w:lineRule="auto"/>
              <w:rPr>
                <w:rFonts w:eastAsia="Calibri" w:cs="Arial"/>
                <w:b/>
                <w:szCs w:val="24"/>
                <w:lang w:val="pt-PT"/>
              </w:rPr>
            </w:pPr>
            <w:r w:rsidRPr="002E2EB1">
              <w:rPr>
                <w:rFonts w:eastAsia="Calibri" w:cs="Arial"/>
                <w:b/>
                <w:szCs w:val="24"/>
                <w:lang w:val="pt-PT"/>
              </w:rPr>
              <w:t>Conteúdos</w:t>
            </w:r>
          </w:p>
        </w:tc>
        <w:tc>
          <w:tcPr>
            <w:tcW w:w="5312" w:type="dxa"/>
            <w:tcBorders>
              <w:top w:val="single" w:sz="6" w:space="0" w:color="000000"/>
              <w:left w:val="single" w:sz="6" w:space="0" w:color="000000"/>
              <w:bottom w:val="single" w:sz="6" w:space="0" w:color="000000"/>
              <w:right w:val="single" w:sz="6" w:space="0" w:color="000000"/>
            </w:tcBorders>
            <w:vAlign w:val="center"/>
          </w:tcPr>
          <w:p w:rsidR="00035880" w:rsidRPr="005F3F7B" w:rsidRDefault="00035880" w:rsidP="00035880">
            <w:pPr>
              <w:pStyle w:val="Heading1"/>
              <w:rPr>
                <w:rFonts w:eastAsia="Calibri"/>
                <w:b w:val="0"/>
                <w:sz w:val="22"/>
                <w:szCs w:val="22"/>
                <w:lang w:val="pt-PT"/>
              </w:rPr>
            </w:pPr>
            <w:bookmarkStart w:id="29" w:name="_Toc329099772"/>
            <w:r w:rsidRPr="005F3F7B">
              <w:rPr>
                <w:rFonts w:eastAsia="Calibri"/>
                <w:b w:val="0"/>
                <w:sz w:val="22"/>
                <w:szCs w:val="22"/>
                <w:lang w:val="pt-PT"/>
              </w:rPr>
              <w:t>Toxicologia</w:t>
            </w:r>
            <w:bookmarkEnd w:id="29"/>
          </w:p>
        </w:tc>
        <w:tc>
          <w:tcPr>
            <w:tcW w:w="1800" w:type="dxa"/>
            <w:tcBorders>
              <w:top w:val="single" w:sz="6" w:space="0" w:color="000000"/>
              <w:left w:val="single" w:sz="6" w:space="0" w:color="000000"/>
              <w:bottom w:val="single" w:sz="6" w:space="0" w:color="000000"/>
              <w:right w:val="single" w:sz="6" w:space="0" w:color="000000"/>
            </w:tcBorders>
            <w:vAlign w:val="center"/>
          </w:tcPr>
          <w:p w:rsidR="00035880" w:rsidRPr="002E2EB1" w:rsidRDefault="00035880" w:rsidP="00F47FAF">
            <w:pPr>
              <w:spacing w:line="240" w:lineRule="auto"/>
              <w:rPr>
                <w:rFonts w:eastAsia="Calibri" w:cs="Arial"/>
                <w:b/>
                <w:szCs w:val="24"/>
                <w:lang w:val="pt-PT"/>
              </w:rPr>
            </w:pPr>
            <w:r w:rsidRPr="002E2EB1">
              <w:rPr>
                <w:rFonts w:eastAsia="Calibri" w:cs="Arial"/>
                <w:b/>
                <w:szCs w:val="24"/>
                <w:lang w:val="pt-PT"/>
              </w:rPr>
              <w:t>Duração</w:t>
            </w:r>
          </w:p>
        </w:tc>
        <w:tc>
          <w:tcPr>
            <w:tcW w:w="1620" w:type="dxa"/>
            <w:tcBorders>
              <w:top w:val="single" w:sz="6" w:space="0" w:color="000000"/>
              <w:left w:val="single" w:sz="6" w:space="0" w:color="000000"/>
              <w:bottom w:val="single" w:sz="6" w:space="0" w:color="000000"/>
              <w:right w:val="single" w:sz="6" w:space="0" w:color="000000"/>
            </w:tcBorders>
            <w:vAlign w:val="center"/>
          </w:tcPr>
          <w:p w:rsidR="00035880" w:rsidRPr="002E2EB1" w:rsidRDefault="00035880" w:rsidP="00F47FAF">
            <w:pPr>
              <w:spacing w:line="240" w:lineRule="auto"/>
              <w:jc w:val="center"/>
              <w:rPr>
                <w:rFonts w:eastAsia="Calibri" w:cs="Arial"/>
                <w:lang w:val="pt-PT"/>
              </w:rPr>
            </w:pPr>
            <w:r>
              <w:rPr>
                <w:rFonts w:eastAsia="Calibri" w:cs="Arial"/>
                <w:lang w:val="pt-PT"/>
              </w:rPr>
              <w:t>2</w:t>
            </w:r>
            <w:r w:rsidRPr="002E2EB1">
              <w:rPr>
                <w:rFonts w:eastAsia="Calibri" w:cs="Arial"/>
                <w:lang w:val="pt-PT"/>
              </w:rPr>
              <w:t xml:space="preserve"> h</w:t>
            </w:r>
          </w:p>
        </w:tc>
      </w:tr>
    </w:tbl>
    <w:p w:rsidR="00035880" w:rsidRPr="002E2EB1" w:rsidRDefault="00035880" w:rsidP="00F957A0">
      <w:pPr>
        <w:spacing w:line="240" w:lineRule="auto"/>
        <w:outlineLvl w:val="0"/>
        <w:rPr>
          <w:rFonts w:cs="Arial"/>
          <w:b/>
          <w:bCs/>
          <w:lang w:val="pt-PT"/>
        </w:rPr>
      </w:pPr>
    </w:p>
    <w:p w:rsidR="00035880" w:rsidRPr="0052785B" w:rsidRDefault="00035880" w:rsidP="0052785B">
      <w:pPr>
        <w:rPr>
          <w:b/>
          <w:lang w:val="pt-PT"/>
        </w:rPr>
      </w:pPr>
      <w:r w:rsidRPr="0052785B">
        <w:rPr>
          <w:b/>
          <w:lang w:val="pt-PT"/>
        </w:rPr>
        <w:t>Objectivos de Aprendizagem:</w:t>
      </w:r>
    </w:p>
    <w:p w:rsidR="00035880" w:rsidRPr="002E2EB1" w:rsidRDefault="00035880" w:rsidP="00035880">
      <w:pPr>
        <w:rPr>
          <w:rFonts w:cs="Arial"/>
          <w:lang w:val="pt-PT"/>
        </w:rPr>
      </w:pPr>
      <w:r w:rsidRPr="002E2EB1">
        <w:rPr>
          <w:rFonts w:cs="Arial"/>
          <w:lang w:val="pt-PT"/>
        </w:rPr>
        <w:t>Até ao fim da aula os alunos devem ser capazes de:</w:t>
      </w:r>
    </w:p>
    <w:p w:rsidR="00035880" w:rsidRPr="002E2EB1" w:rsidRDefault="00035880" w:rsidP="00C52E09">
      <w:pPr>
        <w:numPr>
          <w:ilvl w:val="0"/>
          <w:numId w:val="244"/>
        </w:numPr>
        <w:tabs>
          <w:tab w:val="clear" w:pos="794"/>
        </w:tabs>
        <w:spacing w:after="0" w:line="240" w:lineRule="auto"/>
        <w:ind w:left="450" w:hanging="273"/>
        <w:rPr>
          <w:rFonts w:cs="Arial"/>
          <w:lang w:val="pt-PT"/>
        </w:rPr>
      </w:pPr>
      <w:r w:rsidRPr="002E2EB1">
        <w:rPr>
          <w:rFonts w:cs="Arial"/>
          <w:lang w:val="pt-PT"/>
        </w:rPr>
        <w:t>Explicar os mecanismos de intoxicação;</w:t>
      </w:r>
    </w:p>
    <w:p w:rsidR="00035880" w:rsidRPr="002E2EB1" w:rsidRDefault="00035880" w:rsidP="00C52E09">
      <w:pPr>
        <w:numPr>
          <w:ilvl w:val="0"/>
          <w:numId w:val="244"/>
        </w:numPr>
        <w:tabs>
          <w:tab w:val="clear" w:pos="794"/>
        </w:tabs>
        <w:spacing w:after="0" w:line="240" w:lineRule="auto"/>
        <w:ind w:left="450" w:hanging="273"/>
        <w:rPr>
          <w:rFonts w:cs="Arial"/>
          <w:lang w:val="pt-PT"/>
        </w:rPr>
      </w:pPr>
      <w:r w:rsidRPr="002E2EB1">
        <w:rPr>
          <w:rFonts w:cs="Arial"/>
          <w:lang w:val="pt-PT"/>
        </w:rPr>
        <w:t>Definir sobredose;</w:t>
      </w:r>
    </w:p>
    <w:p w:rsidR="00035880" w:rsidRPr="002E2EB1" w:rsidRDefault="00035880" w:rsidP="00C52E09">
      <w:pPr>
        <w:numPr>
          <w:ilvl w:val="0"/>
          <w:numId w:val="244"/>
        </w:numPr>
        <w:tabs>
          <w:tab w:val="clear" w:pos="794"/>
        </w:tabs>
        <w:spacing w:after="0" w:line="240" w:lineRule="auto"/>
        <w:ind w:left="450" w:hanging="273"/>
        <w:rPr>
          <w:rFonts w:cs="Arial"/>
          <w:lang w:val="pt-PT"/>
        </w:rPr>
      </w:pPr>
      <w:r w:rsidRPr="002E2EB1">
        <w:rPr>
          <w:rFonts w:cs="Arial"/>
          <w:lang w:val="pt-PT"/>
        </w:rPr>
        <w:t>Discutir as reacções adversas a medicamentos e o seu manejo;</w:t>
      </w:r>
    </w:p>
    <w:p w:rsidR="00035880" w:rsidRPr="002E2EB1" w:rsidRDefault="00035880" w:rsidP="00C52E09">
      <w:pPr>
        <w:pStyle w:val="ListParagraph"/>
        <w:numPr>
          <w:ilvl w:val="0"/>
          <w:numId w:val="244"/>
        </w:numPr>
        <w:tabs>
          <w:tab w:val="clear" w:pos="794"/>
        </w:tabs>
        <w:spacing w:after="0" w:line="240" w:lineRule="auto"/>
        <w:ind w:left="450" w:hanging="273"/>
        <w:contextualSpacing w:val="0"/>
        <w:rPr>
          <w:rFonts w:cs="Arial"/>
          <w:lang w:val="pt-PT"/>
        </w:rPr>
      </w:pPr>
      <w:r w:rsidRPr="002E2EB1">
        <w:rPr>
          <w:rFonts w:cs="Arial"/>
          <w:lang w:val="pt-PT"/>
        </w:rPr>
        <w:t>Identificar as picadas e mordeduras de insectos, cobras e outros animais e discutir o seu tratamento;</w:t>
      </w:r>
    </w:p>
    <w:p w:rsidR="00035880" w:rsidRPr="002E2EB1" w:rsidRDefault="00035880" w:rsidP="00C52E09">
      <w:pPr>
        <w:pStyle w:val="ListParagraph"/>
        <w:numPr>
          <w:ilvl w:val="0"/>
          <w:numId w:val="244"/>
        </w:numPr>
        <w:tabs>
          <w:tab w:val="clear" w:pos="794"/>
        </w:tabs>
        <w:spacing w:after="0" w:line="240" w:lineRule="auto"/>
        <w:ind w:left="450" w:hanging="273"/>
        <w:contextualSpacing w:val="0"/>
        <w:rPr>
          <w:rFonts w:cs="Arial"/>
          <w:lang w:val="pt-PT"/>
        </w:rPr>
      </w:pPr>
      <w:r w:rsidRPr="002E2EB1">
        <w:rPr>
          <w:rFonts w:cs="Arial"/>
          <w:lang w:val="pt-PT"/>
        </w:rPr>
        <w:t>Descrever a intoxicação por medicamento tradicional e as apresentações mais comuns;</w:t>
      </w:r>
    </w:p>
    <w:p w:rsidR="00035880" w:rsidRPr="002E2EB1" w:rsidRDefault="00035880" w:rsidP="00C52E09">
      <w:pPr>
        <w:pStyle w:val="ListParagraph"/>
        <w:numPr>
          <w:ilvl w:val="0"/>
          <w:numId w:val="244"/>
        </w:numPr>
        <w:tabs>
          <w:tab w:val="clear" w:pos="794"/>
        </w:tabs>
        <w:spacing w:after="0" w:line="240" w:lineRule="auto"/>
        <w:ind w:left="450" w:hanging="273"/>
        <w:contextualSpacing w:val="0"/>
        <w:rPr>
          <w:rFonts w:cs="Arial"/>
          <w:lang w:val="pt-PT"/>
        </w:rPr>
      </w:pPr>
      <w:r w:rsidRPr="002E2EB1">
        <w:rPr>
          <w:rFonts w:cs="Arial"/>
          <w:lang w:val="pt-PT"/>
        </w:rPr>
        <w:t>Indicar os diferentes tipos de antídotos e discutir a sua utilização.</w:t>
      </w:r>
    </w:p>
    <w:p w:rsidR="00035880" w:rsidRPr="002E2EB1" w:rsidRDefault="00035880" w:rsidP="00035880">
      <w:pPr>
        <w:tabs>
          <w:tab w:val="left" w:pos="244"/>
        </w:tabs>
        <w:spacing w:line="240" w:lineRule="auto"/>
        <w:rPr>
          <w:rFonts w:cs="Arial"/>
          <w:lang w:val="pt-PT"/>
        </w:rPr>
      </w:pPr>
    </w:p>
    <w:p w:rsidR="00035880" w:rsidRPr="0052785B" w:rsidRDefault="00035880" w:rsidP="0052785B">
      <w:pPr>
        <w:rPr>
          <w:b/>
          <w:lang w:val="pt-PT"/>
        </w:rPr>
      </w:pPr>
      <w:r w:rsidRPr="0052785B">
        <w:rPr>
          <w:b/>
          <w:lang w:val="pt-PT"/>
        </w:rPr>
        <w:t>Estrutura da Aula</w:t>
      </w:r>
    </w:p>
    <w:tbl>
      <w:tblPr>
        <w:tblW w:w="10188" w:type="dxa"/>
        <w:tblBorders>
          <w:top w:val="single" w:sz="18" w:space="0" w:color="auto"/>
          <w:bottom w:val="single" w:sz="18" w:space="0" w:color="auto"/>
        </w:tblBorders>
        <w:tblLayout w:type="fixed"/>
        <w:tblLook w:val="0400" w:firstRow="0" w:lastRow="0" w:firstColumn="0" w:lastColumn="0" w:noHBand="0" w:noVBand="1"/>
      </w:tblPr>
      <w:tblGrid>
        <w:gridCol w:w="738"/>
        <w:gridCol w:w="3690"/>
        <w:gridCol w:w="4140"/>
        <w:gridCol w:w="1620"/>
      </w:tblGrid>
      <w:tr w:rsidR="00035880" w:rsidRPr="002E2EB1" w:rsidTr="00F47FAF">
        <w:trPr>
          <w:trHeight w:val="432"/>
        </w:trPr>
        <w:tc>
          <w:tcPr>
            <w:tcW w:w="738" w:type="dxa"/>
            <w:tcBorders>
              <w:top w:val="single" w:sz="18" w:space="0" w:color="auto"/>
              <w:bottom w:val="single" w:sz="18" w:space="0" w:color="auto"/>
              <w:right w:val="single" w:sz="4" w:space="0" w:color="auto"/>
            </w:tcBorders>
            <w:shd w:val="clear" w:color="auto" w:fill="B8CCE4"/>
          </w:tcPr>
          <w:p w:rsidR="00035880" w:rsidRPr="002E2EB1" w:rsidRDefault="00035880" w:rsidP="00F47FAF">
            <w:pPr>
              <w:spacing w:before="60" w:line="240" w:lineRule="auto"/>
              <w:ind w:left="-110" w:right="-108"/>
              <w:jc w:val="center"/>
              <w:rPr>
                <w:rFonts w:cs="Arial"/>
                <w:b/>
                <w:sz w:val="20"/>
                <w:szCs w:val="20"/>
                <w:lang w:val="pt-PT"/>
              </w:rPr>
            </w:pPr>
            <w:r w:rsidRPr="002E2EB1">
              <w:rPr>
                <w:rFonts w:cs="Arial"/>
                <w:b/>
                <w:sz w:val="20"/>
                <w:szCs w:val="20"/>
                <w:lang w:val="pt-PT"/>
              </w:rPr>
              <w:t>Bloco</w:t>
            </w:r>
          </w:p>
        </w:tc>
        <w:tc>
          <w:tcPr>
            <w:tcW w:w="3690" w:type="dxa"/>
            <w:tcBorders>
              <w:top w:val="single" w:sz="18" w:space="0" w:color="auto"/>
              <w:left w:val="single" w:sz="4" w:space="0" w:color="auto"/>
              <w:bottom w:val="single" w:sz="18" w:space="0" w:color="auto"/>
              <w:right w:val="single" w:sz="4" w:space="0" w:color="auto"/>
            </w:tcBorders>
            <w:shd w:val="clear" w:color="auto" w:fill="B8CCE4"/>
          </w:tcPr>
          <w:p w:rsidR="00035880" w:rsidRPr="002E2EB1" w:rsidRDefault="00035880" w:rsidP="00F47FAF">
            <w:pPr>
              <w:spacing w:before="60" w:line="240" w:lineRule="auto"/>
              <w:jc w:val="center"/>
              <w:rPr>
                <w:rFonts w:cs="Arial"/>
                <w:b/>
                <w:sz w:val="20"/>
                <w:szCs w:val="20"/>
                <w:lang w:val="pt-PT"/>
              </w:rPr>
            </w:pPr>
            <w:r w:rsidRPr="002E2EB1">
              <w:rPr>
                <w:rFonts w:cs="Arial"/>
                <w:b/>
                <w:sz w:val="20"/>
                <w:szCs w:val="20"/>
                <w:lang w:val="pt-PT"/>
              </w:rPr>
              <w:t>Título do Bloco</w:t>
            </w:r>
          </w:p>
        </w:tc>
        <w:tc>
          <w:tcPr>
            <w:tcW w:w="4140" w:type="dxa"/>
            <w:tcBorders>
              <w:top w:val="single" w:sz="18" w:space="0" w:color="auto"/>
              <w:left w:val="single" w:sz="4" w:space="0" w:color="auto"/>
              <w:bottom w:val="single" w:sz="18" w:space="0" w:color="auto"/>
              <w:right w:val="single" w:sz="4" w:space="0" w:color="auto"/>
            </w:tcBorders>
            <w:shd w:val="clear" w:color="auto" w:fill="B8CCE4"/>
          </w:tcPr>
          <w:p w:rsidR="00035880" w:rsidRPr="002E2EB1" w:rsidRDefault="00035880" w:rsidP="00F47FAF">
            <w:pPr>
              <w:tabs>
                <w:tab w:val="left" w:pos="244"/>
              </w:tabs>
              <w:spacing w:before="60" w:line="240" w:lineRule="auto"/>
              <w:jc w:val="center"/>
              <w:rPr>
                <w:rFonts w:cs="Arial"/>
                <w:b/>
                <w:sz w:val="20"/>
                <w:szCs w:val="20"/>
                <w:lang w:val="pt-PT"/>
              </w:rPr>
            </w:pPr>
            <w:r w:rsidRPr="002E2EB1">
              <w:rPr>
                <w:rFonts w:cs="Arial"/>
                <w:b/>
                <w:sz w:val="20"/>
                <w:szCs w:val="20"/>
                <w:lang w:val="pt-PT"/>
              </w:rPr>
              <w:t>Método de Ensino</w:t>
            </w:r>
          </w:p>
        </w:tc>
        <w:tc>
          <w:tcPr>
            <w:tcW w:w="1620" w:type="dxa"/>
            <w:tcBorders>
              <w:top w:val="single" w:sz="18" w:space="0" w:color="auto"/>
              <w:left w:val="single" w:sz="4" w:space="0" w:color="auto"/>
              <w:bottom w:val="single" w:sz="18" w:space="0" w:color="auto"/>
            </w:tcBorders>
            <w:shd w:val="clear" w:color="auto" w:fill="B8CCE4"/>
          </w:tcPr>
          <w:p w:rsidR="00035880" w:rsidRPr="002E2EB1" w:rsidRDefault="00035880" w:rsidP="00F47FAF">
            <w:pPr>
              <w:tabs>
                <w:tab w:val="left" w:pos="244"/>
              </w:tabs>
              <w:spacing w:before="60" w:line="240" w:lineRule="auto"/>
              <w:jc w:val="center"/>
              <w:rPr>
                <w:rFonts w:cs="Arial"/>
                <w:b/>
                <w:sz w:val="20"/>
                <w:szCs w:val="20"/>
                <w:lang w:val="pt-PT"/>
              </w:rPr>
            </w:pPr>
            <w:r w:rsidRPr="002E2EB1">
              <w:rPr>
                <w:rFonts w:cs="Arial"/>
                <w:b/>
                <w:sz w:val="20"/>
                <w:szCs w:val="20"/>
                <w:lang w:val="pt-PT"/>
              </w:rPr>
              <w:t>Duração</w:t>
            </w:r>
          </w:p>
        </w:tc>
      </w:tr>
      <w:tr w:rsidR="00035880" w:rsidRPr="002E2EB1" w:rsidTr="00F47FAF">
        <w:tc>
          <w:tcPr>
            <w:tcW w:w="738" w:type="dxa"/>
            <w:tcBorders>
              <w:top w:val="single" w:sz="18" w:space="0" w:color="auto"/>
              <w:bottom w:val="single" w:sz="4" w:space="0" w:color="auto"/>
              <w:right w:val="single" w:sz="4" w:space="0" w:color="auto"/>
            </w:tcBorders>
          </w:tcPr>
          <w:p w:rsidR="00035880" w:rsidRPr="002E2EB1" w:rsidRDefault="00035880" w:rsidP="00F47FAF">
            <w:pPr>
              <w:spacing w:before="60" w:after="60" w:line="360" w:lineRule="auto"/>
              <w:ind w:left="-110" w:right="-108"/>
              <w:jc w:val="center"/>
              <w:rPr>
                <w:rFonts w:cs="Arial"/>
                <w:sz w:val="20"/>
                <w:szCs w:val="20"/>
                <w:lang w:val="pt-PT"/>
              </w:rPr>
            </w:pPr>
            <w:r w:rsidRPr="002E2EB1">
              <w:rPr>
                <w:rFonts w:cs="Arial"/>
                <w:sz w:val="20"/>
                <w:szCs w:val="20"/>
                <w:lang w:val="pt-PT"/>
              </w:rPr>
              <w:t>1</w:t>
            </w:r>
          </w:p>
        </w:tc>
        <w:tc>
          <w:tcPr>
            <w:tcW w:w="3690" w:type="dxa"/>
            <w:tcBorders>
              <w:top w:val="single" w:sz="18" w:space="0" w:color="auto"/>
              <w:left w:val="single" w:sz="4" w:space="0" w:color="auto"/>
              <w:bottom w:val="single" w:sz="4" w:space="0" w:color="auto"/>
              <w:right w:val="single" w:sz="4" w:space="0" w:color="auto"/>
            </w:tcBorders>
          </w:tcPr>
          <w:p w:rsidR="00035880" w:rsidRPr="002E2EB1" w:rsidRDefault="00035880" w:rsidP="00F47FAF">
            <w:pPr>
              <w:tabs>
                <w:tab w:val="left" w:pos="244"/>
              </w:tabs>
              <w:spacing w:before="60" w:after="60" w:line="360" w:lineRule="auto"/>
              <w:rPr>
                <w:rFonts w:cs="Arial"/>
                <w:sz w:val="20"/>
                <w:szCs w:val="20"/>
                <w:lang w:val="pt-PT"/>
              </w:rPr>
            </w:pPr>
            <w:r w:rsidRPr="002E2EB1">
              <w:rPr>
                <w:rFonts w:cs="Arial"/>
                <w:sz w:val="20"/>
                <w:szCs w:val="20"/>
                <w:lang w:val="pt-PT"/>
              </w:rPr>
              <w:t>Introdução à Aula</w:t>
            </w:r>
          </w:p>
          <w:p w:rsidR="00035880" w:rsidRPr="002E2EB1" w:rsidRDefault="00035880" w:rsidP="00F47FAF">
            <w:pPr>
              <w:tabs>
                <w:tab w:val="left" w:pos="244"/>
              </w:tabs>
              <w:spacing w:before="60" w:after="60" w:line="360" w:lineRule="auto"/>
              <w:rPr>
                <w:rFonts w:cs="Arial"/>
                <w:sz w:val="20"/>
                <w:szCs w:val="20"/>
                <w:lang w:val="pt-PT"/>
              </w:rPr>
            </w:pPr>
          </w:p>
        </w:tc>
        <w:tc>
          <w:tcPr>
            <w:tcW w:w="4140" w:type="dxa"/>
            <w:tcBorders>
              <w:top w:val="single" w:sz="18" w:space="0" w:color="auto"/>
              <w:left w:val="single" w:sz="4" w:space="0" w:color="auto"/>
              <w:bottom w:val="single" w:sz="4" w:space="0" w:color="auto"/>
              <w:right w:val="single" w:sz="4" w:space="0" w:color="auto"/>
            </w:tcBorders>
          </w:tcPr>
          <w:p w:rsidR="00035880" w:rsidRPr="002E2EB1" w:rsidRDefault="00035880" w:rsidP="00F47FAF">
            <w:pPr>
              <w:tabs>
                <w:tab w:val="left" w:pos="244"/>
              </w:tabs>
              <w:spacing w:before="60" w:after="60" w:line="360" w:lineRule="auto"/>
              <w:rPr>
                <w:rFonts w:cs="Arial"/>
                <w:sz w:val="20"/>
                <w:szCs w:val="20"/>
                <w:lang w:val="pt-PT"/>
              </w:rPr>
            </w:pPr>
          </w:p>
        </w:tc>
        <w:tc>
          <w:tcPr>
            <w:tcW w:w="1620" w:type="dxa"/>
            <w:tcBorders>
              <w:top w:val="single" w:sz="18" w:space="0" w:color="auto"/>
              <w:left w:val="single" w:sz="4" w:space="0" w:color="auto"/>
              <w:bottom w:val="single" w:sz="4" w:space="0" w:color="auto"/>
            </w:tcBorders>
          </w:tcPr>
          <w:p w:rsidR="00035880" w:rsidRPr="002E2EB1" w:rsidRDefault="00035880" w:rsidP="00F47FAF">
            <w:pPr>
              <w:tabs>
                <w:tab w:val="left" w:pos="244"/>
              </w:tabs>
              <w:spacing w:before="60" w:after="60" w:line="360" w:lineRule="auto"/>
              <w:jc w:val="right"/>
              <w:rPr>
                <w:rFonts w:cs="Arial"/>
                <w:sz w:val="20"/>
                <w:szCs w:val="20"/>
                <w:lang w:val="pt-PT"/>
              </w:rPr>
            </w:pPr>
          </w:p>
        </w:tc>
      </w:tr>
      <w:tr w:rsidR="00035880" w:rsidRPr="002E2EB1" w:rsidTr="00F47FAF">
        <w:tc>
          <w:tcPr>
            <w:tcW w:w="738" w:type="dxa"/>
            <w:tcBorders>
              <w:top w:val="single" w:sz="4" w:space="0" w:color="auto"/>
              <w:bottom w:val="single" w:sz="4" w:space="0" w:color="auto"/>
              <w:right w:val="single" w:sz="4" w:space="0" w:color="auto"/>
            </w:tcBorders>
            <w:shd w:val="clear" w:color="auto" w:fill="D9D9D9"/>
          </w:tcPr>
          <w:p w:rsidR="00035880" w:rsidRPr="002E2EB1" w:rsidRDefault="00035880" w:rsidP="00F47FAF">
            <w:pPr>
              <w:spacing w:before="60" w:after="60" w:line="360" w:lineRule="auto"/>
              <w:ind w:left="-110" w:right="-108"/>
              <w:jc w:val="center"/>
              <w:rPr>
                <w:rFonts w:cs="Arial"/>
                <w:sz w:val="20"/>
                <w:szCs w:val="20"/>
                <w:lang w:val="pt-PT"/>
              </w:rPr>
            </w:pPr>
            <w:r w:rsidRPr="002E2EB1">
              <w:rPr>
                <w:rFonts w:cs="Arial"/>
                <w:sz w:val="20"/>
                <w:szCs w:val="20"/>
                <w:lang w:val="pt-PT"/>
              </w:rPr>
              <w:t>2</w:t>
            </w:r>
          </w:p>
        </w:tc>
        <w:tc>
          <w:tcPr>
            <w:tcW w:w="3690" w:type="dxa"/>
            <w:tcBorders>
              <w:top w:val="single" w:sz="4" w:space="0" w:color="auto"/>
              <w:left w:val="single" w:sz="4" w:space="0" w:color="auto"/>
              <w:bottom w:val="single" w:sz="4" w:space="0" w:color="auto"/>
              <w:right w:val="single" w:sz="4" w:space="0" w:color="auto"/>
            </w:tcBorders>
            <w:shd w:val="clear" w:color="auto" w:fill="D9D9D9"/>
          </w:tcPr>
          <w:p w:rsidR="00035880" w:rsidRPr="002E2EB1" w:rsidRDefault="00035880" w:rsidP="00F47FAF">
            <w:pPr>
              <w:tabs>
                <w:tab w:val="left" w:pos="244"/>
              </w:tabs>
              <w:spacing w:before="60" w:after="60" w:line="360" w:lineRule="auto"/>
              <w:rPr>
                <w:rFonts w:cs="Arial"/>
                <w:sz w:val="20"/>
                <w:szCs w:val="20"/>
                <w:lang w:val="pt-PT"/>
              </w:rPr>
            </w:pPr>
            <w:r w:rsidRPr="002E2EB1">
              <w:rPr>
                <w:rFonts w:cs="Arial"/>
                <w:sz w:val="20"/>
                <w:szCs w:val="20"/>
                <w:lang w:val="pt-PT"/>
              </w:rPr>
              <w:t>Conceitos Básicos de Toxicologia</w:t>
            </w:r>
          </w:p>
        </w:tc>
        <w:tc>
          <w:tcPr>
            <w:tcW w:w="4140" w:type="dxa"/>
            <w:tcBorders>
              <w:top w:val="single" w:sz="4" w:space="0" w:color="auto"/>
              <w:left w:val="single" w:sz="4" w:space="0" w:color="auto"/>
              <w:bottom w:val="single" w:sz="4" w:space="0" w:color="auto"/>
              <w:right w:val="single" w:sz="4" w:space="0" w:color="auto"/>
            </w:tcBorders>
            <w:shd w:val="clear" w:color="auto" w:fill="D9D9D9"/>
          </w:tcPr>
          <w:p w:rsidR="00035880" w:rsidRPr="002E2EB1" w:rsidRDefault="00035880" w:rsidP="00F47FAF">
            <w:pPr>
              <w:tabs>
                <w:tab w:val="left" w:pos="244"/>
              </w:tabs>
              <w:spacing w:before="60" w:after="60" w:line="360" w:lineRule="auto"/>
              <w:rPr>
                <w:rFonts w:cs="Arial"/>
                <w:sz w:val="20"/>
                <w:szCs w:val="20"/>
                <w:lang w:val="pt-PT"/>
              </w:rPr>
            </w:pPr>
          </w:p>
          <w:p w:rsidR="00035880" w:rsidRPr="002E2EB1" w:rsidRDefault="00035880" w:rsidP="00F47FAF">
            <w:pPr>
              <w:tabs>
                <w:tab w:val="left" w:pos="244"/>
              </w:tabs>
              <w:spacing w:before="60" w:after="60" w:line="360" w:lineRule="auto"/>
              <w:rPr>
                <w:rFonts w:cs="Arial"/>
                <w:sz w:val="20"/>
                <w:szCs w:val="20"/>
                <w:lang w:val="pt-PT"/>
              </w:rPr>
            </w:pPr>
          </w:p>
        </w:tc>
        <w:tc>
          <w:tcPr>
            <w:tcW w:w="1620" w:type="dxa"/>
            <w:tcBorders>
              <w:top w:val="single" w:sz="4" w:space="0" w:color="auto"/>
              <w:left w:val="single" w:sz="4" w:space="0" w:color="auto"/>
              <w:bottom w:val="single" w:sz="4" w:space="0" w:color="auto"/>
            </w:tcBorders>
            <w:shd w:val="clear" w:color="auto" w:fill="D9D9D9"/>
          </w:tcPr>
          <w:p w:rsidR="00035880" w:rsidRPr="002E2EB1" w:rsidRDefault="00035880" w:rsidP="00F47FAF">
            <w:pPr>
              <w:tabs>
                <w:tab w:val="left" w:pos="244"/>
              </w:tabs>
              <w:spacing w:before="60" w:after="60" w:line="360" w:lineRule="auto"/>
              <w:jc w:val="right"/>
              <w:rPr>
                <w:rFonts w:cs="Arial"/>
                <w:sz w:val="20"/>
                <w:szCs w:val="20"/>
                <w:lang w:val="pt-PT"/>
              </w:rPr>
            </w:pPr>
          </w:p>
        </w:tc>
      </w:tr>
      <w:tr w:rsidR="00035880" w:rsidRPr="00FC6E81" w:rsidTr="00F47FAF">
        <w:tc>
          <w:tcPr>
            <w:tcW w:w="738" w:type="dxa"/>
            <w:tcBorders>
              <w:top w:val="single" w:sz="4" w:space="0" w:color="auto"/>
              <w:bottom w:val="single" w:sz="4" w:space="0" w:color="auto"/>
              <w:right w:val="single" w:sz="4" w:space="0" w:color="auto"/>
            </w:tcBorders>
          </w:tcPr>
          <w:p w:rsidR="00035880" w:rsidRPr="002E2EB1" w:rsidRDefault="00035880" w:rsidP="00F47FAF">
            <w:pPr>
              <w:spacing w:before="60" w:after="60" w:line="360" w:lineRule="auto"/>
              <w:ind w:left="-110" w:right="-108"/>
              <w:jc w:val="center"/>
              <w:rPr>
                <w:rFonts w:cs="Arial"/>
                <w:sz w:val="20"/>
                <w:szCs w:val="20"/>
                <w:lang w:val="pt-PT"/>
              </w:rPr>
            </w:pPr>
            <w:r w:rsidRPr="002E2EB1">
              <w:rPr>
                <w:rFonts w:cs="Arial"/>
                <w:sz w:val="20"/>
                <w:szCs w:val="20"/>
                <w:lang w:val="pt-PT"/>
              </w:rPr>
              <w:t>3</w:t>
            </w:r>
          </w:p>
        </w:tc>
        <w:tc>
          <w:tcPr>
            <w:tcW w:w="3690" w:type="dxa"/>
            <w:tcBorders>
              <w:top w:val="single" w:sz="4" w:space="0" w:color="auto"/>
              <w:left w:val="single" w:sz="4" w:space="0" w:color="auto"/>
              <w:bottom w:val="single" w:sz="4" w:space="0" w:color="auto"/>
              <w:right w:val="single" w:sz="4" w:space="0" w:color="auto"/>
            </w:tcBorders>
          </w:tcPr>
          <w:p w:rsidR="00035880" w:rsidRPr="002E2EB1" w:rsidRDefault="00035880" w:rsidP="00F47FAF">
            <w:pPr>
              <w:tabs>
                <w:tab w:val="left" w:pos="244"/>
              </w:tabs>
              <w:spacing w:before="60" w:after="60" w:line="360" w:lineRule="auto"/>
              <w:rPr>
                <w:rFonts w:cs="Arial"/>
                <w:iCs/>
                <w:sz w:val="20"/>
                <w:szCs w:val="20"/>
                <w:lang w:val="pt-PT"/>
              </w:rPr>
            </w:pPr>
            <w:r w:rsidRPr="002E2EB1">
              <w:rPr>
                <w:rFonts w:cs="Arial"/>
                <w:iCs/>
                <w:sz w:val="20"/>
                <w:szCs w:val="20"/>
                <w:lang w:val="pt-PT"/>
              </w:rPr>
              <w:t>Intoxicação: Definição, Mecanismos e Manejo</w:t>
            </w:r>
          </w:p>
        </w:tc>
        <w:tc>
          <w:tcPr>
            <w:tcW w:w="4140" w:type="dxa"/>
            <w:tcBorders>
              <w:top w:val="single" w:sz="4" w:space="0" w:color="auto"/>
              <w:left w:val="single" w:sz="4" w:space="0" w:color="auto"/>
              <w:bottom w:val="single" w:sz="4" w:space="0" w:color="auto"/>
              <w:right w:val="single" w:sz="4" w:space="0" w:color="auto"/>
            </w:tcBorders>
          </w:tcPr>
          <w:p w:rsidR="00035880" w:rsidRPr="002E2EB1" w:rsidRDefault="00035880" w:rsidP="00F47FAF">
            <w:pPr>
              <w:spacing w:before="60" w:after="60" w:line="360" w:lineRule="auto"/>
              <w:ind w:left="-18" w:firstLine="18"/>
              <w:rPr>
                <w:rFonts w:cs="Arial"/>
                <w:sz w:val="20"/>
                <w:szCs w:val="20"/>
                <w:lang w:val="pt-PT"/>
              </w:rPr>
            </w:pPr>
          </w:p>
          <w:p w:rsidR="00035880" w:rsidRPr="002E2EB1" w:rsidRDefault="00035880" w:rsidP="00F47FAF">
            <w:pPr>
              <w:spacing w:before="60" w:after="60" w:line="360" w:lineRule="auto"/>
              <w:ind w:left="-18" w:firstLine="18"/>
              <w:rPr>
                <w:rFonts w:cs="Arial"/>
                <w:sz w:val="20"/>
                <w:szCs w:val="20"/>
                <w:lang w:val="pt-PT"/>
              </w:rPr>
            </w:pPr>
          </w:p>
        </w:tc>
        <w:tc>
          <w:tcPr>
            <w:tcW w:w="1620" w:type="dxa"/>
            <w:tcBorders>
              <w:top w:val="single" w:sz="4" w:space="0" w:color="auto"/>
              <w:left w:val="single" w:sz="4" w:space="0" w:color="auto"/>
              <w:bottom w:val="single" w:sz="4" w:space="0" w:color="auto"/>
            </w:tcBorders>
          </w:tcPr>
          <w:p w:rsidR="00035880" w:rsidRPr="002E2EB1" w:rsidRDefault="00035880" w:rsidP="00F47FAF">
            <w:pPr>
              <w:spacing w:before="60" w:after="60" w:line="360" w:lineRule="auto"/>
              <w:ind w:left="-18" w:firstLine="18"/>
              <w:jc w:val="right"/>
              <w:rPr>
                <w:rFonts w:cs="Arial"/>
                <w:sz w:val="20"/>
                <w:szCs w:val="20"/>
                <w:lang w:val="pt-PT"/>
              </w:rPr>
            </w:pPr>
          </w:p>
        </w:tc>
      </w:tr>
      <w:tr w:rsidR="00035880" w:rsidRPr="00FC6E81" w:rsidTr="00F47FAF">
        <w:tc>
          <w:tcPr>
            <w:tcW w:w="738" w:type="dxa"/>
            <w:tcBorders>
              <w:top w:val="single" w:sz="4" w:space="0" w:color="auto"/>
              <w:bottom w:val="single" w:sz="4" w:space="0" w:color="auto"/>
              <w:right w:val="single" w:sz="4" w:space="0" w:color="auto"/>
            </w:tcBorders>
            <w:shd w:val="clear" w:color="auto" w:fill="D9D9D9"/>
          </w:tcPr>
          <w:p w:rsidR="00035880" w:rsidRPr="002E2EB1" w:rsidRDefault="00035880" w:rsidP="00F47FAF">
            <w:pPr>
              <w:spacing w:before="60" w:after="60" w:line="360" w:lineRule="auto"/>
              <w:ind w:left="-110" w:right="-108"/>
              <w:jc w:val="center"/>
              <w:rPr>
                <w:rFonts w:cs="Arial"/>
                <w:sz w:val="20"/>
                <w:szCs w:val="20"/>
                <w:lang w:val="pt-PT"/>
              </w:rPr>
            </w:pPr>
            <w:r w:rsidRPr="002E2EB1">
              <w:rPr>
                <w:rFonts w:cs="Arial"/>
                <w:sz w:val="20"/>
                <w:szCs w:val="20"/>
                <w:lang w:val="pt-PT"/>
              </w:rPr>
              <w:t>4</w:t>
            </w:r>
          </w:p>
        </w:tc>
        <w:tc>
          <w:tcPr>
            <w:tcW w:w="3690" w:type="dxa"/>
            <w:tcBorders>
              <w:top w:val="single" w:sz="4" w:space="0" w:color="auto"/>
              <w:left w:val="single" w:sz="4" w:space="0" w:color="auto"/>
              <w:bottom w:val="single" w:sz="4" w:space="0" w:color="auto"/>
              <w:right w:val="single" w:sz="4" w:space="0" w:color="auto"/>
            </w:tcBorders>
            <w:shd w:val="clear" w:color="auto" w:fill="D9D9D9"/>
          </w:tcPr>
          <w:p w:rsidR="00035880" w:rsidRPr="002E2EB1" w:rsidRDefault="00035880" w:rsidP="00F47FAF">
            <w:pPr>
              <w:tabs>
                <w:tab w:val="left" w:pos="244"/>
              </w:tabs>
              <w:spacing w:before="60" w:after="60" w:line="360" w:lineRule="auto"/>
              <w:rPr>
                <w:rFonts w:cs="Arial"/>
                <w:iCs/>
                <w:sz w:val="20"/>
                <w:szCs w:val="20"/>
                <w:lang w:val="pt-PT"/>
              </w:rPr>
            </w:pPr>
            <w:r w:rsidRPr="002E2EB1">
              <w:rPr>
                <w:rFonts w:cs="Arial"/>
                <w:iCs/>
                <w:sz w:val="20"/>
                <w:szCs w:val="20"/>
                <w:lang w:val="pt-PT"/>
              </w:rPr>
              <w:t>Definição e Manejo da Sobredose</w:t>
            </w:r>
          </w:p>
        </w:tc>
        <w:tc>
          <w:tcPr>
            <w:tcW w:w="4140" w:type="dxa"/>
            <w:tcBorders>
              <w:top w:val="single" w:sz="4" w:space="0" w:color="auto"/>
              <w:left w:val="single" w:sz="4" w:space="0" w:color="auto"/>
              <w:bottom w:val="single" w:sz="4" w:space="0" w:color="auto"/>
              <w:right w:val="single" w:sz="4" w:space="0" w:color="auto"/>
            </w:tcBorders>
            <w:shd w:val="clear" w:color="auto" w:fill="D9D9D9"/>
          </w:tcPr>
          <w:p w:rsidR="00035880" w:rsidRPr="002E2EB1" w:rsidRDefault="00035880" w:rsidP="00F47FAF">
            <w:pPr>
              <w:spacing w:before="60" w:after="60" w:line="360" w:lineRule="auto"/>
              <w:ind w:left="-18" w:firstLine="18"/>
              <w:rPr>
                <w:rFonts w:cs="Arial"/>
                <w:sz w:val="20"/>
                <w:szCs w:val="20"/>
                <w:lang w:val="pt-PT"/>
              </w:rPr>
            </w:pPr>
          </w:p>
          <w:p w:rsidR="00035880" w:rsidRPr="002E2EB1" w:rsidRDefault="00035880" w:rsidP="00F47FAF">
            <w:pPr>
              <w:spacing w:before="60" w:after="60" w:line="360" w:lineRule="auto"/>
              <w:ind w:left="-18" w:firstLine="18"/>
              <w:rPr>
                <w:rFonts w:cs="Arial"/>
                <w:sz w:val="20"/>
                <w:szCs w:val="20"/>
                <w:lang w:val="pt-PT"/>
              </w:rPr>
            </w:pPr>
          </w:p>
        </w:tc>
        <w:tc>
          <w:tcPr>
            <w:tcW w:w="1620" w:type="dxa"/>
            <w:tcBorders>
              <w:top w:val="single" w:sz="4" w:space="0" w:color="auto"/>
              <w:left w:val="single" w:sz="4" w:space="0" w:color="auto"/>
              <w:bottom w:val="single" w:sz="4" w:space="0" w:color="auto"/>
            </w:tcBorders>
            <w:shd w:val="clear" w:color="auto" w:fill="D9D9D9"/>
          </w:tcPr>
          <w:p w:rsidR="00035880" w:rsidRPr="002E2EB1" w:rsidRDefault="00035880" w:rsidP="00F47FAF">
            <w:pPr>
              <w:spacing w:before="60" w:after="60" w:line="360" w:lineRule="auto"/>
              <w:ind w:left="-18" w:firstLine="18"/>
              <w:jc w:val="right"/>
              <w:rPr>
                <w:rFonts w:cs="Arial"/>
                <w:sz w:val="20"/>
                <w:szCs w:val="20"/>
                <w:lang w:val="pt-PT"/>
              </w:rPr>
            </w:pPr>
          </w:p>
        </w:tc>
      </w:tr>
      <w:tr w:rsidR="00035880" w:rsidRPr="00FC6E81" w:rsidTr="00F47FAF">
        <w:tc>
          <w:tcPr>
            <w:tcW w:w="738" w:type="dxa"/>
            <w:tcBorders>
              <w:top w:val="single" w:sz="4" w:space="0" w:color="auto"/>
              <w:bottom w:val="single" w:sz="4" w:space="0" w:color="auto"/>
              <w:right w:val="single" w:sz="4" w:space="0" w:color="auto"/>
            </w:tcBorders>
          </w:tcPr>
          <w:p w:rsidR="00035880" w:rsidRPr="002E2EB1" w:rsidRDefault="00035880" w:rsidP="00F47FAF">
            <w:pPr>
              <w:spacing w:before="60" w:after="60" w:line="360" w:lineRule="auto"/>
              <w:ind w:left="-110" w:right="-108"/>
              <w:jc w:val="center"/>
              <w:rPr>
                <w:rFonts w:cs="Arial"/>
                <w:sz w:val="20"/>
                <w:szCs w:val="20"/>
                <w:lang w:val="pt-PT"/>
              </w:rPr>
            </w:pPr>
            <w:r w:rsidRPr="002E2EB1">
              <w:rPr>
                <w:rFonts w:cs="Arial"/>
                <w:sz w:val="20"/>
                <w:szCs w:val="20"/>
                <w:lang w:val="pt-PT"/>
              </w:rPr>
              <w:t>5</w:t>
            </w:r>
          </w:p>
        </w:tc>
        <w:tc>
          <w:tcPr>
            <w:tcW w:w="3690" w:type="dxa"/>
            <w:tcBorders>
              <w:top w:val="single" w:sz="4" w:space="0" w:color="auto"/>
              <w:left w:val="single" w:sz="4" w:space="0" w:color="auto"/>
              <w:bottom w:val="single" w:sz="4" w:space="0" w:color="auto"/>
              <w:right w:val="single" w:sz="4" w:space="0" w:color="auto"/>
            </w:tcBorders>
          </w:tcPr>
          <w:p w:rsidR="00035880" w:rsidRPr="002E2EB1" w:rsidRDefault="00035880" w:rsidP="00F47FAF">
            <w:pPr>
              <w:tabs>
                <w:tab w:val="left" w:pos="244"/>
              </w:tabs>
              <w:spacing w:before="60" w:after="60" w:line="360" w:lineRule="auto"/>
              <w:rPr>
                <w:rFonts w:cs="Arial"/>
                <w:iCs/>
                <w:sz w:val="20"/>
                <w:szCs w:val="20"/>
                <w:lang w:val="pt-PT"/>
              </w:rPr>
            </w:pPr>
            <w:r w:rsidRPr="002E2EB1">
              <w:rPr>
                <w:rFonts w:cs="Arial"/>
                <w:iCs/>
                <w:sz w:val="20"/>
                <w:szCs w:val="20"/>
                <w:lang w:val="pt-PT"/>
              </w:rPr>
              <w:t>Reacções Adversas a Medicamentos: Definição, Classificação e Manejo</w:t>
            </w:r>
          </w:p>
        </w:tc>
        <w:tc>
          <w:tcPr>
            <w:tcW w:w="4140" w:type="dxa"/>
            <w:tcBorders>
              <w:top w:val="single" w:sz="4" w:space="0" w:color="auto"/>
              <w:left w:val="single" w:sz="4" w:space="0" w:color="auto"/>
              <w:bottom w:val="single" w:sz="4" w:space="0" w:color="auto"/>
              <w:right w:val="single" w:sz="4" w:space="0" w:color="auto"/>
            </w:tcBorders>
          </w:tcPr>
          <w:p w:rsidR="00035880" w:rsidRPr="002E2EB1" w:rsidRDefault="00035880" w:rsidP="00F47FAF">
            <w:pPr>
              <w:spacing w:before="60" w:after="60" w:line="360" w:lineRule="auto"/>
              <w:ind w:left="-18" w:firstLine="18"/>
              <w:rPr>
                <w:rFonts w:cs="Arial"/>
                <w:sz w:val="20"/>
                <w:szCs w:val="20"/>
                <w:lang w:val="pt-PT"/>
              </w:rPr>
            </w:pPr>
          </w:p>
          <w:p w:rsidR="00035880" w:rsidRPr="002E2EB1" w:rsidRDefault="00035880" w:rsidP="00F47FAF">
            <w:pPr>
              <w:spacing w:before="60" w:after="60" w:line="360" w:lineRule="auto"/>
              <w:ind w:left="-18" w:firstLine="18"/>
              <w:rPr>
                <w:rFonts w:cs="Arial"/>
                <w:sz w:val="20"/>
                <w:szCs w:val="20"/>
                <w:lang w:val="pt-PT"/>
              </w:rPr>
            </w:pPr>
          </w:p>
        </w:tc>
        <w:tc>
          <w:tcPr>
            <w:tcW w:w="1620" w:type="dxa"/>
            <w:tcBorders>
              <w:top w:val="single" w:sz="4" w:space="0" w:color="auto"/>
              <w:left w:val="single" w:sz="4" w:space="0" w:color="auto"/>
              <w:bottom w:val="single" w:sz="4" w:space="0" w:color="auto"/>
            </w:tcBorders>
          </w:tcPr>
          <w:p w:rsidR="00035880" w:rsidRPr="002E2EB1" w:rsidRDefault="00035880" w:rsidP="00F47FAF">
            <w:pPr>
              <w:spacing w:before="60" w:after="60" w:line="360" w:lineRule="auto"/>
              <w:ind w:left="-18" w:firstLine="18"/>
              <w:jc w:val="right"/>
              <w:rPr>
                <w:rFonts w:cs="Arial"/>
                <w:sz w:val="20"/>
                <w:szCs w:val="20"/>
                <w:lang w:val="pt-PT"/>
              </w:rPr>
            </w:pPr>
          </w:p>
        </w:tc>
      </w:tr>
      <w:tr w:rsidR="00035880" w:rsidRPr="00FC6E81" w:rsidTr="00F47FAF">
        <w:tc>
          <w:tcPr>
            <w:tcW w:w="738" w:type="dxa"/>
            <w:tcBorders>
              <w:top w:val="single" w:sz="4" w:space="0" w:color="auto"/>
              <w:bottom w:val="single" w:sz="4" w:space="0" w:color="auto"/>
              <w:right w:val="single" w:sz="4" w:space="0" w:color="auto"/>
            </w:tcBorders>
            <w:shd w:val="clear" w:color="auto" w:fill="D9D9D9"/>
          </w:tcPr>
          <w:p w:rsidR="00035880" w:rsidRPr="002E2EB1" w:rsidRDefault="00035880" w:rsidP="00F47FAF">
            <w:pPr>
              <w:spacing w:before="60" w:after="60" w:line="360" w:lineRule="auto"/>
              <w:ind w:left="-110" w:right="-108"/>
              <w:jc w:val="center"/>
              <w:rPr>
                <w:rFonts w:cs="Arial"/>
                <w:sz w:val="20"/>
                <w:szCs w:val="20"/>
                <w:lang w:val="pt-PT"/>
              </w:rPr>
            </w:pPr>
            <w:r w:rsidRPr="002E2EB1">
              <w:rPr>
                <w:rFonts w:cs="Arial"/>
                <w:sz w:val="20"/>
                <w:szCs w:val="20"/>
                <w:lang w:val="pt-PT"/>
              </w:rPr>
              <w:t>6</w:t>
            </w:r>
          </w:p>
        </w:tc>
        <w:tc>
          <w:tcPr>
            <w:tcW w:w="3690" w:type="dxa"/>
            <w:tcBorders>
              <w:top w:val="single" w:sz="4" w:space="0" w:color="auto"/>
              <w:left w:val="single" w:sz="4" w:space="0" w:color="auto"/>
              <w:bottom w:val="single" w:sz="4" w:space="0" w:color="auto"/>
              <w:right w:val="single" w:sz="4" w:space="0" w:color="auto"/>
            </w:tcBorders>
            <w:shd w:val="clear" w:color="auto" w:fill="D9D9D9"/>
          </w:tcPr>
          <w:p w:rsidR="00035880" w:rsidRPr="002E2EB1" w:rsidRDefault="00035880" w:rsidP="00F47FAF">
            <w:pPr>
              <w:tabs>
                <w:tab w:val="left" w:pos="244"/>
              </w:tabs>
              <w:spacing w:before="60" w:after="60" w:line="360" w:lineRule="auto"/>
              <w:rPr>
                <w:rFonts w:cs="Arial"/>
                <w:iCs/>
                <w:sz w:val="20"/>
                <w:szCs w:val="20"/>
                <w:lang w:val="pt-PT"/>
              </w:rPr>
            </w:pPr>
            <w:r w:rsidRPr="002E2EB1">
              <w:rPr>
                <w:rFonts w:cs="Arial"/>
                <w:iCs/>
                <w:sz w:val="20"/>
                <w:szCs w:val="20"/>
                <w:lang w:val="pt-PT"/>
              </w:rPr>
              <w:t>Picadas e Mordeduras de Animais: Classificação e Manejo</w:t>
            </w:r>
          </w:p>
        </w:tc>
        <w:tc>
          <w:tcPr>
            <w:tcW w:w="4140" w:type="dxa"/>
            <w:tcBorders>
              <w:top w:val="single" w:sz="4" w:space="0" w:color="auto"/>
              <w:left w:val="single" w:sz="4" w:space="0" w:color="auto"/>
              <w:bottom w:val="single" w:sz="4" w:space="0" w:color="auto"/>
              <w:right w:val="single" w:sz="4" w:space="0" w:color="auto"/>
            </w:tcBorders>
            <w:shd w:val="clear" w:color="auto" w:fill="D9D9D9"/>
          </w:tcPr>
          <w:p w:rsidR="00035880" w:rsidRPr="002E2EB1" w:rsidRDefault="00035880" w:rsidP="00F47FAF">
            <w:pPr>
              <w:spacing w:before="60" w:after="60" w:line="360" w:lineRule="auto"/>
              <w:ind w:left="-18" w:firstLine="18"/>
              <w:rPr>
                <w:rFonts w:cs="Arial"/>
                <w:sz w:val="20"/>
                <w:szCs w:val="20"/>
                <w:lang w:val="pt-PT"/>
              </w:rPr>
            </w:pPr>
          </w:p>
          <w:p w:rsidR="00035880" w:rsidRPr="002E2EB1" w:rsidRDefault="00035880" w:rsidP="00F47FAF">
            <w:pPr>
              <w:spacing w:before="60" w:after="60" w:line="360" w:lineRule="auto"/>
              <w:ind w:left="-18" w:firstLine="18"/>
              <w:rPr>
                <w:rFonts w:cs="Arial"/>
                <w:sz w:val="20"/>
                <w:szCs w:val="20"/>
                <w:lang w:val="pt-PT"/>
              </w:rPr>
            </w:pPr>
          </w:p>
        </w:tc>
        <w:tc>
          <w:tcPr>
            <w:tcW w:w="1620" w:type="dxa"/>
            <w:tcBorders>
              <w:top w:val="single" w:sz="4" w:space="0" w:color="auto"/>
              <w:left w:val="single" w:sz="4" w:space="0" w:color="auto"/>
              <w:bottom w:val="single" w:sz="4" w:space="0" w:color="auto"/>
            </w:tcBorders>
            <w:shd w:val="clear" w:color="auto" w:fill="D9D9D9"/>
          </w:tcPr>
          <w:p w:rsidR="00035880" w:rsidRPr="002E2EB1" w:rsidRDefault="00035880" w:rsidP="00F47FAF">
            <w:pPr>
              <w:spacing w:before="60" w:after="60" w:line="360" w:lineRule="auto"/>
              <w:ind w:left="-18" w:firstLine="18"/>
              <w:jc w:val="right"/>
              <w:rPr>
                <w:rFonts w:cs="Arial"/>
                <w:sz w:val="20"/>
                <w:szCs w:val="20"/>
                <w:lang w:val="pt-PT"/>
              </w:rPr>
            </w:pPr>
          </w:p>
        </w:tc>
      </w:tr>
      <w:tr w:rsidR="00035880" w:rsidRPr="002E2EB1" w:rsidTr="00F47FAF">
        <w:tc>
          <w:tcPr>
            <w:tcW w:w="738" w:type="dxa"/>
            <w:tcBorders>
              <w:top w:val="single" w:sz="4" w:space="0" w:color="auto"/>
              <w:bottom w:val="single" w:sz="4" w:space="0" w:color="auto"/>
              <w:right w:val="single" w:sz="4" w:space="0" w:color="auto"/>
            </w:tcBorders>
            <w:shd w:val="clear" w:color="auto" w:fill="auto"/>
          </w:tcPr>
          <w:p w:rsidR="00035880" w:rsidRPr="002E2EB1" w:rsidRDefault="00035880" w:rsidP="00F47FAF">
            <w:pPr>
              <w:spacing w:before="60" w:after="60" w:line="360" w:lineRule="auto"/>
              <w:ind w:left="-110" w:right="-108"/>
              <w:jc w:val="center"/>
              <w:rPr>
                <w:rFonts w:cs="Arial"/>
                <w:sz w:val="20"/>
                <w:szCs w:val="20"/>
                <w:lang w:val="pt-PT"/>
              </w:rPr>
            </w:pPr>
            <w:r w:rsidRPr="002E2EB1">
              <w:rPr>
                <w:rFonts w:cs="Arial"/>
                <w:sz w:val="20"/>
                <w:szCs w:val="20"/>
                <w:lang w:val="pt-PT"/>
              </w:rPr>
              <w:t>7</w:t>
            </w:r>
          </w:p>
        </w:tc>
        <w:tc>
          <w:tcPr>
            <w:tcW w:w="3690" w:type="dxa"/>
            <w:tcBorders>
              <w:top w:val="single" w:sz="4" w:space="0" w:color="auto"/>
              <w:left w:val="single" w:sz="4" w:space="0" w:color="auto"/>
              <w:bottom w:val="single" w:sz="4" w:space="0" w:color="auto"/>
              <w:right w:val="single" w:sz="4" w:space="0" w:color="auto"/>
            </w:tcBorders>
            <w:shd w:val="clear" w:color="auto" w:fill="auto"/>
          </w:tcPr>
          <w:p w:rsidR="00035880" w:rsidRPr="002E2EB1" w:rsidRDefault="00035880" w:rsidP="00F47FAF">
            <w:pPr>
              <w:tabs>
                <w:tab w:val="left" w:pos="244"/>
              </w:tabs>
              <w:spacing w:before="60" w:after="60" w:line="360" w:lineRule="auto"/>
              <w:rPr>
                <w:rFonts w:cs="Arial"/>
                <w:iCs/>
                <w:sz w:val="20"/>
                <w:szCs w:val="20"/>
                <w:lang w:val="pt-PT"/>
              </w:rPr>
            </w:pPr>
            <w:r w:rsidRPr="002E2EB1">
              <w:rPr>
                <w:rFonts w:cs="Arial"/>
                <w:iCs/>
                <w:sz w:val="20"/>
                <w:szCs w:val="20"/>
                <w:lang w:val="pt-PT"/>
              </w:rPr>
              <w:t>Antídotos</w:t>
            </w:r>
          </w:p>
        </w:tc>
        <w:tc>
          <w:tcPr>
            <w:tcW w:w="4140" w:type="dxa"/>
            <w:tcBorders>
              <w:top w:val="single" w:sz="4" w:space="0" w:color="auto"/>
              <w:left w:val="single" w:sz="4" w:space="0" w:color="auto"/>
              <w:bottom w:val="single" w:sz="4" w:space="0" w:color="auto"/>
              <w:right w:val="single" w:sz="4" w:space="0" w:color="auto"/>
            </w:tcBorders>
            <w:shd w:val="clear" w:color="auto" w:fill="auto"/>
          </w:tcPr>
          <w:p w:rsidR="00035880" w:rsidRPr="002E2EB1" w:rsidRDefault="00035880" w:rsidP="00F47FAF">
            <w:pPr>
              <w:spacing w:before="60" w:after="60" w:line="360" w:lineRule="auto"/>
              <w:ind w:left="-18" w:firstLine="18"/>
              <w:rPr>
                <w:rFonts w:cs="Arial"/>
                <w:sz w:val="20"/>
                <w:szCs w:val="20"/>
                <w:lang w:val="pt-PT"/>
              </w:rPr>
            </w:pPr>
          </w:p>
          <w:p w:rsidR="00035880" w:rsidRPr="002E2EB1" w:rsidRDefault="00035880" w:rsidP="00F47FAF">
            <w:pPr>
              <w:spacing w:before="60" w:after="60" w:line="360" w:lineRule="auto"/>
              <w:ind w:left="-18" w:firstLine="18"/>
              <w:rPr>
                <w:rFonts w:cs="Arial"/>
                <w:sz w:val="20"/>
                <w:szCs w:val="20"/>
                <w:lang w:val="pt-PT"/>
              </w:rPr>
            </w:pPr>
          </w:p>
        </w:tc>
        <w:tc>
          <w:tcPr>
            <w:tcW w:w="1620" w:type="dxa"/>
            <w:tcBorders>
              <w:top w:val="single" w:sz="4" w:space="0" w:color="auto"/>
              <w:left w:val="single" w:sz="4" w:space="0" w:color="auto"/>
              <w:bottom w:val="single" w:sz="4" w:space="0" w:color="auto"/>
            </w:tcBorders>
            <w:shd w:val="clear" w:color="auto" w:fill="auto"/>
          </w:tcPr>
          <w:p w:rsidR="00035880" w:rsidRPr="002E2EB1" w:rsidRDefault="00035880" w:rsidP="00F47FAF">
            <w:pPr>
              <w:spacing w:before="60" w:after="60" w:line="360" w:lineRule="auto"/>
              <w:ind w:left="-18" w:firstLine="18"/>
              <w:jc w:val="right"/>
              <w:rPr>
                <w:rFonts w:cs="Arial"/>
                <w:sz w:val="20"/>
                <w:szCs w:val="20"/>
                <w:lang w:val="pt-PT"/>
              </w:rPr>
            </w:pPr>
          </w:p>
        </w:tc>
      </w:tr>
      <w:tr w:rsidR="00035880" w:rsidRPr="002E2EB1" w:rsidTr="00F47FAF">
        <w:tc>
          <w:tcPr>
            <w:tcW w:w="738" w:type="dxa"/>
            <w:tcBorders>
              <w:top w:val="single" w:sz="4" w:space="0" w:color="auto"/>
              <w:bottom w:val="single" w:sz="18" w:space="0" w:color="auto"/>
              <w:right w:val="single" w:sz="4" w:space="0" w:color="auto"/>
            </w:tcBorders>
            <w:shd w:val="clear" w:color="auto" w:fill="D9D9D9"/>
          </w:tcPr>
          <w:p w:rsidR="00035880" w:rsidRPr="002E2EB1" w:rsidRDefault="00035880" w:rsidP="00F47FAF">
            <w:pPr>
              <w:spacing w:before="60" w:after="60" w:line="360" w:lineRule="auto"/>
              <w:ind w:left="-110" w:right="-108"/>
              <w:jc w:val="center"/>
              <w:rPr>
                <w:rFonts w:cs="Arial"/>
                <w:sz w:val="20"/>
                <w:szCs w:val="20"/>
                <w:lang w:val="pt-PT"/>
              </w:rPr>
            </w:pPr>
            <w:r w:rsidRPr="002E2EB1">
              <w:rPr>
                <w:rFonts w:cs="Arial"/>
                <w:sz w:val="20"/>
                <w:szCs w:val="20"/>
                <w:lang w:val="pt-PT"/>
              </w:rPr>
              <w:t>8</w:t>
            </w:r>
          </w:p>
        </w:tc>
        <w:tc>
          <w:tcPr>
            <w:tcW w:w="3690" w:type="dxa"/>
            <w:tcBorders>
              <w:top w:val="single" w:sz="4" w:space="0" w:color="auto"/>
              <w:left w:val="single" w:sz="4" w:space="0" w:color="auto"/>
              <w:bottom w:val="single" w:sz="18" w:space="0" w:color="auto"/>
              <w:right w:val="single" w:sz="4" w:space="0" w:color="auto"/>
            </w:tcBorders>
            <w:shd w:val="clear" w:color="auto" w:fill="D9D9D9"/>
          </w:tcPr>
          <w:p w:rsidR="00035880" w:rsidRPr="002E2EB1" w:rsidRDefault="00035880" w:rsidP="00F47FAF">
            <w:pPr>
              <w:tabs>
                <w:tab w:val="left" w:pos="244"/>
              </w:tabs>
              <w:spacing w:before="60" w:after="60" w:line="360" w:lineRule="auto"/>
              <w:rPr>
                <w:rFonts w:cs="Arial"/>
                <w:iCs/>
                <w:sz w:val="20"/>
                <w:szCs w:val="20"/>
                <w:lang w:val="pt-PT"/>
              </w:rPr>
            </w:pPr>
            <w:r w:rsidRPr="002E2EB1">
              <w:rPr>
                <w:rFonts w:cs="Arial"/>
                <w:iCs/>
                <w:sz w:val="20"/>
                <w:szCs w:val="20"/>
                <w:lang w:val="pt-PT"/>
              </w:rPr>
              <w:t>Pontos-chave</w:t>
            </w:r>
          </w:p>
        </w:tc>
        <w:tc>
          <w:tcPr>
            <w:tcW w:w="4140" w:type="dxa"/>
            <w:tcBorders>
              <w:top w:val="single" w:sz="4" w:space="0" w:color="auto"/>
              <w:left w:val="single" w:sz="4" w:space="0" w:color="auto"/>
              <w:bottom w:val="single" w:sz="18" w:space="0" w:color="auto"/>
              <w:right w:val="single" w:sz="4" w:space="0" w:color="auto"/>
            </w:tcBorders>
            <w:shd w:val="clear" w:color="auto" w:fill="D9D9D9"/>
          </w:tcPr>
          <w:p w:rsidR="00035880" w:rsidRPr="002E2EB1" w:rsidRDefault="00035880" w:rsidP="00F47FAF">
            <w:pPr>
              <w:spacing w:before="60" w:after="60" w:line="360" w:lineRule="auto"/>
              <w:ind w:left="-18" w:firstLine="18"/>
              <w:rPr>
                <w:rFonts w:cs="Arial"/>
                <w:sz w:val="20"/>
                <w:szCs w:val="20"/>
                <w:lang w:val="pt-PT"/>
              </w:rPr>
            </w:pPr>
          </w:p>
          <w:p w:rsidR="00035880" w:rsidRPr="002E2EB1" w:rsidRDefault="00035880" w:rsidP="00F47FAF">
            <w:pPr>
              <w:spacing w:before="60" w:after="60" w:line="360" w:lineRule="auto"/>
              <w:ind w:left="-18" w:firstLine="18"/>
              <w:rPr>
                <w:rFonts w:cs="Arial"/>
                <w:sz w:val="20"/>
                <w:szCs w:val="20"/>
                <w:lang w:val="pt-PT"/>
              </w:rPr>
            </w:pPr>
          </w:p>
        </w:tc>
        <w:tc>
          <w:tcPr>
            <w:tcW w:w="1620" w:type="dxa"/>
            <w:tcBorders>
              <w:top w:val="single" w:sz="4" w:space="0" w:color="auto"/>
              <w:left w:val="single" w:sz="4" w:space="0" w:color="auto"/>
              <w:bottom w:val="single" w:sz="18" w:space="0" w:color="auto"/>
            </w:tcBorders>
            <w:shd w:val="clear" w:color="auto" w:fill="D9D9D9"/>
          </w:tcPr>
          <w:p w:rsidR="00035880" w:rsidRPr="002E2EB1" w:rsidRDefault="00035880" w:rsidP="00F47FAF">
            <w:pPr>
              <w:spacing w:before="60" w:after="60" w:line="360" w:lineRule="auto"/>
              <w:ind w:left="-18" w:firstLine="18"/>
              <w:jc w:val="right"/>
              <w:rPr>
                <w:rFonts w:cs="Arial"/>
                <w:sz w:val="20"/>
                <w:szCs w:val="20"/>
                <w:lang w:val="pt-PT"/>
              </w:rPr>
            </w:pPr>
          </w:p>
        </w:tc>
      </w:tr>
    </w:tbl>
    <w:p w:rsidR="005F3F7B" w:rsidRDefault="005F3F7B" w:rsidP="00035880">
      <w:pPr>
        <w:tabs>
          <w:tab w:val="left" w:pos="424"/>
        </w:tabs>
        <w:spacing w:before="60"/>
        <w:jc w:val="both"/>
        <w:rPr>
          <w:rFonts w:cs="Arial"/>
          <w:b/>
          <w:lang w:val="pt-PT"/>
        </w:rPr>
      </w:pPr>
    </w:p>
    <w:p w:rsidR="00F957A0" w:rsidRDefault="00F957A0" w:rsidP="00035880">
      <w:pPr>
        <w:tabs>
          <w:tab w:val="left" w:pos="424"/>
        </w:tabs>
        <w:spacing w:before="60"/>
        <w:jc w:val="both"/>
        <w:rPr>
          <w:rFonts w:cs="Arial"/>
          <w:b/>
          <w:lang w:val="pt-PT"/>
        </w:rPr>
      </w:pPr>
    </w:p>
    <w:p w:rsidR="00F957A0" w:rsidRDefault="00F957A0" w:rsidP="00035880">
      <w:pPr>
        <w:tabs>
          <w:tab w:val="left" w:pos="424"/>
        </w:tabs>
        <w:spacing w:before="60"/>
        <w:jc w:val="both"/>
        <w:rPr>
          <w:rFonts w:cs="Arial"/>
          <w:b/>
          <w:lang w:val="pt-PT"/>
        </w:rPr>
      </w:pPr>
    </w:p>
    <w:p w:rsidR="00035880" w:rsidRPr="002E2EB1" w:rsidRDefault="00035880" w:rsidP="00035880">
      <w:pPr>
        <w:tabs>
          <w:tab w:val="left" w:pos="424"/>
        </w:tabs>
        <w:spacing w:before="60"/>
        <w:jc w:val="both"/>
        <w:rPr>
          <w:rFonts w:cs="Arial"/>
          <w:b/>
          <w:lang w:val="pt-PT"/>
        </w:rPr>
      </w:pPr>
      <w:r w:rsidRPr="002E2EB1">
        <w:rPr>
          <w:rFonts w:cs="Arial"/>
          <w:b/>
          <w:lang w:val="pt-PT"/>
        </w:rPr>
        <w:lastRenderedPageBreak/>
        <w:t>Equipamentos e meios audiovisuais necessários:</w:t>
      </w:r>
    </w:p>
    <w:p w:rsidR="00035880" w:rsidRPr="002E2EB1" w:rsidRDefault="00035880" w:rsidP="00035880">
      <w:pPr>
        <w:tabs>
          <w:tab w:val="left" w:pos="424"/>
        </w:tabs>
        <w:jc w:val="both"/>
        <w:rPr>
          <w:rFonts w:cs="Arial"/>
          <w:lang w:val="pt-PT"/>
        </w:rPr>
      </w:pPr>
    </w:p>
    <w:p w:rsidR="005F3F7B" w:rsidRDefault="005F3F7B" w:rsidP="00035880">
      <w:pPr>
        <w:tabs>
          <w:tab w:val="left" w:pos="424"/>
        </w:tabs>
        <w:jc w:val="both"/>
        <w:rPr>
          <w:rFonts w:cs="Arial"/>
          <w:b/>
          <w:lang w:val="pt-PT"/>
        </w:rPr>
      </w:pPr>
    </w:p>
    <w:p w:rsidR="005F3F7B" w:rsidRDefault="005F3F7B" w:rsidP="00035880">
      <w:pPr>
        <w:tabs>
          <w:tab w:val="left" w:pos="424"/>
        </w:tabs>
        <w:jc w:val="both"/>
        <w:rPr>
          <w:rFonts w:cs="Arial"/>
          <w:b/>
          <w:lang w:val="pt-PT"/>
        </w:rPr>
      </w:pPr>
    </w:p>
    <w:p w:rsidR="00F957A0" w:rsidRDefault="00F957A0" w:rsidP="00035880">
      <w:pPr>
        <w:tabs>
          <w:tab w:val="left" w:pos="424"/>
        </w:tabs>
        <w:jc w:val="both"/>
        <w:rPr>
          <w:rFonts w:cs="Arial"/>
          <w:b/>
          <w:lang w:val="pt-PT"/>
        </w:rPr>
      </w:pPr>
    </w:p>
    <w:p w:rsidR="00F957A0" w:rsidRDefault="00F957A0" w:rsidP="00035880">
      <w:pPr>
        <w:tabs>
          <w:tab w:val="left" w:pos="424"/>
        </w:tabs>
        <w:jc w:val="both"/>
        <w:rPr>
          <w:rFonts w:cs="Arial"/>
          <w:b/>
          <w:lang w:val="pt-PT"/>
        </w:rPr>
      </w:pPr>
    </w:p>
    <w:p w:rsidR="00F957A0" w:rsidRDefault="00F957A0" w:rsidP="00035880">
      <w:pPr>
        <w:tabs>
          <w:tab w:val="left" w:pos="424"/>
        </w:tabs>
        <w:jc w:val="both"/>
        <w:rPr>
          <w:rFonts w:cs="Arial"/>
          <w:b/>
          <w:lang w:val="pt-PT"/>
        </w:rPr>
      </w:pPr>
    </w:p>
    <w:p w:rsidR="00F957A0" w:rsidRDefault="00F957A0" w:rsidP="00035880">
      <w:pPr>
        <w:tabs>
          <w:tab w:val="left" w:pos="424"/>
        </w:tabs>
        <w:jc w:val="both"/>
        <w:rPr>
          <w:rFonts w:cs="Arial"/>
          <w:b/>
          <w:lang w:val="pt-PT"/>
        </w:rPr>
      </w:pPr>
    </w:p>
    <w:p w:rsidR="005F3F7B" w:rsidRDefault="005F3F7B" w:rsidP="00035880">
      <w:pPr>
        <w:tabs>
          <w:tab w:val="left" w:pos="424"/>
        </w:tabs>
        <w:jc w:val="both"/>
        <w:rPr>
          <w:rFonts w:cs="Arial"/>
          <w:b/>
          <w:lang w:val="pt-PT"/>
        </w:rPr>
      </w:pPr>
    </w:p>
    <w:p w:rsidR="00035880" w:rsidRPr="002E2EB1" w:rsidRDefault="00035880" w:rsidP="00035880">
      <w:pPr>
        <w:tabs>
          <w:tab w:val="left" w:pos="424"/>
        </w:tabs>
        <w:jc w:val="both"/>
        <w:rPr>
          <w:rFonts w:cs="Arial"/>
          <w:lang w:val="pt-PT"/>
        </w:rPr>
      </w:pPr>
      <w:r w:rsidRPr="002E2EB1">
        <w:rPr>
          <w:rFonts w:cs="Arial"/>
          <w:b/>
          <w:lang w:val="pt-PT"/>
        </w:rPr>
        <w:t>Trabalhos para casa (TPC), exercícios e textos para leitura – incluir data a ser entregue:</w:t>
      </w:r>
      <w:r w:rsidRPr="002E2EB1">
        <w:rPr>
          <w:rFonts w:cs="Arial"/>
          <w:lang w:val="pt-PT"/>
        </w:rPr>
        <w:t xml:space="preserve"> </w:t>
      </w:r>
    </w:p>
    <w:p w:rsidR="00035880" w:rsidRPr="002E2EB1" w:rsidRDefault="00035880" w:rsidP="00035880">
      <w:pPr>
        <w:tabs>
          <w:tab w:val="left" w:pos="424"/>
        </w:tabs>
        <w:jc w:val="both"/>
        <w:rPr>
          <w:rFonts w:cs="Arial"/>
          <w:lang w:val="pt-PT"/>
        </w:rPr>
      </w:pPr>
    </w:p>
    <w:p w:rsidR="00035880" w:rsidRDefault="00035880" w:rsidP="00035880">
      <w:pPr>
        <w:tabs>
          <w:tab w:val="left" w:pos="424"/>
        </w:tabs>
        <w:jc w:val="both"/>
        <w:rPr>
          <w:rFonts w:cs="Arial"/>
          <w:lang w:val="pt-PT"/>
        </w:rPr>
      </w:pPr>
    </w:p>
    <w:p w:rsidR="00035880" w:rsidRDefault="00035880" w:rsidP="00035880">
      <w:pPr>
        <w:tabs>
          <w:tab w:val="left" w:pos="424"/>
        </w:tabs>
        <w:jc w:val="both"/>
        <w:rPr>
          <w:rFonts w:cs="Arial"/>
          <w:lang w:val="pt-PT"/>
        </w:rPr>
      </w:pPr>
    </w:p>
    <w:p w:rsidR="00035880" w:rsidRDefault="00035880" w:rsidP="00035880">
      <w:pPr>
        <w:tabs>
          <w:tab w:val="left" w:pos="424"/>
        </w:tabs>
        <w:jc w:val="both"/>
        <w:rPr>
          <w:rFonts w:cs="Arial"/>
          <w:lang w:val="pt-PT"/>
        </w:rPr>
      </w:pPr>
    </w:p>
    <w:p w:rsidR="00035880" w:rsidRPr="002E2EB1" w:rsidRDefault="00035880" w:rsidP="00035880">
      <w:pPr>
        <w:tabs>
          <w:tab w:val="left" w:pos="424"/>
        </w:tabs>
        <w:jc w:val="both"/>
        <w:rPr>
          <w:rFonts w:cs="Arial"/>
          <w:lang w:val="pt-PT"/>
        </w:rPr>
      </w:pPr>
    </w:p>
    <w:p w:rsidR="00035880" w:rsidRPr="002E2EB1" w:rsidRDefault="00035880" w:rsidP="00035880">
      <w:pPr>
        <w:tabs>
          <w:tab w:val="left" w:pos="424"/>
        </w:tabs>
        <w:jc w:val="both"/>
        <w:rPr>
          <w:rFonts w:cs="Arial"/>
          <w:lang w:val="pt-PT"/>
        </w:rPr>
      </w:pPr>
    </w:p>
    <w:p w:rsidR="00035880" w:rsidRDefault="00035880" w:rsidP="00035880">
      <w:pPr>
        <w:tabs>
          <w:tab w:val="left" w:pos="424"/>
        </w:tabs>
        <w:jc w:val="both"/>
        <w:rPr>
          <w:rFonts w:cs="Arial"/>
          <w:lang w:val="pt-PT"/>
        </w:rPr>
      </w:pPr>
    </w:p>
    <w:p w:rsidR="005F3F7B" w:rsidRDefault="005F3F7B" w:rsidP="00035880">
      <w:pPr>
        <w:tabs>
          <w:tab w:val="left" w:pos="424"/>
        </w:tabs>
        <w:jc w:val="both"/>
        <w:rPr>
          <w:rFonts w:cs="Arial"/>
          <w:lang w:val="pt-PT"/>
        </w:rPr>
      </w:pPr>
    </w:p>
    <w:p w:rsidR="00F957A0" w:rsidRDefault="00F957A0" w:rsidP="00035880">
      <w:pPr>
        <w:tabs>
          <w:tab w:val="left" w:pos="424"/>
        </w:tabs>
        <w:jc w:val="both"/>
        <w:rPr>
          <w:rFonts w:cs="Arial"/>
          <w:lang w:val="pt-PT"/>
        </w:rPr>
      </w:pPr>
    </w:p>
    <w:p w:rsidR="00F957A0" w:rsidRDefault="00F957A0" w:rsidP="00035880">
      <w:pPr>
        <w:tabs>
          <w:tab w:val="left" w:pos="424"/>
        </w:tabs>
        <w:jc w:val="both"/>
        <w:rPr>
          <w:rFonts w:cs="Arial"/>
          <w:lang w:val="pt-PT"/>
        </w:rPr>
      </w:pPr>
    </w:p>
    <w:p w:rsidR="00F957A0" w:rsidRDefault="00F957A0" w:rsidP="00035880">
      <w:pPr>
        <w:tabs>
          <w:tab w:val="left" w:pos="424"/>
        </w:tabs>
        <w:jc w:val="both"/>
        <w:rPr>
          <w:rFonts w:cs="Arial"/>
          <w:lang w:val="pt-PT"/>
        </w:rPr>
      </w:pPr>
    </w:p>
    <w:p w:rsidR="005F3F7B" w:rsidRPr="002E2EB1" w:rsidRDefault="005F3F7B" w:rsidP="00035880">
      <w:pPr>
        <w:tabs>
          <w:tab w:val="left" w:pos="424"/>
        </w:tabs>
        <w:jc w:val="both"/>
        <w:rPr>
          <w:rFonts w:cs="Arial"/>
          <w:lang w:val="pt-PT"/>
        </w:rPr>
      </w:pPr>
    </w:p>
    <w:p w:rsidR="00035880" w:rsidRPr="00927EAF" w:rsidRDefault="00035880" w:rsidP="00927EAF">
      <w:pPr>
        <w:rPr>
          <w:b/>
          <w:lang w:val="pt-PT"/>
        </w:rPr>
      </w:pPr>
      <w:r w:rsidRPr="00927EAF">
        <w:rPr>
          <w:b/>
          <w:sz w:val="24"/>
          <w:szCs w:val="24"/>
          <w:lang w:val="pt-PT"/>
        </w:rPr>
        <w:t>Bibliografia (r</w:t>
      </w:r>
      <w:r w:rsidRPr="00927EAF">
        <w:rPr>
          <w:b/>
          <w:lang w:val="pt-PT"/>
        </w:rPr>
        <w:t>eferências usadas para o desenvolvimento do conteúdo):</w:t>
      </w:r>
    </w:p>
    <w:p w:rsidR="00035880" w:rsidRPr="002E2EB1" w:rsidRDefault="00035880" w:rsidP="00035880">
      <w:pPr>
        <w:rPr>
          <w:lang w:val="pt-PT"/>
        </w:rPr>
      </w:pPr>
      <w:r w:rsidRPr="00035880">
        <w:t xml:space="preserve">Brunton LL, Lazo JS, Parker KL. </w:t>
      </w:r>
      <w:r w:rsidRPr="002E2EB1">
        <w:rPr>
          <w:lang w:val="pt-PT"/>
        </w:rPr>
        <w:t>Goodman e Gilman - As bases farmacológicas da terapêutica. 11 Edição. Brasil: Mcgraw-Hill; 2006.</w:t>
      </w:r>
    </w:p>
    <w:p w:rsidR="00035880" w:rsidRPr="002E2EB1" w:rsidRDefault="00035880" w:rsidP="00035880">
      <w:pPr>
        <w:rPr>
          <w:lang w:val="pt-PT"/>
        </w:rPr>
      </w:pPr>
      <w:r w:rsidRPr="002E2EB1">
        <w:rPr>
          <w:lang w:val="pt-PT"/>
        </w:rPr>
        <w:t>Katzung B. Farmacologia básica e clínica. 9 Edição. Brasil: Guanabara Koogan; 2006.</w:t>
      </w:r>
    </w:p>
    <w:p w:rsidR="00035880" w:rsidRPr="002E2EB1" w:rsidRDefault="00035880" w:rsidP="00035880">
      <w:pPr>
        <w:rPr>
          <w:lang w:val="pt-PT"/>
        </w:rPr>
      </w:pPr>
      <w:r w:rsidRPr="002E2EB1">
        <w:rPr>
          <w:lang w:val="pt-PT"/>
        </w:rPr>
        <w:t>MISAU. Formulário Nacional de Medicamentos. 5ª edição. Maputo. +</w:t>
      </w:r>
    </w:p>
    <w:p w:rsidR="00035880" w:rsidRPr="002E2EB1" w:rsidRDefault="00035880" w:rsidP="00035880">
      <w:pPr>
        <w:rPr>
          <w:lang w:val="pt-PT"/>
        </w:rPr>
      </w:pPr>
      <w:r w:rsidRPr="002E2EB1">
        <w:rPr>
          <w:lang w:val="pt-PT"/>
        </w:rPr>
        <w:t xml:space="preserve">Nelson DL, Cox MM. Princípios de bioquímica do Lehninger. 4 edição. W.H. Freeman; 2004. </w:t>
      </w:r>
    </w:p>
    <w:p w:rsidR="005F3F7B" w:rsidRDefault="005F3F7B">
      <w:pPr>
        <w:rPr>
          <w:lang w:val="pt-PT"/>
        </w:rPr>
      </w:pPr>
      <w:r>
        <w:rPr>
          <w:lang w:val="pt-PT"/>
        </w:rPr>
        <w:br w:type="page"/>
      </w:r>
    </w:p>
    <w:p w:rsidR="00035880" w:rsidRPr="002E2EB1" w:rsidRDefault="005F3F7B" w:rsidP="005F3F7B">
      <w:pPr>
        <w:pStyle w:val="TM-1n"/>
        <w:numPr>
          <w:ilvl w:val="0"/>
          <w:numId w:val="0"/>
        </w:numPr>
        <w:shd w:val="clear" w:color="auto" w:fill="C6D9F1" w:themeFill="text2" w:themeFillTint="33"/>
        <w:tabs>
          <w:tab w:val="clear" w:pos="9072"/>
        </w:tabs>
      </w:pPr>
      <w:r>
        <w:lastRenderedPageBreak/>
        <w:t xml:space="preserve">BLOCO 1: </w:t>
      </w:r>
      <w:r w:rsidR="00035880" w:rsidRPr="002E2EB1">
        <w:t>INTRODUÇÃO A AULA</w:t>
      </w:r>
    </w:p>
    <w:p w:rsidR="00035880" w:rsidRPr="002E2EB1" w:rsidRDefault="00035880" w:rsidP="00C52E09">
      <w:pPr>
        <w:pStyle w:val="TM-2n"/>
        <w:numPr>
          <w:ilvl w:val="1"/>
          <w:numId w:val="270"/>
        </w:numPr>
        <w:spacing w:before="120" w:after="0" w:line="276" w:lineRule="auto"/>
        <w:ind w:left="450" w:hanging="450"/>
      </w:pPr>
      <w:r w:rsidRPr="002E2EB1">
        <w:t>Apresentação do tópico, conteúdos e objectivos de aprendizagem.</w:t>
      </w:r>
    </w:p>
    <w:p w:rsidR="00035880" w:rsidRPr="002E2EB1" w:rsidRDefault="00035880" w:rsidP="00C52E09">
      <w:pPr>
        <w:pStyle w:val="TM-2n"/>
        <w:numPr>
          <w:ilvl w:val="1"/>
          <w:numId w:val="270"/>
        </w:numPr>
        <w:spacing w:before="120" w:after="0" w:line="276" w:lineRule="auto"/>
        <w:ind w:left="446" w:hanging="446"/>
      </w:pPr>
      <w:r w:rsidRPr="002E2EB1">
        <w:t>Apresentação da estrutura da aula.</w:t>
      </w:r>
    </w:p>
    <w:p w:rsidR="00035880" w:rsidRPr="002E2EB1" w:rsidRDefault="00035880" w:rsidP="00C52E09">
      <w:pPr>
        <w:pStyle w:val="TM-2n"/>
        <w:numPr>
          <w:ilvl w:val="1"/>
          <w:numId w:val="270"/>
        </w:numPr>
        <w:spacing w:before="120" w:after="0" w:line="276" w:lineRule="auto"/>
        <w:ind w:left="446" w:hanging="446"/>
      </w:pPr>
      <w:r w:rsidRPr="002E2EB1">
        <w:t xml:space="preserve">Apresentação da bibliografia que o aluno deverá consultar para ampliar </w:t>
      </w:r>
      <w:r>
        <w:t xml:space="preserve">os </w:t>
      </w:r>
      <w:r w:rsidRPr="002E2EB1">
        <w:t>conhecimentos.</w:t>
      </w:r>
    </w:p>
    <w:p w:rsidR="00035880" w:rsidRPr="002E2EB1" w:rsidRDefault="00035880" w:rsidP="00F957A0">
      <w:pPr>
        <w:pStyle w:val="TM-1n"/>
        <w:numPr>
          <w:ilvl w:val="0"/>
          <w:numId w:val="0"/>
        </w:numPr>
        <w:spacing w:before="120" w:after="0"/>
        <w:ind w:left="284" w:hanging="284"/>
      </w:pPr>
    </w:p>
    <w:p w:rsidR="00035880" w:rsidRPr="002E2EB1" w:rsidRDefault="005F3F7B" w:rsidP="005F3F7B">
      <w:pPr>
        <w:pStyle w:val="TM-1n"/>
        <w:numPr>
          <w:ilvl w:val="0"/>
          <w:numId w:val="0"/>
        </w:numPr>
        <w:shd w:val="clear" w:color="auto" w:fill="C6D9F1"/>
        <w:tabs>
          <w:tab w:val="clear" w:pos="9072"/>
          <w:tab w:val="left" w:pos="284"/>
        </w:tabs>
      </w:pPr>
      <w:r>
        <w:t xml:space="preserve">BLOCO 2: </w:t>
      </w:r>
      <w:r w:rsidR="00035880" w:rsidRPr="002E2EB1">
        <w:t>CONCEITOS BÁSICOS DE TOXICOLOGIA</w:t>
      </w:r>
    </w:p>
    <w:p w:rsidR="00035880" w:rsidRPr="002E2EB1" w:rsidRDefault="00035880" w:rsidP="00C52E09">
      <w:pPr>
        <w:pStyle w:val="TM-2n"/>
        <w:numPr>
          <w:ilvl w:val="1"/>
          <w:numId w:val="271"/>
        </w:numPr>
        <w:spacing w:before="120" w:after="0" w:line="276" w:lineRule="auto"/>
        <w:ind w:left="450" w:hanging="450"/>
      </w:pPr>
      <w:r w:rsidRPr="002E2EB1">
        <w:t>A t</w:t>
      </w:r>
      <w:r w:rsidRPr="002E2EB1">
        <w:rPr>
          <w:b/>
        </w:rPr>
        <w:t>oxicologia</w:t>
      </w:r>
      <w:r w:rsidRPr="002E2EB1">
        <w:t xml:space="preserve"> é a parte da farmacologia que analisa os efeitos adversos das substâncias químicas no organismo. Assim, estuda os mecanismos de acção dos tóxicos, seu diagnóstico, prevenção e tratamento das intoxicações.</w:t>
      </w:r>
    </w:p>
    <w:p w:rsidR="00035880" w:rsidRPr="002E2EB1" w:rsidRDefault="00035880" w:rsidP="00C52E09">
      <w:pPr>
        <w:pStyle w:val="TM-2n"/>
        <w:numPr>
          <w:ilvl w:val="1"/>
          <w:numId w:val="271"/>
        </w:numPr>
        <w:spacing w:before="120" w:after="0" w:line="276" w:lineRule="auto"/>
        <w:ind w:left="450" w:hanging="464"/>
      </w:pPr>
      <w:r w:rsidRPr="002E2EB1">
        <w:t xml:space="preserve">Os </w:t>
      </w:r>
      <w:r w:rsidRPr="002E2EB1">
        <w:rPr>
          <w:b/>
        </w:rPr>
        <w:t>tóxicos</w:t>
      </w:r>
      <w:r w:rsidRPr="002E2EB1">
        <w:t xml:space="preserve"> são substâncias capazes de produzir no organismo, lesões estruturais ou funcionais, e até provocar a morte.</w:t>
      </w:r>
    </w:p>
    <w:p w:rsidR="00035880" w:rsidRPr="002E2EB1" w:rsidRDefault="00035880" w:rsidP="00C52E09">
      <w:pPr>
        <w:pStyle w:val="TM-2n"/>
        <w:numPr>
          <w:ilvl w:val="1"/>
          <w:numId w:val="271"/>
        </w:numPr>
        <w:spacing w:before="120" w:after="0" w:line="276" w:lineRule="auto"/>
        <w:ind w:left="450" w:hanging="464"/>
      </w:pPr>
      <w:r w:rsidRPr="002E2EB1">
        <w:t>Praticamente, quase todas a substâncias têm capacidade tóxica quando estão presentes no organismo em quantidade suficiente. Até água pode ser tóxica para o organismo quando presente em excesso (hiperhidratação).</w:t>
      </w:r>
    </w:p>
    <w:p w:rsidR="00035880" w:rsidRPr="002E2EB1" w:rsidRDefault="00035880" w:rsidP="00C52E09">
      <w:pPr>
        <w:pStyle w:val="TM-2n"/>
        <w:numPr>
          <w:ilvl w:val="1"/>
          <w:numId w:val="271"/>
        </w:numPr>
        <w:spacing w:before="120" w:after="0" w:line="276" w:lineRule="auto"/>
        <w:ind w:left="450" w:hanging="464"/>
      </w:pPr>
      <w:r w:rsidRPr="002E2EB1">
        <w:t>Portanto, diz-se que a dose de uma substância é a que determina a sua possível toxicidade. A dose letal duma substância é aquela cuja administração provoca a morte.</w:t>
      </w:r>
    </w:p>
    <w:p w:rsidR="00035880" w:rsidRPr="002E2EB1" w:rsidRDefault="00035880" w:rsidP="00C52E09">
      <w:pPr>
        <w:pStyle w:val="TM-2n"/>
        <w:numPr>
          <w:ilvl w:val="1"/>
          <w:numId w:val="271"/>
        </w:numPr>
        <w:spacing w:before="120" w:after="0" w:line="276" w:lineRule="auto"/>
        <w:ind w:left="450" w:hanging="464"/>
      </w:pPr>
      <w:r w:rsidRPr="002E2EB1">
        <w:t>Considerando a sua origem, os tóxicos podem ser agrupados em quatro grandes categorias:</w:t>
      </w:r>
    </w:p>
    <w:p w:rsidR="00035880" w:rsidRPr="002E2EB1" w:rsidRDefault="00035880" w:rsidP="00C52E09">
      <w:pPr>
        <w:pStyle w:val="TM-3n"/>
        <w:numPr>
          <w:ilvl w:val="2"/>
          <w:numId w:val="271"/>
        </w:numPr>
        <w:tabs>
          <w:tab w:val="clear" w:pos="1276"/>
        </w:tabs>
        <w:spacing w:before="120" w:after="0" w:line="276" w:lineRule="auto"/>
        <w:ind w:left="1080" w:hanging="630"/>
      </w:pPr>
      <w:r w:rsidRPr="002E2EB1">
        <w:t>Tóxicos animais, por exemplo, o veneno de alguns insectos e cobras.</w:t>
      </w:r>
    </w:p>
    <w:p w:rsidR="00035880" w:rsidRPr="002E2EB1" w:rsidRDefault="00035880" w:rsidP="00C52E09">
      <w:pPr>
        <w:pStyle w:val="TM-3n"/>
        <w:numPr>
          <w:ilvl w:val="2"/>
          <w:numId w:val="271"/>
        </w:numPr>
        <w:tabs>
          <w:tab w:val="clear" w:pos="1276"/>
        </w:tabs>
        <w:spacing w:before="120" w:after="0" w:line="276" w:lineRule="auto"/>
        <w:ind w:left="1080" w:hanging="630"/>
      </w:pPr>
      <w:r w:rsidRPr="002E2EB1">
        <w:t>Tóxicos vegetais, como o cannabis</w:t>
      </w:r>
      <w:r>
        <w:t xml:space="preserve"> (haxixe, maconha)</w:t>
      </w:r>
      <w:r w:rsidRPr="002E2EB1">
        <w:t xml:space="preserve"> e os tóxicos de alguns cogumelos.</w:t>
      </w:r>
    </w:p>
    <w:p w:rsidR="00035880" w:rsidRPr="002E2EB1" w:rsidRDefault="00035880" w:rsidP="00C52E09">
      <w:pPr>
        <w:pStyle w:val="TM-3n"/>
        <w:numPr>
          <w:ilvl w:val="2"/>
          <w:numId w:val="271"/>
        </w:numPr>
        <w:tabs>
          <w:tab w:val="clear" w:pos="1276"/>
        </w:tabs>
        <w:spacing w:before="120" w:after="0" w:line="276" w:lineRule="auto"/>
        <w:ind w:left="1080" w:hanging="630"/>
      </w:pPr>
      <w:r w:rsidRPr="002E2EB1">
        <w:t>Tóxicos minerais, como chumbo, mercúrio e outros metais pesados.</w:t>
      </w:r>
    </w:p>
    <w:p w:rsidR="00035880" w:rsidRPr="002E2EB1" w:rsidRDefault="00035880" w:rsidP="00C52E09">
      <w:pPr>
        <w:pStyle w:val="TM-3n"/>
        <w:numPr>
          <w:ilvl w:val="2"/>
          <w:numId w:val="271"/>
        </w:numPr>
        <w:tabs>
          <w:tab w:val="clear" w:pos="1276"/>
        </w:tabs>
        <w:spacing w:before="120" w:after="0" w:line="276" w:lineRule="auto"/>
        <w:ind w:left="1080" w:hanging="630"/>
      </w:pPr>
      <w:r w:rsidRPr="002E2EB1">
        <w:t>Tóxicos sintéticos, como insecticidas, diluentes, e quase qualquer medicamento em doses elevadas.</w:t>
      </w:r>
    </w:p>
    <w:p w:rsidR="00035880" w:rsidRPr="002E2EB1" w:rsidRDefault="00035880" w:rsidP="00C52E09">
      <w:pPr>
        <w:pStyle w:val="TM-2n"/>
        <w:numPr>
          <w:ilvl w:val="1"/>
          <w:numId w:val="271"/>
        </w:numPr>
        <w:spacing w:before="120" w:after="0" w:line="276" w:lineRule="auto"/>
        <w:ind w:left="450" w:hanging="464"/>
      </w:pPr>
      <w:r w:rsidRPr="002E2EB1">
        <w:t>Os tóxicos podem entrar no organismo por diferentes vias, sendo as mencionadas a seguir as mais importantes:</w:t>
      </w:r>
    </w:p>
    <w:p w:rsidR="00035880" w:rsidRPr="002E2EB1" w:rsidRDefault="00035880" w:rsidP="00C52E09">
      <w:pPr>
        <w:pStyle w:val="TM-3n"/>
        <w:numPr>
          <w:ilvl w:val="2"/>
          <w:numId w:val="271"/>
        </w:numPr>
        <w:tabs>
          <w:tab w:val="clear" w:pos="1276"/>
        </w:tabs>
        <w:spacing w:before="120" w:after="0" w:line="276" w:lineRule="auto"/>
        <w:ind w:left="1080" w:hanging="630"/>
      </w:pPr>
      <w:r w:rsidRPr="002E2EB1">
        <w:t>Ingestão, como nas intoxicações alimentares.</w:t>
      </w:r>
    </w:p>
    <w:p w:rsidR="00035880" w:rsidRPr="002E2EB1" w:rsidRDefault="00035880" w:rsidP="00C52E09">
      <w:pPr>
        <w:pStyle w:val="TM-3n"/>
        <w:numPr>
          <w:ilvl w:val="2"/>
          <w:numId w:val="271"/>
        </w:numPr>
        <w:tabs>
          <w:tab w:val="clear" w:pos="1276"/>
        </w:tabs>
        <w:spacing w:before="120" w:after="0" w:line="276" w:lineRule="auto"/>
        <w:ind w:left="1080" w:hanging="630"/>
      </w:pPr>
      <w:r w:rsidRPr="002E2EB1">
        <w:t>Inalação, sobre tudo nas intoxicações por gás.</w:t>
      </w:r>
    </w:p>
    <w:p w:rsidR="00035880" w:rsidRPr="002E2EB1" w:rsidRDefault="00035880" w:rsidP="00C52E09">
      <w:pPr>
        <w:pStyle w:val="TM-3n"/>
        <w:numPr>
          <w:ilvl w:val="2"/>
          <w:numId w:val="271"/>
        </w:numPr>
        <w:tabs>
          <w:tab w:val="clear" w:pos="1276"/>
        </w:tabs>
        <w:spacing w:before="120" w:after="0" w:line="276" w:lineRule="auto"/>
        <w:ind w:left="1080" w:hanging="630"/>
      </w:pPr>
      <w:r w:rsidRPr="002E2EB1">
        <w:t>Via tópica, por absorção do tóxico através da pele.</w:t>
      </w:r>
    </w:p>
    <w:p w:rsidR="00035880" w:rsidRPr="002E2EB1" w:rsidRDefault="00035880" w:rsidP="00C52E09">
      <w:pPr>
        <w:pStyle w:val="TM-3n"/>
        <w:numPr>
          <w:ilvl w:val="2"/>
          <w:numId w:val="271"/>
        </w:numPr>
        <w:tabs>
          <w:tab w:val="clear" w:pos="1276"/>
        </w:tabs>
        <w:spacing w:before="120" w:after="0" w:line="276" w:lineRule="auto"/>
        <w:ind w:left="1080" w:hanging="630"/>
      </w:pPr>
      <w:r w:rsidRPr="002E2EB1">
        <w:t>Via parenteral, como nas picaduras de insectos.</w:t>
      </w:r>
    </w:p>
    <w:p w:rsidR="00035880" w:rsidRPr="002E2EB1" w:rsidRDefault="00035880" w:rsidP="00035880">
      <w:pPr>
        <w:pStyle w:val="TM-2n"/>
        <w:numPr>
          <w:ilvl w:val="0"/>
          <w:numId w:val="0"/>
        </w:numPr>
        <w:spacing w:before="120" w:after="0" w:line="276" w:lineRule="auto"/>
      </w:pPr>
    </w:p>
    <w:p w:rsidR="00035880" w:rsidRPr="002E2EB1" w:rsidRDefault="005F3F7B" w:rsidP="005F3F7B">
      <w:pPr>
        <w:pStyle w:val="TM-1n"/>
        <w:numPr>
          <w:ilvl w:val="0"/>
          <w:numId w:val="0"/>
        </w:numPr>
        <w:shd w:val="clear" w:color="auto" w:fill="C6D9F1"/>
        <w:tabs>
          <w:tab w:val="clear" w:pos="9072"/>
          <w:tab w:val="left" w:pos="284"/>
        </w:tabs>
      </w:pPr>
      <w:r>
        <w:t xml:space="preserve">BLOCO 3: </w:t>
      </w:r>
      <w:r w:rsidR="00035880" w:rsidRPr="002E2EB1">
        <w:t>INTOXICAÇÃO: DEFINIÇÃO, MECANISMOS E MANEJO</w:t>
      </w:r>
      <w:r w:rsidR="00035880" w:rsidRPr="002E2EB1">
        <w:tab/>
      </w:r>
    </w:p>
    <w:p w:rsidR="00035880" w:rsidRPr="002E2EB1" w:rsidRDefault="00035880" w:rsidP="00C52E09">
      <w:pPr>
        <w:pStyle w:val="TM-2n"/>
        <w:numPr>
          <w:ilvl w:val="1"/>
          <w:numId w:val="272"/>
        </w:numPr>
        <w:spacing w:before="120" w:after="0" w:line="276" w:lineRule="auto"/>
        <w:ind w:left="450" w:hanging="450"/>
      </w:pPr>
      <w:r w:rsidRPr="002E2EB1">
        <w:t xml:space="preserve">A </w:t>
      </w:r>
      <w:r w:rsidRPr="002E2EB1">
        <w:rPr>
          <w:b/>
        </w:rPr>
        <w:t>intoxicação</w:t>
      </w:r>
      <w:r w:rsidRPr="002E2EB1">
        <w:t xml:space="preserve"> pode ser definida como o conjunto de sinais e sintomas associados ao efeito tóxico de uma substância no organismo.</w:t>
      </w:r>
    </w:p>
    <w:p w:rsidR="00035880" w:rsidRPr="002E2EB1" w:rsidRDefault="00035880" w:rsidP="00C52E09">
      <w:pPr>
        <w:pStyle w:val="TM-2n"/>
        <w:numPr>
          <w:ilvl w:val="1"/>
          <w:numId w:val="272"/>
        </w:numPr>
        <w:spacing w:before="120" w:after="0" w:line="276" w:lineRule="auto"/>
        <w:ind w:left="450" w:hanging="464"/>
      </w:pPr>
      <w:r w:rsidRPr="002E2EB1">
        <w:t>A gravidade duma intoxicação depende de vários factores. Entre eles estão os seguintes:</w:t>
      </w:r>
    </w:p>
    <w:p w:rsidR="00035880" w:rsidRPr="002E2EB1" w:rsidRDefault="00035880" w:rsidP="00C52E09">
      <w:pPr>
        <w:pStyle w:val="TM-3n"/>
        <w:numPr>
          <w:ilvl w:val="2"/>
          <w:numId w:val="272"/>
        </w:numPr>
        <w:tabs>
          <w:tab w:val="clear" w:pos="1276"/>
        </w:tabs>
        <w:spacing w:before="120" w:after="0" w:line="276" w:lineRule="auto"/>
        <w:ind w:left="1080" w:hanging="630"/>
      </w:pPr>
      <w:r w:rsidRPr="002E2EB1">
        <w:t>Características da substância.</w:t>
      </w:r>
    </w:p>
    <w:p w:rsidR="00035880" w:rsidRPr="002E2EB1" w:rsidRDefault="00035880" w:rsidP="00C52E09">
      <w:pPr>
        <w:pStyle w:val="TM-3n"/>
        <w:numPr>
          <w:ilvl w:val="2"/>
          <w:numId w:val="272"/>
        </w:numPr>
        <w:tabs>
          <w:tab w:val="clear" w:pos="1276"/>
        </w:tabs>
        <w:spacing w:before="120" w:after="0" w:line="276" w:lineRule="auto"/>
        <w:ind w:left="1080" w:hanging="630"/>
      </w:pPr>
      <w:r w:rsidRPr="002E2EB1">
        <w:t>Dose ou quantidade da substância.</w:t>
      </w:r>
    </w:p>
    <w:p w:rsidR="00035880" w:rsidRPr="002E2EB1" w:rsidRDefault="00035880" w:rsidP="00C52E09">
      <w:pPr>
        <w:pStyle w:val="TM-3n"/>
        <w:numPr>
          <w:ilvl w:val="2"/>
          <w:numId w:val="272"/>
        </w:numPr>
        <w:tabs>
          <w:tab w:val="clear" w:pos="1276"/>
        </w:tabs>
        <w:spacing w:before="120" w:after="0" w:line="276" w:lineRule="auto"/>
        <w:ind w:left="1080" w:hanging="630"/>
      </w:pPr>
      <w:r w:rsidRPr="002E2EB1">
        <w:t>Via de entrada.</w:t>
      </w:r>
    </w:p>
    <w:p w:rsidR="00035880" w:rsidRPr="002E2EB1" w:rsidRDefault="00035880" w:rsidP="00C52E09">
      <w:pPr>
        <w:pStyle w:val="TM-3n"/>
        <w:numPr>
          <w:ilvl w:val="2"/>
          <w:numId w:val="272"/>
        </w:numPr>
        <w:tabs>
          <w:tab w:val="clear" w:pos="1276"/>
        </w:tabs>
        <w:spacing w:before="120" w:after="0" w:line="276" w:lineRule="auto"/>
        <w:ind w:left="1080" w:hanging="630"/>
      </w:pPr>
      <w:r w:rsidRPr="002E2EB1">
        <w:t>Características do indivíduo (idade, peso, possíveis doenças).</w:t>
      </w:r>
    </w:p>
    <w:p w:rsidR="00035880" w:rsidRPr="002E2EB1" w:rsidRDefault="00035880" w:rsidP="00C52E09">
      <w:pPr>
        <w:pStyle w:val="TM-2n"/>
        <w:numPr>
          <w:ilvl w:val="1"/>
          <w:numId w:val="272"/>
        </w:numPr>
        <w:spacing w:before="120" w:after="0" w:line="276" w:lineRule="auto"/>
        <w:ind w:left="450" w:hanging="464"/>
      </w:pPr>
      <w:r w:rsidRPr="002E2EB1">
        <w:t>Pela sua evolução, as intoxicações podem-se classificar em:</w:t>
      </w:r>
    </w:p>
    <w:p w:rsidR="00035880" w:rsidRPr="002E2EB1" w:rsidRDefault="00035880" w:rsidP="00C52E09">
      <w:pPr>
        <w:pStyle w:val="TM-3n"/>
        <w:numPr>
          <w:ilvl w:val="2"/>
          <w:numId w:val="272"/>
        </w:numPr>
        <w:tabs>
          <w:tab w:val="clear" w:pos="1276"/>
        </w:tabs>
        <w:spacing w:before="120" w:after="0" w:line="276" w:lineRule="auto"/>
        <w:ind w:left="1080" w:hanging="630"/>
      </w:pPr>
      <w:r w:rsidRPr="002E2EB1">
        <w:lastRenderedPageBreak/>
        <w:t>Sobre-agudas. A acção do produto tóxico produz-se com grande rapidez, até provocar a morte em minutos ou poucas horas. Por exemplo, a intoxicação com cianeto ou com monóxido de carbono.</w:t>
      </w:r>
    </w:p>
    <w:p w:rsidR="00035880" w:rsidRPr="002E2EB1" w:rsidRDefault="00035880" w:rsidP="00C52E09">
      <w:pPr>
        <w:pStyle w:val="TM-3n"/>
        <w:numPr>
          <w:ilvl w:val="2"/>
          <w:numId w:val="272"/>
        </w:numPr>
        <w:tabs>
          <w:tab w:val="clear" w:pos="1276"/>
        </w:tabs>
        <w:spacing w:before="120" w:after="0" w:line="276" w:lineRule="auto"/>
        <w:ind w:left="1080" w:hanging="630"/>
      </w:pPr>
      <w:r w:rsidRPr="002E2EB1">
        <w:t>Agudas. Os sinais e sintomas desenvolvem-se ao longo de vários dias, comummente após duma única exposição ao tóxico. É o caso de muitas intoxicações alimentares.</w:t>
      </w:r>
    </w:p>
    <w:p w:rsidR="00035880" w:rsidRPr="002E2EB1" w:rsidRDefault="00035880" w:rsidP="00C52E09">
      <w:pPr>
        <w:pStyle w:val="TM-3n"/>
        <w:numPr>
          <w:ilvl w:val="2"/>
          <w:numId w:val="272"/>
        </w:numPr>
        <w:tabs>
          <w:tab w:val="clear" w:pos="1276"/>
        </w:tabs>
        <w:spacing w:before="120" w:after="0" w:line="276" w:lineRule="auto"/>
        <w:ind w:left="1080" w:hanging="630"/>
      </w:pPr>
      <w:r w:rsidRPr="002E2EB1">
        <w:t>Crónicas. Geralmente consistem na acumulação no organismo de pequenas doses do tóxico durante períodos prolongados de tempo. Por exemplo, a intoxicação com mercúrio.</w:t>
      </w:r>
    </w:p>
    <w:p w:rsidR="00035880" w:rsidRPr="002E2EB1" w:rsidRDefault="00035880" w:rsidP="00C52E09">
      <w:pPr>
        <w:pStyle w:val="TM-2n"/>
        <w:numPr>
          <w:ilvl w:val="1"/>
          <w:numId w:val="272"/>
        </w:numPr>
        <w:spacing w:before="120" w:after="0" w:line="276" w:lineRule="auto"/>
        <w:ind w:left="450" w:hanging="464"/>
      </w:pPr>
      <w:r w:rsidRPr="002E2EB1">
        <w:t>E quanto a sua origem, ou etiologia, as intoxicações podem-se dividir em acidentais e voluntárias.</w:t>
      </w:r>
    </w:p>
    <w:p w:rsidR="00035880" w:rsidRPr="002E2EB1" w:rsidRDefault="00035880" w:rsidP="00C52E09">
      <w:pPr>
        <w:pStyle w:val="TM-3n"/>
        <w:numPr>
          <w:ilvl w:val="2"/>
          <w:numId w:val="272"/>
        </w:numPr>
        <w:tabs>
          <w:tab w:val="clear" w:pos="1276"/>
        </w:tabs>
        <w:spacing w:before="120" w:after="0" w:line="276" w:lineRule="auto"/>
        <w:ind w:left="1080" w:hanging="630"/>
        <w:rPr>
          <w:b/>
        </w:rPr>
      </w:pPr>
      <w:r w:rsidRPr="002E2EB1">
        <w:rPr>
          <w:b/>
        </w:rPr>
        <w:t>Intoxicações acidentais.</w:t>
      </w:r>
    </w:p>
    <w:p w:rsidR="00035880" w:rsidRPr="002E2EB1" w:rsidRDefault="00035880" w:rsidP="00C52E09">
      <w:pPr>
        <w:pStyle w:val="TM-4n"/>
        <w:numPr>
          <w:ilvl w:val="0"/>
          <w:numId w:val="245"/>
        </w:numPr>
        <w:tabs>
          <w:tab w:val="clear" w:pos="720"/>
          <w:tab w:val="clear" w:pos="1134"/>
        </w:tabs>
        <w:spacing w:before="120" w:after="0" w:line="276" w:lineRule="auto"/>
        <w:ind w:left="1440"/>
      </w:pPr>
      <w:r w:rsidRPr="002E2EB1">
        <w:t>Por medicamentos, usualmente devido a erros na dosagem</w:t>
      </w:r>
    </w:p>
    <w:p w:rsidR="00035880" w:rsidRPr="002E2EB1" w:rsidRDefault="00035880" w:rsidP="00C52E09">
      <w:pPr>
        <w:pStyle w:val="TM-4n"/>
        <w:numPr>
          <w:ilvl w:val="0"/>
          <w:numId w:val="245"/>
        </w:numPr>
        <w:tabs>
          <w:tab w:val="clear" w:pos="720"/>
          <w:tab w:val="clear" w:pos="1134"/>
        </w:tabs>
        <w:spacing w:before="120" w:after="0" w:line="276" w:lineRule="auto"/>
        <w:ind w:left="1440"/>
      </w:pPr>
      <w:r w:rsidRPr="002E2EB1">
        <w:t>Profissionais, por substâncias presentes no local de trabalho, como diversos metais (chumbo, mercúrio)</w:t>
      </w:r>
    </w:p>
    <w:p w:rsidR="00035880" w:rsidRPr="002E2EB1" w:rsidRDefault="00035880" w:rsidP="00C52E09">
      <w:pPr>
        <w:pStyle w:val="TM-4n"/>
        <w:numPr>
          <w:ilvl w:val="0"/>
          <w:numId w:val="245"/>
        </w:numPr>
        <w:tabs>
          <w:tab w:val="clear" w:pos="720"/>
          <w:tab w:val="clear" w:pos="1134"/>
        </w:tabs>
        <w:spacing w:before="120" w:after="0" w:line="276" w:lineRule="auto"/>
        <w:ind w:left="1440"/>
      </w:pPr>
      <w:r w:rsidRPr="002E2EB1">
        <w:t>Domésticas, ingestão ou contacto com produtos que podem-se encontrar no lar, como produtos de limpeza, medicamentos e outros</w:t>
      </w:r>
    </w:p>
    <w:p w:rsidR="00035880" w:rsidRPr="002E2EB1" w:rsidRDefault="00035880" w:rsidP="00C52E09">
      <w:pPr>
        <w:pStyle w:val="TM-4n"/>
        <w:numPr>
          <w:ilvl w:val="0"/>
          <w:numId w:val="245"/>
        </w:numPr>
        <w:tabs>
          <w:tab w:val="clear" w:pos="720"/>
          <w:tab w:val="clear" w:pos="1134"/>
        </w:tabs>
        <w:spacing w:before="120" w:after="0" w:line="276" w:lineRule="auto"/>
        <w:ind w:left="1440"/>
      </w:pPr>
      <w:r w:rsidRPr="002E2EB1">
        <w:t>Alimentares, por ingestão de alimentos contaminados ou tóxicos</w:t>
      </w:r>
    </w:p>
    <w:p w:rsidR="00035880" w:rsidRPr="002E2EB1" w:rsidRDefault="00035880" w:rsidP="00C52E09">
      <w:pPr>
        <w:pStyle w:val="TM-4n"/>
        <w:numPr>
          <w:ilvl w:val="0"/>
          <w:numId w:val="245"/>
        </w:numPr>
        <w:tabs>
          <w:tab w:val="clear" w:pos="720"/>
          <w:tab w:val="clear" w:pos="1134"/>
        </w:tabs>
        <w:spacing w:before="120" w:after="0" w:line="276" w:lineRule="auto"/>
        <w:ind w:left="1440"/>
      </w:pPr>
      <w:r w:rsidRPr="002E2EB1">
        <w:t>Ambientais, por contaminantes presentes em ar, solo ou água. Costumam ser crónicas</w:t>
      </w:r>
    </w:p>
    <w:p w:rsidR="00035880" w:rsidRPr="002E2EB1" w:rsidRDefault="00035880" w:rsidP="00C52E09">
      <w:pPr>
        <w:pStyle w:val="TM-4n"/>
        <w:numPr>
          <w:ilvl w:val="0"/>
          <w:numId w:val="245"/>
        </w:numPr>
        <w:tabs>
          <w:tab w:val="clear" w:pos="720"/>
          <w:tab w:val="clear" w:pos="1134"/>
        </w:tabs>
        <w:spacing w:before="120" w:after="0" w:line="276" w:lineRule="auto"/>
        <w:ind w:left="1440"/>
      </w:pPr>
      <w:r w:rsidRPr="002E2EB1">
        <w:t>Por ingestão de plantas tóxicas, como alguns tipos de fungos</w:t>
      </w:r>
    </w:p>
    <w:p w:rsidR="00035880" w:rsidRPr="002E2EB1" w:rsidRDefault="00035880" w:rsidP="00C52E09">
      <w:pPr>
        <w:pStyle w:val="TM-4n"/>
        <w:numPr>
          <w:ilvl w:val="0"/>
          <w:numId w:val="245"/>
        </w:numPr>
        <w:tabs>
          <w:tab w:val="clear" w:pos="720"/>
          <w:tab w:val="clear" w:pos="1134"/>
        </w:tabs>
        <w:spacing w:before="120" w:after="0" w:line="276" w:lineRule="auto"/>
        <w:ind w:left="1440"/>
      </w:pPr>
      <w:r w:rsidRPr="002E2EB1">
        <w:t>Picaduras e mordeduras de animais e insectos</w:t>
      </w:r>
    </w:p>
    <w:p w:rsidR="00035880" w:rsidRPr="002E2EB1" w:rsidRDefault="00035880" w:rsidP="00C52E09">
      <w:pPr>
        <w:pStyle w:val="TM-3n"/>
        <w:numPr>
          <w:ilvl w:val="2"/>
          <w:numId w:val="272"/>
        </w:numPr>
        <w:tabs>
          <w:tab w:val="clear" w:pos="1276"/>
        </w:tabs>
        <w:spacing w:before="120" w:after="0" w:line="276" w:lineRule="auto"/>
        <w:ind w:left="1080" w:hanging="630"/>
        <w:rPr>
          <w:b/>
        </w:rPr>
      </w:pPr>
      <w:r w:rsidRPr="002E2EB1">
        <w:rPr>
          <w:b/>
        </w:rPr>
        <w:t>Intoxicações voluntárias.</w:t>
      </w:r>
    </w:p>
    <w:p w:rsidR="00035880" w:rsidRPr="002E2EB1" w:rsidRDefault="00035880" w:rsidP="00C52E09">
      <w:pPr>
        <w:pStyle w:val="TM-4n"/>
        <w:numPr>
          <w:ilvl w:val="0"/>
          <w:numId w:val="245"/>
        </w:numPr>
        <w:tabs>
          <w:tab w:val="clear" w:pos="720"/>
          <w:tab w:val="clear" w:pos="1134"/>
        </w:tabs>
        <w:spacing w:before="120" w:after="0" w:line="276" w:lineRule="auto"/>
        <w:ind w:left="1440"/>
      </w:pPr>
      <w:r w:rsidRPr="002E2EB1">
        <w:t>Sociais, como consumo de álcool, tabaco, ou drogas</w:t>
      </w:r>
    </w:p>
    <w:p w:rsidR="00035880" w:rsidRPr="002E2EB1" w:rsidRDefault="00035880" w:rsidP="00C52E09">
      <w:pPr>
        <w:pStyle w:val="TM-4n"/>
        <w:numPr>
          <w:ilvl w:val="0"/>
          <w:numId w:val="245"/>
        </w:numPr>
        <w:tabs>
          <w:tab w:val="clear" w:pos="720"/>
          <w:tab w:val="clear" w:pos="1134"/>
        </w:tabs>
        <w:spacing w:before="120" w:after="0" w:line="276" w:lineRule="auto"/>
        <w:ind w:left="1440"/>
      </w:pPr>
      <w:r w:rsidRPr="002E2EB1">
        <w:t>“Doping”, em desportistas que desejam aumentar o seu rendimento com fármacos</w:t>
      </w:r>
    </w:p>
    <w:p w:rsidR="00035880" w:rsidRPr="002E2EB1" w:rsidRDefault="00035880" w:rsidP="00C52E09">
      <w:pPr>
        <w:pStyle w:val="TM-4n"/>
        <w:numPr>
          <w:ilvl w:val="0"/>
          <w:numId w:val="245"/>
        </w:numPr>
        <w:tabs>
          <w:tab w:val="clear" w:pos="720"/>
          <w:tab w:val="clear" w:pos="1134"/>
        </w:tabs>
        <w:spacing w:before="120" w:after="0" w:line="276" w:lineRule="auto"/>
        <w:ind w:left="1440"/>
      </w:pPr>
      <w:r w:rsidRPr="002E2EB1">
        <w:t>Suicidas, utilizando diferentes substâncias (medicamentos, metais, fungos)</w:t>
      </w:r>
    </w:p>
    <w:p w:rsidR="00035880" w:rsidRPr="002E2EB1" w:rsidRDefault="00035880" w:rsidP="00C52E09">
      <w:pPr>
        <w:pStyle w:val="TM-2n"/>
        <w:numPr>
          <w:ilvl w:val="1"/>
          <w:numId w:val="272"/>
        </w:numPr>
        <w:spacing w:before="120" w:after="0" w:line="276" w:lineRule="auto"/>
        <w:ind w:left="450" w:hanging="464"/>
      </w:pPr>
      <w:r w:rsidRPr="002E2EB1">
        <w:t xml:space="preserve">Os tratamentos utilizados por médicos tradicionais, especialmente aqueles </w:t>
      </w:r>
      <w:r>
        <w:t xml:space="preserve">medicamentos </w:t>
      </w:r>
      <w:r w:rsidRPr="002E2EB1">
        <w:t>preparados com plantas, podem ser causa de intoxicação acidental.</w:t>
      </w:r>
    </w:p>
    <w:p w:rsidR="00035880" w:rsidRPr="002E2EB1" w:rsidRDefault="00035880" w:rsidP="00C52E09">
      <w:pPr>
        <w:pStyle w:val="TM-3n"/>
        <w:numPr>
          <w:ilvl w:val="2"/>
          <w:numId w:val="272"/>
        </w:numPr>
        <w:tabs>
          <w:tab w:val="clear" w:pos="1276"/>
        </w:tabs>
        <w:spacing w:before="120" w:after="0" w:line="276" w:lineRule="auto"/>
        <w:ind w:left="1080" w:hanging="630"/>
      </w:pPr>
      <w:r w:rsidRPr="002E2EB1">
        <w:t>A intoxicação por medicamentos tradicionais</w:t>
      </w:r>
      <w:r>
        <w:t xml:space="preserve"> (MT)</w:t>
      </w:r>
      <w:r w:rsidRPr="002E2EB1">
        <w:t xml:space="preserve"> é particularmente frequente em crianças.</w:t>
      </w:r>
    </w:p>
    <w:p w:rsidR="00035880" w:rsidRPr="002E2EB1" w:rsidRDefault="00035880" w:rsidP="00C52E09">
      <w:pPr>
        <w:pStyle w:val="TM-3n"/>
        <w:numPr>
          <w:ilvl w:val="2"/>
          <w:numId w:val="272"/>
        </w:numPr>
        <w:tabs>
          <w:tab w:val="clear" w:pos="1276"/>
        </w:tabs>
        <w:spacing w:before="120" w:after="0" w:line="276" w:lineRule="auto"/>
        <w:ind w:left="1080" w:hanging="630"/>
      </w:pPr>
      <w:r w:rsidRPr="002E2EB1">
        <w:t xml:space="preserve">Geralmente, a origem da intoxicação está na falta de controlo e conhecimento das quantidades de princípios activos presentes nas plantas utilizadas para preparar os </w:t>
      </w:r>
      <w:r>
        <w:t>MT</w:t>
      </w:r>
      <w:r w:rsidRPr="002E2EB1">
        <w:t>.</w:t>
      </w:r>
    </w:p>
    <w:p w:rsidR="00035880" w:rsidRPr="002E2EB1" w:rsidRDefault="00035880" w:rsidP="00C52E09">
      <w:pPr>
        <w:pStyle w:val="TM-3n"/>
        <w:numPr>
          <w:ilvl w:val="2"/>
          <w:numId w:val="272"/>
        </w:numPr>
        <w:tabs>
          <w:tab w:val="clear" w:pos="1276"/>
        </w:tabs>
        <w:spacing w:before="120" w:after="0" w:line="276" w:lineRule="auto"/>
        <w:ind w:left="1080" w:hanging="630"/>
      </w:pPr>
      <w:r w:rsidRPr="002E2EB1">
        <w:t>Além disso, muitos praticantes da medicina tradicional não seguem normas elementares de higiene na preparação dos remédios.</w:t>
      </w:r>
    </w:p>
    <w:p w:rsidR="00035880" w:rsidRPr="002E2EB1" w:rsidRDefault="00035880" w:rsidP="00C52E09">
      <w:pPr>
        <w:pStyle w:val="TM-3n"/>
        <w:numPr>
          <w:ilvl w:val="2"/>
          <w:numId w:val="272"/>
        </w:numPr>
        <w:tabs>
          <w:tab w:val="clear" w:pos="1276"/>
        </w:tabs>
        <w:spacing w:before="120" w:after="0" w:line="276" w:lineRule="auto"/>
        <w:ind w:left="1080" w:hanging="630"/>
      </w:pPr>
      <w:r w:rsidRPr="002E2EB1">
        <w:t xml:space="preserve">O tratamento das intoxicações por </w:t>
      </w:r>
      <w:r>
        <w:t>MT</w:t>
      </w:r>
      <w:r w:rsidRPr="002E2EB1">
        <w:t xml:space="preserve"> é similar ao tratamento de intoxicações por outras causas.</w:t>
      </w:r>
    </w:p>
    <w:p w:rsidR="00035880" w:rsidRPr="002E2EB1" w:rsidRDefault="00035880" w:rsidP="00C52E09">
      <w:pPr>
        <w:pStyle w:val="TM-2n"/>
        <w:numPr>
          <w:ilvl w:val="1"/>
          <w:numId w:val="272"/>
        </w:numPr>
        <w:spacing w:before="120" w:after="0" w:line="276" w:lineRule="auto"/>
        <w:ind w:left="450" w:hanging="464"/>
      </w:pPr>
      <w:r w:rsidRPr="002E2EB1">
        <w:t xml:space="preserve">Manejo das intoxicações. O tratamento das intoxicações tem como objectivos manter </w:t>
      </w:r>
      <w:r>
        <w:t xml:space="preserve">os sinais </w:t>
      </w:r>
      <w:r w:rsidRPr="002E2EB1">
        <w:t>vitais do indivíduo</w:t>
      </w:r>
      <w:r>
        <w:t xml:space="preserve"> estáveis</w:t>
      </w:r>
      <w:r w:rsidRPr="002E2EB1">
        <w:t>, aliviar os sinais e sintomas, e impedir ou diminuir a acção do tóxico sobre o organismo.</w:t>
      </w:r>
    </w:p>
    <w:p w:rsidR="00035880" w:rsidRPr="002E2EB1" w:rsidRDefault="00035880" w:rsidP="00C52E09">
      <w:pPr>
        <w:pStyle w:val="TM-3n"/>
        <w:numPr>
          <w:ilvl w:val="2"/>
          <w:numId w:val="272"/>
        </w:numPr>
        <w:tabs>
          <w:tab w:val="clear" w:pos="1276"/>
        </w:tabs>
        <w:spacing w:before="120" w:after="0" w:line="276" w:lineRule="auto"/>
        <w:ind w:left="1080" w:hanging="630"/>
      </w:pPr>
      <w:r w:rsidRPr="002E2EB1">
        <w:t>Inicialmente, é necessário assegurar a função cardio-pulmonar, e tratar sintomas como choque, convulsões ou dor.</w:t>
      </w:r>
    </w:p>
    <w:p w:rsidR="00035880" w:rsidRPr="002E2EB1" w:rsidRDefault="00035880" w:rsidP="00C52E09">
      <w:pPr>
        <w:pStyle w:val="TM-3n"/>
        <w:numPr>
          <w:ilvl w:val="2"/>
          <w:numId w:val="272"/>
        </w:numPr>
        <w:tabs>
          <w:tab w:val="clear" w:pos="1276"/>
        </w:tabs>
        <w:spacing w:before="120" w:after="0" w:line="276" w:lineRule="auto"/>
        <w:ind w:left="1080" w:hanging="630"/>
      </w:pPr>
      <w:r w:rsidRPr="002E2EB1">
        <w:t>Posteriormente, se a intoxicação for recente, há que tentar diminuir a sua acção sobre o organismo.</w:t>
      </w:r>
    </w:p>
    <w:p w:rsidR="00035880" w:rsidRPr="002E2EB1" w:rsidRDefault="00035880" w:rsidP="00C52E09">
      <w:pPr>
        <w:pStyle w:val="TM-4n"/>
        <w:numPr>
          <w:ilvl w:val="0"/>
          <w:numId w:val="245"/>
        </w:numPr>
        <w:tabs>
          <w:tab w:val="clear" w:pos="720"/>
          <w:tab w:val="clear" w:pos="1134"/>
        </w:tabs>
        <w:spacing w:before="120" w:after="0" w:line="276" w:lineRule="auto"/>
        <w:ind w:left="1440"/>
      </w:pPr>
      <w:r w:rsidRPr="002E2EB1">
        <w:t>Em caso de ingestão do tóxico por via oral, o procedimento recomendado é a descontaminação gástrica com car</w:t>
      </w:r>
      <w:r>
        <w:t xml:space="preserve">vão </w:t>
      </w:r>
      <w:r w:rsidRPr="002E2EB1">
        <w:t xml:space="preserve"> activado. O </w:t>
      </w:r>
      <w:r>
        <w:t xml:space="preserve">carvão </w:t>
      </w:r>
      <w:r w:rsidRPr="002E2EB1">
        <w:t xml:space="preserve"> activado liga-se ao tóxico, </w:t>
      </w:r>
      <w:r w:rsidRPr="002E2EB1">
        <w:lastRenderedPageBreak/>
        <w:t>impedindo a sua absorção. Não é efectivo contra metais e algumas substâncias químicas corrosivas.</w:t>
      </w:r>
    </w:p>
    <w:p w:rsidR="00035880" w:rsidRPr="002E2EB1" w:rsidRDefault="00035880" w:rsidP="00C52E09">
      <w:pPr>
        <w:pStyle w:val="TM-4n"/>
        <w:numPr>
          <w:ilvl w:val="0"/>
          <w:numId w:val="245"/>
        </w:numPr>
        <w:tabs>
          <w:tab w:val="clear" w:pos="720"/>
          <w:tab w:val="clear" w:pos="1134"/>
        </w:tabs>
        <w:spacing w:before="120" w:after="0" w:line="276" w:lineRule="auto"/>
        <w:ind w:left="1440"/>
      </w:pPr>
      <w:r w:rsidRPr="002E2EB1">
        <w:t>Outro procedimento é a aspiração naso-gástrica, que pode ser efectiva no caso de líquidos.</w:t>
      </w:r>
    </w:p>
    <w:p w:rsidR="00035880" w:rsidRPr="002E2EB1" w:rsidRDefault="00035880" w:rsidP="00C52E09">
      <w:pPr>
        <w:pStyle w:val="TM-4n"/>
        <w:numPr>
          <w:ilvl w:val="0"/>
          <w:numId w:val="245"/>
        </w:numPr>
        <w:tabs>
          <w:tab w:val="clear" w:pos="720"/>
          <w:tab w:val="clear" w:pos="1134"/>
        </w:tabs>
        <w:spacing w:before="120" w:after="0" w:line="276" w:lineRule="auto"/>
        <w:ind w:left="1440"/>
      </w:pPr>
      <w:r w:rsidRPr="002E2EB1">
        <w:t>A indução do vómito não é recomendada, já que não é efectiva na retirada do tóxico</w:t>
      </w:r>
      <w:r>
        <w:t xml:space="preserve"> e pode provocar a passagem do tóxico para as vias respiratórias</w:t>
      </w:r>
      <w:r w:rsidRPr="002E2EB1">
        <w:t>.</w:t>
      </w:r>
    </w:p>
    <w:p w:rsidR="00035880" w:rsidRPr="002E2EB1" w:rsidRDefault="00035880" w:rsidP="00C52E09">
      <w:pPr>
        <w:pStyle w:val="TM-4n"/>
        <w:numPr>
          <w:ilvl w:val="0"/>
          <w:numId w:val="245"/>
        </w:numPr>
        <w:tabs>
          <w:tab w:val="clear" w:pos="720"/>
          <w:tab w:val="clear" w:pos="1134"/>
        </w:tabs>
        <w:spacing w:before="120" w:after="0" w:line="276" w:lineRule="auto"/>
        <w:ind w:left="1440"/>
      </w:pPr>
      <w:r w:rsidRPr="002E2EB1">
        <w:t xml:space="preserve">Em alguns casos, existem antídotos específicos ou inespecíficos contra determinados tóxicos, como é o caso da intoxicação por alguns fármacos como paracetamol (antídoto, N-acetilcisteína), isoniazida (antídoto, piridoxina), </w:t>
      </w:r>
      <w:r>
        <w:t xml:space="preserve">ferro (antídoto - desferroxamina), organofosforados (antídoto - atropina) </w:t>
      </w:r>
      <w:r w:rsidRPr="002E2EB1">
        <w:t>ou morfina</w:t>
      </w:r>
      <w:r>
        <w:t xml:space="preserve"> e outros opióides</w:t>
      </w:r>
      <w:r w:rsidRPr="002E2EB1">
        <w:t xml:space="preserve"> (antídoto, naloxona).</w:t>
      </w:r>
    </w:p>
    <w:p w:rsidR="00035880" w:rsidRPr="002E2EB1" w:rsidRDefault="00035880" w:rsidP="00C52E09">
      <w:pPr>
        <w:pStyle w:val="TM-4n"/>
        <w:numPr>
          <w:ilvl w:val="0"/>
          <w:numId w:val="245"/>
        </w:numPr>
        <w:tabs>
          <w:tab w:val="clear" w:pos="720"/>
          <w:tab w:val="clear" w:pos="1134"/>
        </w:tabs>
        <w:spacing w:before="120" w:after="0" w:line="276" w:lineRule="auto"/>
        <w:ind w:left="1440"/>
      </w:pPr>
      <w:r w:rsidRPr="002E2EB1">
        <w:t>Em outros casos, pode-se aumentar a eliminação do tóxico através de diuréticos ou de hemodiálise</w:t>
      </w:r>
      <w:r>
        <w:t xml:space="preserve"> (procedimento de filtragem e depuração de substância tóxicas do sangue)</w:t>
      </w:r>
      <w:r w:rsidRPr="002E2EB1">
        <w:t>.</w:t>
      </w:r>
    </w:p>
    <w:p w:rsidR="00035880" w:rsidRPr="002E2EB1" w:rsidRDefault="00035880" w:rsidP="00035880">
      <w:pPr>
        <w:pStyle w:val="TM-0"/>
        <w:spacing w:before="120" w:after="0" w:line="276" w:lineRule="auto"/>
        <w:jc w:val="both"/>
      </w:pPr>
    </w:p>
    <w:p w:rsidR="00035880" w:rsidRPr="002E2EB1" w:rsidRDefault="005F3F7B" w:rsidP="005F3F7B">
      <w:pPr>
        <w:pStyle w:val="TM-1n"/>
        <w:numPr>
          <w:ilvl w:val="0"/>
          <w:numId w:val="0"/>
        </w:numPr>
        <w:shd w:val="clear" w:color="auto" w:fill="C6D9F1"/>
        <w:tabs>
          <w:tab w:val="clear" w:pos="9072"/>
          <w:tab w:val="left" w:pos="284"/>
        </w:tabs>
      </w:pPr>
      <w:r>
        <w:t xml:space="preserve">BLOCO 4: </w:t>
      </w:r>
      <w:r w:rsidR="00035880" w:rsidRPr="002E2EB1">
        <w:t>DEFINIÇÃO E MANEJO DA SOBREDOSE</w:t>
      </w:r>
      <w:r w:rsidR="00035880" w:rsidRPr="002E2EB1">
        <w:tab/>
      </w:r>
    </w:p>
    <w:p w:rsidR="00035880" w:rsidRPr="002E2EB1" w:rsidRDefault="00035880" w:rsidP="00C52E09">
      <w:pPr>
        <w:pStyle w:val="TM-2n"/>
        <w:numPr>
          <w:ilvl w:val="1"/>
          <w:numId w:val="273"/>
        </w:numPr>
        <w:spacing w:before="120" w:after="0" w:line="276" w:lineRule="auto"/>
        <w:ind w:left="450" w:hanging="450"/>
      </w:pPr>
      <w:r w:rsidRPr="002E2EB1">
        <w:t>A sobredose consiste na ingestão ou aplicação dum fármaco, droga, ou duma outra substância em quantidades excessivas. Em muitos casos, as consequências duma sobredose são potencialmente perigosas, e podem resultar em quadros clínicos graves e até na morte do indivíduo afectado.</w:t>
      </w:r>
    </w:p>
    <w:p w:rsidR="00035880" w:rsidRPr="002E2EB1" w:rsidRDefault="00035880" w:rsidP="00C52E09">
      <w:pPr>
        <w:pStyle w:val="TM-2n"/>
        <w:numPr>
          <w:ilvl w:val="1"/>
          <w:numId w:val="273"/>
        </w:numPr>
        <w:spacing w:before="120" w:after="0" w:line="276" w:lineRule="auto"/>
        <w:ind w:left="450" w:hanging="464"/>
      </w:pPr>
      <w:r w:rsidRPr="002E2EB1">
        <w:t>A sobredose pode ser causada de diferentes maneiras:</w:t>
      </w:r>
    </w:p>
    <w:p w:rsidR="00035880" w:rsidRPr="002E2EB1" w:rsidRDefault="00035880" w:rsidP="00C52E09">
      <w:pPr>
        <w:pStyle w:val="TM-3n"/>
        <w:numPr>
          <w:ilvl w:val="2"/>
          <w:numId w:val="273"/>
        </w:numPr>
        <w:tabs>
          <w:tab w:val="clear" w:pos="1276"/>
        </w:tabs>
        <w:spacing w:before="120" w:after="0" w:line="276" w:lineRule="auto"/>
        <w:ind w:left="1080" w:hanging="630"/>
      </w:pPr>
      <w:r w:rsidRPr="002E2EB1">
        <w:t>Ingestão acidental de doses excessivas de fármacos, particularmente por crianças que desconhecem o efeito do fármaco. Também pode acontecer em casos de sobre-prescrição, isto é, a prescrição duma quantidade excessiva dum fármaco.</w:t>
      </w:r>
    </w:p>
    <w:p w:rsidR="00035880" w:rsidRPr="002E2EB1" w:rsidRDefault="00035880" w:rsidP="00C52E09">
      <w:pPr>
        <w:pStyle w:val="TM-3n"/>
        <w:numPr>
          <w:ilvl w:val="2"/>
          <w:numId w:val="273"/>
        </w:numPr>
        <w:tabs>
          <w:tab w:val="clear" w:pos="1276"/>
        </w:tabs>
        <w:spacing w:before="120" w:after="0" w:line="276" w:lineRule="auto"/>
        <w:ind w:left="1080" w:hanging="630"/>
      </w:pPr>
      <w:r w:rsidRPr="002E2EB1">
        <w:t>Ingestão intencionada com propósito de suicídio.</w:t>
      </w:r>
    </w:p>
    <w:p w:rsidR="00035880" w:rsidRPr="002E2EB1" w:rsidRDefault="00035880" w:rsidP="00C52E09">
      <w:pPr>
        <w:pStyle w:val="TM-3n"/>
        <w:numPr>
          <w:ilvl w:val="2"/>
          <w:numId w:val="273"/>
        </w:numPr>
        <w:tabs>
          <w:tab w:val="clear" w:pos="1276"/>
        </w:tabs>
        <w:spacing w:before="120" w:after="0" w:line="276" w:lineRule="auto"/>
        <w:ind w:left="1080" w:hanging="630"/>
      </w:pPr>
      <w:r w:rsidRPr="002E2EB1">
        <w:t>A sobredose pode acontecer também por ingestão de vários fármacos ou substâncias contra-indicados entre eles, como diazepam e álcool.</w:t>
      </w:r>
    </w:p>
    <w:p w:rsidR="00035880" w:rsidRPr="002E2EB1" w:rsidRDefault="00035880" w:rsidP="00C52E09">
      <w:pPr>
        <w:pStyle w:val="TM-3n"/>
        <w:numPr>
          <w:ilvl w:val="2"/>
          <w:numId w:val="273"/>
        </w:numPr>
        <w:tabs>
          <w:tab w:val="clear" w:pos="1276"/>
        </w:tabs>
        <w:spacing w:before="120" w:after="0" w:line="276" w:lineRule="auto"/>
        <w:ind w:left="1080" w:hanging="630"/>
      </w:pPr>
      <w:r w:rsidRPr="002E2EB1">
        <w:t>Por último, o uso de drogas com fins recreativos, como marijuana, cocaína, ou heroína, pode resultar em sobredose, por ser difícil conhecer a pureza e quantidade da droga que está sendo utilizada.</w:t>
      </w:r>
    </w:p>
    <w:p w:rsidR="00035880" w:rsidRPr="002E2EB1" w:rsidRDefault="00035880" w:rsidP="00C52E09">
      <w:pPr>
        <w:pStyle w:val="TM-2n"/>
        <w:numPr>
          <w:ilvl w:val="1"/>
          <w:numId w:val="273"/>
        </w:numPr>
        <w:spacing w:before="120" w:after="0" w:line="276" w:lineRule="auto"/>
        <w:ind w:left="450" w:hanging="464"/>
      </w:pPr>
      <w:r w:rsidRPr="002E2EB1">
        <w:t>No caso duma suspeita de sobredose, é importante tentar averiguar quais são as substâncias envolvidas. Se o indivíduo estiver consciente, ele próprio pode proporcionar a informação. No caso dum paciente inconsciente, a informação fornecida por familiares e a observação do quadro clínico podem ser de utilidade para a identificação das substâncias.</w:t>
      </w:r>
    </w:p>
    <w:p w:rsidR="00035880" w:rsidRPr="002E2EB1" w:rsidRDefault="00035880" w:rsidP="00C52E09">
      <w:pPr>
        <w:pStyle w:val="TM-2n"/>
        <w:numPr>
          <w:ilvl w:val="1"/>
          <w:numId w:val="273"/>
        </w:numPr>
        <w:spacing w:before="120" w:after="0" w:line="276" w:lineRule="auto"/>
        <w:ind w:left="450" w:hanging="464"/>
      </w:pPr>
      <w:r w:rsidRPr="002E2EB1">
        <w:t>O quadro clínico duma sobredose é variável, dependendo das substâncias utilizadas. A temperatura corporal, o estado de dilatação pupilar, a transpiração, e a presença ou ausência de ruídos intestinais, podem ser de grande ajuda na determinação da causa da sobredose.</w:t>
      </w:r>
    </w:p>
    <w:p w:rsidR="00035880" w:rsidRPr="002E2EB1" w:rsidRDefault="00035880" w:rsidP="00C52E09">
      <w:pPr>
        <w:pStyle w:val="TM-2n"/>
        <w:numPr>
          <w:ilvl w:val="1"/>
          <w:numId w:val="273"/>
        </w:numPr>
        <w:spacing w:before="120" w:after="0" w:line="276" w:lineRule="auto"/>
        <w:ind w:left="450" w:hanging="464"/>
      </w:pPr>
      <w:r w:rsidRPr="002E2EB1">
        <w:t>No manejo duma situação de sobredose, existem vários passos:</w:t>
      </w:r>
    </w:p>
    <w:p w:rsidR="00035880" w:rsidRPr="002E2EB1" w:rsidRDefault="00035880" w:rsidP="00C52E09">
      <w:pPr>
        <w:pStyle w:val="TM-3n"/>
        <w:numPr>
          <w:ilvl w:val="2"/>
          <w:numId w:val="273"/>
        </w:numPr>
        <w:tabs>
          <w:tab w:val="clear" w:pos="1276"/>
        </w:tabs>
        <w:spacing w:before="120" w:after="0" w:line="276" w:lineRule="auto"/>
        <w:ind w:left="1080" w:hanging="630"/>
      </w:pPr>
      <w:r w:rsidRPr="002E2EB1">
        <w:t>Estabilizar ao paciente, mantendo uma via aérea, e monitorando as frequências respiratórias e cardíaca</w:t>
      </w:r>
      <w:r>
        <w:t xml:space="preserve"> (sinais vitais estáveis)</w:t>
      </w:r>
      <w:r w:rsidRPr="002E2EB1">
        <w:t>.</w:t>
      </w:r>
    </w:p>
    <w:p w:rsidR="00035880" w:rsidRPr="002E2EB1" w:rsidRDefault="00035880" w:rsidP="00C52E09">
      <w:pPr>
        <w:pStyle w:val="TM-3n"/>
        <w:numPr>
          <w:ilvl w:val="2"/>
          <w:numId w:val="273"/>
        </w:numPr>
        <w:tabs>
          <w:tab w:val="clear" w:pos="1276"/>
        </w:tabs>
        <w:spacing w:before="120" w:after="0" w:line="276" w:lineRule="auto"/>
        <w:ind w:left="1080" w:hanging="630"/>
      </w:pPr>
      <w:r w:rsidRPr="002E2EB1">
        <w:t>Administrar car</w:t>
      </w:r>
      <w:r>
        <w:t xml:space="preserve">vão </w:t>
      </w:r>
      <w:r w:rsidRPr="002E2EB1">
        <w:t>activado ou realizar uma aspiração gástrica se possível, quando a ingestão da substância é recente.</w:t>
      </w:r>
    </w:p>
    <w:p w:rsidR="00035880" w:rsidRPr="002E2EB1" w:rsidRDefault="00035880" w:rsidP="00C52E09">
      <w:pPr>
        <w:pStyle w:val="TM-3n"/>
        <w:numPr>
          <w:ilvl w:val="2"/>
          <w:numId w:val="273"/>
        </w:numPr>
        <w:tabs>
          <w:tab w:val="clear" w:pos="1276"/>
        </w:tabs>
        <w:spacing w:before="120" w:after="0" w:line="276" w:lineRule="auto"/>
        <w:ind w:left="1080" w:hanging="630"/>
      </w:pPr>
      <w:r w:rsidRPr="002E2EB1">
        <w:t>Se existe informação sobre a substância causante da sobredose, administrar antídotos específicos.</w:t>
      </w:r>
    </w:p>
    <w:p w:rsidR="00035880" w:rsidRPr="002E2EB1" w:rsidRDefault="00035880" w:rsidP="00035880">
      <w:pPr>
        <w:pStyle w:val="TM-0"/>
        <w:spacing w:before="120" w:after="0" w:line="276" w:lineRule="auto"/>
        <w:jc w:val="both"/>
      </w:pPr>
    </w:p>
    <w:p w:rsidR="00035880" w:rsidRPr="002E2EB1" w:rsidRDefault="005F3F7B" w:rsidP="005F3F7B">
      <w:pPr>
        <w:pStyle w:val="TM-1n"/>
        <w:numPr>
          <w:ilvl w:val="0"/>
          <w:numId w:val="0"/>
        </w:numPr>
        <w:shd w:val="clear" w:color="auto" w:fill="C6D9F1"/>
        <w:tabs>
          <w:tab w:val="clear" w:pos="9072"/>
          <w:tab w:val="left" w:pos="284"/>
        </w:tabs>
      </w:pPr>
      <w:r>
        <w:lastRenderedPageBreak/>
        <w:t xml:space="preserve">BLOCO 5: </w:t>
      </w:r>
      <w:r w:rsidR="00035880" w:rsidRPr="002E2EB1">
        <w:t>REACÇÕES ADVERSAS A MEDICAMENTOS: DEFINIÇÃO, CLASSIFICAÇÃO E MANEJO</w:t>
      </w:r>
      <w:r w:rsidR="00035880" w:rsidRPr="002E2EB1">
        <w:tab/>
      </w:r>
    </w:p>
    <w:p w:rsidR="00035880" w:rsidRPr="002E2EB1" w:rsidRDefault="00035880" w:rsidP="00C52E09">
      <w:pPr>
        <w:pStyle w:val="TM-2n"/>
        <w:numPr>
          <w:ilvl w:val="1"/>
          <w:numId w:val="274"/>
        </w:numPr>
        <w:spacing w:before="120" w:after="0" w:line="276" w:lineRule="auto"/>
        <w:ind w:left="450" w:hanging="450"/>
      </w:pPr>
      <w:r w:rsidRPr="002E2EB1">
        <w:rPr>
          <w:rFonts w:eastAsia="Calibri"/>
        </w:rPr>
        <w:t>As reacções adversas ou secundárias resultam da reacção do indivíduo aos medicamentos que lhe são administrados, e manifestam-se através de sinais ou sintomas, ou de alterações nos resultados laboratoriais. Para algumas pessoas, as reacções adversas podem ser muito sérias ou severas. Entretanto, noutros casos, elas são leves a moderados.</w:t>
      </w:r>
    </w:p>
    <w:p w:rsidR="00035880" w:rsidRPr="002E2EB1" w:rsidRDefault="00035880" w:rsidP="00C52E09">
      <w:pPr>
        <w:pStyle w:val="TM-2n"/>
        <w:numPr>
          <w:ilvl w:val="1"/>
          <w:numId w:val="274"/>
        </w:numPr>
        <w:spacing w:before="120" w:after="0" w:line="276" w:lineRule="auto"/>
        <w:ind w:left="450" w:hanging="464"/>
      </w:pPr>
      <w:r w:rsidRPr="002E2EB1">
        <w:t>As características principais que ajudam a identificar uma reacção adversa são as seguintes:</w:t>
      </w:r>
    </w:p>
    <w:p w:rsidR="00035880" w:rsidRPr="002E2EB1" w:rsidRDefault="00035880" w:rsidP="00C52E09">
      <w:pPr>
        <w:pStyle w:val="TM-3n"/>
        <w:numPr>
          <w:ilvl w:val="2"/>
          <w:numId w:val="274"/>
        </w:numPr>
        <w:tabs>
          <w:tab w:val="clear" w:pos="1276"/>
        </w:tabs>
        <w:spacing w:before="120" w:after="0" w:line="276" w:lineRule="auto"/>
        <w:ind w:left="1080" w:hanging="630"/>
      </w:pPr>
      <w:r w:rsidRPr="002E2EB1">
        <w:rPr>
          <w:rFonts w:eastAsia="Calibri"/>
        </w:rPr>
        <w:t>É um sinal ou sintoma que começa depois de iniciar a tomar um medicamento.</w:t>
      </w:r>
    </w:p>
    <w:p w:rsidR="00035880" w:rsidRPr="002E2EB1" w:rsidRDefault="00035880" w:rsidP="00C52E09">
      <w:pPr>
        <w:pStyle w:val="TM-3n"/>
        <w:numPr>
          <w:ilvl w:val="2"/>
          <w:numId w:val="274"/>
        </w:numPr>
        <w:tabs>
          <w:tab w:val="clear" w:pos="1276"/>
        </w:tabs>
        <w:spacing w:before="120" w:after="0" w:line="276" w:lineRule="auto"/>
        <w:ind w:left="1080" w:hanging="630"/>
      </w:pPr>
      <w:r w:rsidRPr="002E2EB1">
        <w:rPr>
          <w:rFonts w:eastAsia="Calibri"/>
        </w:rPr>
        <w:t>Existência de uma relação conhecida entre o medicamento e o sinal ou sintoma.</w:t>
      </w:r>
    </w:p>
    <w:p w:rsidR="00035880" w:rsidRPr="002E2EB1" w:rsidRDefault="00035880" w:rsidP="00C52E09">
      <w:pPr>
        <w:pStyle w:val="TM-3n"/>
        <w:numPr>
          <w:ilvl w:val="2"/>
          <w:numId w:val="274"/>
        </w:numPr>
        <w:tabs>
          <w:tab w:val="clear" w:pos="1276"/>
        </w:tabs>
        <w:spacing w:before="120" w:after="0" w:line="276" w:lineRule="auto"/>
        <w:ind w:left="1080" w:hanging="630"/>
      </w:pPr>
      <w:r w:rsidRPr="002E2EB1">
        <w:rPr>
          <w:rFonts w:eastAsia="Calibri"/>
        </w:rPr>
        <w:t>Não existe uma outra causa mais provável para o sinal ou sintoma.</w:t>
      </w:r>
    </w:p>
    <w:p w:rsidR="00035880" w:rsidRPr="002E2EB1" w:rsidRDefault="00035880" w:rsidP="00C52E09">
      <w:pPr>
        <w:pStyle w:val="TM-2n"/>
        <w:numPr>
          <w:ilvl w:val="1"/>
          <w:numId w:val="274"/>
        </w:numPr>
        <w:spacing w:before="120" w:after="0" w:line="276" w:lineRule="auto"/>
        <w:ind w:left="450" w:hanging="464"/>
      </w:pPr>
      <w:r w:rsidRPr="002E2EB1">
        <w:rPr>
          <w:rFonts w:eastAsia="Calibri"/>
        </w:rPr>
        <w:t>Uma vez diagnosticada a reacção adversa, o clínico deve definir qual é a gravidade da mesma para poder decidir sobre a continuidade do tratamento ou a suspensão do mesmo.</w:t>
      </w:r>
    </w:p>
    <w:p w:rsidR="00035880" w:rsidRPr="002E2EB1" w:rsidRDefault="00035880" w:rsidP="00C52E09">
      <w:pPr>
        <w:pStyle w:val="TM-2n"/>
        <w:numPr>
          <w:ilvl w:val="1"/>
          <w:numId w:val="274"/>
        </w:numPr>
        <w:spacing w:before="120" w:after="0" w:line="276" w:lineRule="auto"/>
        <w:ind w:left="450" w:hanging="464"/>
      </w:pPr>
      <w:r w:rsidRPr="002E2EB1">
        <w:rPr>
          <w:rFonts w:eastAsia="Calibri"/>
        </w:rPr>
        <w:t>Para classificar a gravidade da reacção, o clínico deve basear-se no seguinte:</w:t>
      </w:r>
    </w:p>
    <w:p w:rsidR="00035880" w:rsidRPr="002E2EB1" w:rsidRDefault="00035880" w:rsidP="00C52E09">
      <w:pPr>
        <w:pStyle w:val="TM-3n"/>
        <w:numPr>
          <w:ilvl w:val="2"/>
          <w:numId w:val="274"/>
        </w:numPr>
        <w:tabs>
          <w:tab w:val="clear" w:pos="1276"/>
        </w:tabs>
        <w:spacing w:before="120" w:after="0" w:line="276" w:lineRule="auto"/>
        <w:ind w:left="1080" w:hanging="630"/>
      </w:pPr>
      <w:r w:rsidRPr="002E2EB1">
        <w:rPr>
          <w:rFonts w:eastAsia="Calibri"/>
        </w:rPr>
        <w:t>Numa boa história clínica (anamnese e exame físico completos).</w:t>
      </w:r>
    </w:p>
    <w:p w:rsidR="00035880" w:rsidRPr="002E2EB1" w:rsidRDefault="00035880" w:rsidP="00C52E09">
      <w:pPr>
        <w:pStyle w:val="TM-3n"/>
        <w:numPr>
          <w:ilvl w:val="2"/>
          <w:numId w:val="274"/>
        </w:numPr>
        <w:tabs>
          <w:tab w:val="clear" w:pos="1276"/>
        </w:tabs>
        <w:spacing w:before="120" w:after="0" w:line="276" w:lineRule="auto"/>
        <w:ind w:left="1080" w:hanging="630"/>
      </w:pPr>
      <w:r w:rsidRPr="002E2EB1">
        <w:rPr>
          <w:rFonts w:eastAsia="Calibri"/>
        </w:rPr>
        <w:t xml:space="preserve">Nas investigações laboratoriais necessárias em função do tipo de reacção e </w:t>
      </w:r>
      <w:r w:rsidRPr="002E2EB1">
        <w:t>do fármaco, e sempre que aquelas estiverem disponíveis.</w:t>
      </w:r>
    </w:p>
    <w:p w:rsidR="00035880" w:rsidRPr="002E2EB1" w:rsidRDefault="00035880" w:rsidP="00C52E09">
      <w:pPr>
        <w:pStyle w:val="TM-2n"/>
        <w:numPr>
          <w:ilvl w:val="1"/>
          <w:numId w:val="274"/>
        </w:numPr>
        <w:spacing w:before="120" w:after="0" w:line="276" w:lineRule="auto"/>
        <w:ind w:left="450" w:hanging="464"/>
      </w:pPr>
      <w:r w:rsidRPr="002E2EB1">
        <w:rPr>
          <w:rFonts w:eastAsia="Calibri"/>
        </w:rPr>
        <w:t>A classificação da gravidade dos efeitos adversos de medicamentos é a seguinte:</w:t>
      </w:r>
    </w:p>
    <w:p w:rsidR="00035880" w:rsidRPr="002E2EB1" w:rsidRDefault="00035880" w:rsidP="00C52E09">
      <w:pPr>
        <w:pStyle w:val="TM-3n"/>
        <w:numPr>
          <w:ilvl w:val="2"/>
          <w:numId w:val="274"/>
        </w:numPr>
        <w:tabs>
          <w:tab w:val="clear" w:pos="1276"/>
        </w:tabs>
        <w:spacing w:before="120" w:after="0" w:line="276" w:lineRule="auto"/>
        <w:ind w:left="1080" w:hanging="630"/>
      </w:pPr>
      <w:r w:rsidRPr="002E2EB1">
        <w:rPr>
          <w:rFonts w:eastAsia="Calibri"/>
          <w:bCs/>
        </w:rPr>
        <w:t xml:space="preserve">Efeitos ligeiros (grau 1): </w:t>
      </w:r>
      <w:r w:rsidRPr="002E2EB1">
        <w:rPr>
          <w:rFonts w:eastAsia="Calibri"/>
        </w:rPr>
        <w:t>mal-estar ligeiro ou transitório sem limitação da actividade.</w:t>
      </w:r>
    </w:p>
    <w:p w:rsidR="00035880" w:rsidRPr="002E2EB1" w:rsidRDefault="00035880" w:rsidP="00C52E09">
      <w:pPr>
        <w:pStyle w:val="TM-3n"/>
        <w:numPr>
          <w:ilvl w:val="2"/>
          <w:numId w:val="274"/>
        </w:numPr>
        <w:tabs>
          <w:tab w:val="clear" w:pos="1276"/>
        </w:tabs>
        <w:spacing w:before="120" w:after="0" w:line="276" w:lineRule="auto"/>
        <w:ind w:left="1080" w:hanging="630"/>
      </w:pPr>
      <w:r w:rsidRPr="002E2EB1">
        <w:rPr>
          <w:rFonts w:eastAsia="Calibri"/>
          <w:bCs/>
        </w:rPr>
        <w:t xml:space="preserve">Efeitos moderados (grau 2): </w:t>
      </w:r>
      <w:r w:rsidRPr="002E2EB1">
        <w:rPr>
          <w:rFonts w:eastAsia="Calibri"/>
        </w:rPr>
        <w:t>limitação ligeira a moderada na actividade. Alguma assistência médica pode ser necessária.</w:t>
      </w:r>
    </w:p>
    <w:p w:rsidR="00035880" w:rsidRPr="002E2EB1" w:rsidRDefault="00035880" w:rsidP="00C52E09">
      <w:pPr>
        <w:pStyle w:val="TM-3n"/>
        <w:numPr>
          <w:ilvl w:val="2"/>
          <w:numId w:val="274"/>
        </w:numPr>
        <w:tabs>
          <w:tab w:val="clear" w:pos="1276"/>
        </w:tabs>
        <w:spacing w:before="120" w:after="0" w:line="276" w:lineRule="auto"/>
        <w:ind w:left="1080" w:hanging="630"/>
      </w:pPr>
      <w:r w:rsidRPr="002E2EB1">
        <w:rPr>
          <w:rFonts w:eastAsia="Calibri"/>
          <w:bCs/>
        </w:rPr>
        <w:t xml:space="preserve">Efeitos graves (grau 3): </w:t>
      </w:r>
      <w:r w:rsidRPr="002E2EB1">
        <w:rPr>
          <w:rFonts w:eastAsia="Calibri"/>
        </w:rPr>
        <w:t>importante limitação na actividade. A assistência é habitualmente necessária, já que geralmente requer tratamento médico e possível hospitalização.</w:t>
      </w:r>
    </w:p>
    <w:p w:rsidR="00035880" w:rsidRPr="002E2EB1" w:rsidRDefault="00035880" w:rsidP="00C52E09">
      <w:pPr>
        <w:pStyle w:val="TM-3n"/>
        <w:numPr>
          <w:ilvl w:val="2"/>
          <w:numId w:val="274"/>
        </w:numPr>
        <w:tabs>
          <w:tab w:val="clear" w:pos="1276"/>
        </w:tabs>
        <w:spacing w:before="120" w:after="0" w:line="276" w:lineRule="auto"/>
        <w:ind w:left="1080" w:hanging="630"/>
      </w:pPr>
      <w:r w:rsidRPr="002E2EB1">
        <w:rPr>
          <w:rFonts w:eastAsia="Calibri"/>
          <w:bCs/>
        </w:rPr>
        <w:t xml:space="preserve">Efeitos graves, que representam risco de vida (grau 4): </w:t>
      </w:r>
      <w:r w:rsidRPr="002E2EB1">
        <w:rPr>
          <w:rFonts w:eastAsia="Calibri"/>
        </w:rPr>
        <w:t>extrema limitação da actividade. Requer assistência importante, com cuidados médicos sob hospitalização.</w:t>
      </w:r>
    </w:p>
    <w:p w:rsidR="00035880" w:rsidRPr="002E2EB1" w:rsidRDefault="00035880" w:rsidP="00C52E09">
      <w:pPr>
        <w:pStyle w:val="TM-2n"/>
        <w:numPr>
          <w:ilvl w:val="1"/>
          <w:numId w:val="274"/>
        </w:numPr>
        <w:spacing w:before="120" w:after="0" w:line="276" w:lineRule="auto"/>
        <w:ind w:left="450" w:hanging="464"/>
      </w:pPr>
      <w:r w:rsidRPr="002E2EB1">
        <w:t>A conduta a seguir perante um caso de reacção adversa a medicamentos dependerá da gravidade do efeito.</w:t>
      </w:r>
    </w:p>
    <w:p w:rsidR="00035880" w:rsidRPr="002E2EB1" w:rsidRDefault="00035880" w:rsidP="00C52E09">
      <w:pPr>
        <w:pStyle w:val="TM-3n"/>
        <w:numPr>
          <w:ilvl w:val="2"/>
          <w:numId w:val="274"/>
        </w:numPr>
        <w:tabs>
          <w:tab w:val="clear" w:pos="1276"/>
        </w:tabs>
        <w:spacing w:before="120" w:after="0" w:line="276" w:lineRule="auto"/>
        <w:ind w:left="1080" w:hanging="630"/>
      </w:pPr>
      <w:r w:rsidRPr="002E2EB1">
        <w:rPr>
          <w:rFonts w:eastAsia="Calibri"/>
          <w:bCs/>
        </w:rPr>
        <w:t>Efeitos ligeiros (grau 1):</w:t>
      </w:r>
    </w:p>
    <w:p w:rsidR="00035880" w:rsidRPr="002E2EB1" w:rsidRDefault="00035880" w:rsidP="00C52E09">
      <w:pPr>
        <w:pStyle w:val="TM-4n"/>
        <w:numPr>
          <w:ilvl w:val="0"/>
          <w:numId w:val="245"/>
        </w:numPr>
        <w:tabs>
          <w:tab w:val="clear" w:pos="720"/>
          <w:tab w:val="clear" w:pos="1134"/>
        </w:tabs>
        <w:spacing w:before="120" w:after="0" w:line="276" w:lineRule="auto"/>
        <w:ind w:left="1440"/>
      </w:pPr>
      <w:r w:rsidRPr="002E2EB1">
        <w:rPr>
          <w:rFonts w:eastAsia="Calibri"/>
        </w:rPr>
        <w:t>Continuar a terapia, explicando ao doente qual é a situação</w:t>
      </w:r>
    </w:p>
    <w:p w:rsidR="00035880" w:rsidRPr="002E2EB1" w:rsidRDefault="00035880" w:rsidP="00C52E09">
      <w:pPr>
        <w:pStyle w:val="TM-4n"/>
        <w:numPr>
          <w:ilvl w:val="0"/>
          <w:numId w:val="245"/>
        </w:numPr>
        <w:tabs>
          <w:tab w:val="clear" w:pos="720"/>
          <w:tab w:val="clear" w:pos="1134"/>
        </w:tabs>
        <w:spacing w:before="120" w:after="0" w:line="276" w:lineRule="auto"/>
        <w:ind w:left="1440"/>
      </w:pPr>
      <w:r w:rsidRPr="002E2EB1">
        <w:rPr>
          <w:rFonts w:eastAsia="Calibri"/>
        </w:rPr>
        <w:t>Tratamento sintomático, por exemplo clorfeniramina para prurido ligeiro</w:t>
      </w:r>
    </w:p>
    <w:p w:rsidR="00035880" w:rsidRPr="002E2EB1" w:rsidRDefault="00035880" w:rsidP="00C52E09">
      <w:pPr>
        <w:pStyle w:val="TM-3n"/>
        <w:numPr>
          <w:ilvl w:val="2"/>
          <w:numId w:val="274"/>
        </w:numPr>
        <w:tabs>
          <w:tab w:val="clear" w:pos="1276"/>
        </w:tabs>
        <w:spacing w:before="120" w:after="0" w:line="276" w:lineRule="auto"/>
        <w:ind w:left="1080" w:hanging="630"/>
      </w:pPr>
      <w:r w:rsidRPr="002E2EB1">
        <w:rPr>
          <w:rFonts w:eastAsia="Calibri"/>
          <w:bCs/>
        </w:rPr>
        <w:t>Efeitos moderados (grau 2):</w:t>
      </w:r>
    </w:p>
    <w:p w:rsidR="00035880" w:rsidRPr="002E2EB1" w:rsidRDefault="00035880" w:rsidP="00C52E09">
      <w:pPr>
        <w:pStyle w:val="TM-4n"/>
        <w:numPr>
          <w:ilvl w:val="0"/>
          <w:numId w:val="245"/>
        </w:numPr>
        <w:tabs>
          <w:tab w:val="clear" w:pos="720"/>
          <w:tab w:val="clear" w:pos="1134"/>
        </w:tabs>
        <w:spacing w:before="120" w:after="0" w:line="276" w:lineRule="auto"/>
        <w:ind w:left="1440"/>
      </w:pPr>
      <w:r w:rsidRPr="002E2EB1">
        <w:rPr>
          <w:rFonts w:eastAsia="Calibri"/>
        </w:rPr>
        <w:t>Poderá ser necessário substituir o medicamento</w:t>
      </w:r>
    </w:p>
    <w:p w:rsidR="00035880" w:rsidRPr="002E2EB1" w:rsidRDefault="00035880" w:rsidP="00C52E09">
      <w:pPr>
        <w:pStyle w:val="TM-4n"/>
        <w:numPr>
          <w:ilvl w:val="0"/>
          <w:numId w:val="245"/>
        </w:numPr>
        <w:tabs>
          <w:tab w:val="clear" w:pos="720"/>
          <w:tab w:val="clear" w:pos="1134"/>
        </w:tabs>
        <w:spacing w:before="120" w:after="0" w:line="276" w:lineRule="auto"/>
        <w:ind w:left="1440"/>
      </w:pPr>
      <w:r w:rsidRPr="002E2EB1">
        <w:rPr>
          <w:rFonts w:eastAsia="Calibri"/>
        </w:rPr>
        <w:t>Muitas vezes, é recomendável seguir com o tratamento e reavaliar em uma ou duas semanas</w:t>
      </w:r>
    </w:p>
    <w:p w:rsidR="00035880" w:rsidRPr="002E2EB1" w:rsidRDefault="00035880" w:rsidP="00C52E09">
      <w:pPr>
        <w:pStyle w:val="TM-3n"/>
        <w:numPr>
          <w:ilvl w:val="2"/>
          <w:numId w:val="274"/>
        </w:numPr>
        <w:tabs>
          <w:tab w:val="clear" w:pos="1276"/>
        </w:tabs>
        <w:spacing w:before="120" w:after="0" w:line="276" w:lineRule="auto"/>
        <w:ind w:left="1080" w:hanging="630"/>
      </w:pPr>
      <w:r w:rsidRPr="002E2EB1">
        <w:rPr>
          <w:rFonts w:eastAsia="Calibri"/>
          <w:bCs/>
        </w:rPr>
        <w:t>Efeitos graves (grau 3):</w:t>
      </w:r>
    </w:p>
    <w:p w:rsidR="00035880" w:rsidRPr="002E2EB1" w:rsidRDefault="00035880" w:rsidP="00C52E09">
      <w:pPr>
        <w:pStyle w:val="TM-4n"/>
        <w:numPr>
          <w:ilvl w:val="0"/>
          <w:numId w:val="245"/>
        </w:numPr>
        <w:tabs>
          <w:tab w:val="clear" w:pos="720"/>
          <w:tab w:val="clear" w:pos="1134"/>
        </w:tabs>
        <w:spacing w:before="120" w:after="0" w:line="276" w:lineRule="auto"/>
        <w:ind w:left="1440"/>
      </w:pPr>
      <w:r w:rsidRPr="002E2EB1">
        <w:rPr>
          <w:rFonts w:eastAsia="Calibri"/>
        </w:rPr>
        <w:t>Geralmente exige a substituição do medicamento</w:t>
      </w:r>
    </w:p>
    <w:p w:rsidR="00035880" w:rsidRPr="002E2EB1" w:rsidRDefault="00035880" w:rsidP="00C52E09">
      <w:pPr>
        <w:pStyle w:val="TM-4n"/>
        <w:numPr>
          <w:ilvl w:val="0"/>
          <w:numId w:val="245"/>
        </w:numPr>
        <w:tabs>
          <w:tab w:val="clear" w:pos="720"/>
          <w:tab w:val="clear" w:pos="1134"/>
        </w:tabs>
        <w:spacing w:before="120" w:after="0" w:line="276" w:lineRule="auto"/>
        <w:ind w:left="1440"/>
      </w:pPr>
      <w:r w:rsidRPr="002E2EB1">
        <w:t>É aconselhável que o técnico consulte o médico</w:t>
      </w:r>
    </w:p>
    <w:p w:rsidR="00035880" w:rsidRPr="002E2EB1" w:rsidRDefault="00035880" w:rsidP="00C52E09">
      <w:pPr>
        <w:pStyle w:val="TM-3n"/>
        <w:numPr>
          <w:ilvl w:val="2"/>
          <w:numId w:val="274"/>
        </w:numPr>
        <w:tabs>
          <w:tab w:val="clear" w:pos="1276"/>
        </w:tabs>
        <w:spacing w:before="120" w:after="0" w:line="276" w:lineRule="auto"/>
        <w:ind w:left="1080" w:hanging="630"/>
      </w:pPr>
      <w:r w:rsidRPr="002E2EB1">
        <w:rPr>
          <w:rFonts w:eastAsia="Calibri"/>
          <w:bCs/>
        </w:rPr>
        <w:t>Efeitos graves, que representam risco de vida (grau 4):</w:t>
      </w:r>
    </w:p>
    <w:p w:rsidR="00035880" w:rsidRPr="002E2EB1" w:rsidRDefault="00035880" w:rsidP="00C52E09">
      <w:pPr>
        <w:pStyle w:val="TM-4n"/>
        <w:numPr>
          <w:ilvl w:val="0"/>
          <w:numId w:val="245"/>
        </w:numPr>
        <w:tabs>
          <w:tab w:val="clear" w:pos="720"/>
          <w:tab w:val="clear" w:pos="1134"/>
        </w:tabs>
        <w:spacing w:before="120" w:after="0" w:line="276" w:lineRule="auto"/>
        <w:ind w:left="1440"/>
      </w:pPr>
      <w:r w:rsidRPr="002E2EB1">
        <w:rPr>
          <w:rFonts w:eastAsia="Calibri"/>
        </w:rPr>
        <w:t>Interrupção de todos os medicamentos</w:t>
      </w:r>
    </w:p>
    <w:p w:rsidR="00035880" w:rsidRPr="002E2EB1" w:rsidRDefault="00035880" w:rsidP="00C52E09">
      <w:pPr>
        <w:pStyle w:val="TM-4n"/>
        <w:numPr>
          <w:ilvl w:val="0"/>
          <w:numId w:val="245"/>
        </w:numPr>
        <w:tabs>
          <w:tab w:val="clear" w:pos="720"/>
          <w:tab w:val="clear" w:pos="1134"/>
        </w:tabs>
        <w:spacing w:before="120" w:after="0" w:line="276" w:lineRule="auto"/>
        <w:ind w:left="1440"/>
      </w:pPr>
      <w:r w:rsidRPr="002E2EB1">
        <w:rPr>
          <w:rFonts w:eastAsia="Calibri"/>
        </w:rPr>
        <w:lastRenderedPageBreak/>
        <w:t>Terapia de apoio adequada: internar/referir ao médico</w:t>
      </w:r>
    </w:p>
    <w:p w:rsidR="00035880" w:rsidRPr="002E2EB1" w:rsidRDefault="00035880" w:rsidP="00C52E09">
      <w:pPr>
        <w:pStyle w:val="TM-4n"/>
        <w:numPr>
          <w:ilvl w:val="0"/>
          <w:numId w:val="245"/>
        </w:numPr>
        <w:tabs>
          <w:tab w:val="clear" w:pos="720"/>
          <w:tab w:val="clear" w:pos="1134"/>
        </w:tabs>
        <w:spacing w:before="120" w:after="0" w:line="276" w:lineRule="auto"/>
        <w:ind w:left="1440"/>
      </w:pPr>
      <w:r w:rsidRPr="002E2EB1">
        <w:t>O técnico deve consultar o médico</w:t>
      </w:r>
    </w:p>
    <w:p w:rsidR="00035880" w:rsidRDefault="00035880" w:rsidP="00C52E09">
      <w:pPr>
        <w:pStyle w:val="TM-2n"/>
        <w:numPr>
          <w:ilvl w:val="1"/>
          <w:numId w:val="274"/>
        </w:numPr>
        <w:spacing w:before="120" w:after="0" w:line="276" w:lineRule="auto"/>
        <w:ind w:left="450" w:hanging="464"/>
      </w:pPr>
      <w:r w:rsidRPr="002E2EB1">
        <w:t xml:space="preserve">Todas as reacções adversas devem ser notificadas </w:t>
      </w:r>
      <w:r>
        <w:t xml:space="preserve">a Unidade de Farmacovigilância do </w:t>
      </w:r>
      <w:r w:rsidRPr="002E2EB1">
        <w:t>Ministério da Saúde, utilizando a Ficha de Notificação de Reacções Adversas a Medicamentos.</w:t>
      </w:r>
      <w:r>
        <w:t xml:space="preserve"> </w:t>
      </w:r>
    </w:p>
    <w:p w:rsidR="00F957A0" w:rsidRPr="002E2EB1" w:rsidRDefault="00F957A0" w:rsidP="00F957A0">
      <w:pPr>
        <w:pStyle w:val="TM-2n"/>
        <w:numPr>
          <w:ilvl w:val="0"/>
          <w:numId w:val="0"/>
        </w:numPr>
        <w:spacing w:before="120" w:after="0" w:line="276" w:lineRule="auto"/>
        <w:ind w:left="450"/>
      </w:pPr>
    </w:p>
    <w:p w:rsidR="00035880" w:rsidRDefault="00035880" w:rsidP="00035880">
      <w:pPr>
        <w:pStyle w:val="TM-0"/>
        <w:spacing w:before="120" w:after="0" w:line="276" w:lineRule="auto"/>
        <w:jc w:val="center"/>
      </w:pPr>
      <w:r>
        <w:rPr>
          <w:noProof/>
          <w:lang w:val="en-ZW" w:eastAsia="en-ZW"/>
        </w:rPr>
        <w:drawing>
          <wp:inline distT="0" distB="0" distL="0" distR="0" wp14:anchorId="79E07951" wp14:editId="339B24C4">
            <wp:extent cx="5905500" cy="7645400"/>
            <wp:effectExtent l="19050" t="0" r="0" b="0"/>
            <wp:docPr id="2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9" cstate="print"/>
                    <a:srcRect/>
                    <a:stretch>
                      <a:fillRect/>
                    </a:stretch>
                  </pic:blipFill>
                  <pic:spPr bwMode="auto">
                    <a:xfrm>
                      <a:off x="0" y="0"/>
                      <a:ext cx="5905500" cy="7645400"/>
                    </a:xfrm>
                    <a:prstGeom prst="rect">
                      <a:avLst/>
                    </a:prstGeom>
                    <a:noFill/>
                    <a:ln w="9525">
                      <a:noFill/>
                      <a:miter lim="800000"/>
                      <a:headEnd/>
                      <a:tailEnd/>
                    </a:ln>
                  </pic:spPr>
                </pic:pic>
              </a:graphicData>
            </a:graphic>
          </wp:inline>
        </w:drawing>
      </w:r>
    </w:p>
    <w:p w:rsidR="00035880" w:rsidRPr="002E2EB1" w:rsidRDefault="00035880" w:rsidP="00035880">
      <w:pPr>
        <w:pStyle w:val="TM-0"/>
        <w:spacing w:before="120" w:after="0" w:line="276" w:lineRule="auto"/>
        <w:jc w:val="both"/>
      </w:pPr>
      <w:r>
        <w:br w:type="page"/>
      </w:r>
    </w:p>
    <w:p w:rsidR="00035880" w:rsidRPr="002E2EB1" w:rsidRDefault="005F3F7B" w:rsidP="005F3F7B">
      <w:pPr>
        <w:pStyle w:val="TM-1n"/>
        <w:numPr>
          <w:ilvl w:val="0"/>
          <w:numId w:val="0"/>
        </w:numPr>
        <w:shd w:val="clear" w:color="auto" w:fill="C6D9F1"/>
        <w:tabs>
          <w:tab w:val="clear" w:pos="9072"/>
          <w:tab w:val="left" w:pos="284"/>
        </w:tabs>
      </w:pPr>
      <w:r>
        <w:lastRenderedPageBreak/>
        <w:t xml:space="preserve">BLOCO 6: </w:t>
      </w:r>
      <w:r w:rsidR="00035880" w:rsidRPr="002E2EB1">
        <w:t>PICADAS E MORDEDURAS DE ANIMAIS: CLASSIFICAÇÃO E MANEJO</w:t>
      </w:r>
      <w:r w:rsidR="00035880" w:rsidRPr="002E2EB1">
        <w:tab/>
      </w:r>
    </w:p>
    <w:p w:rsidR="00035880" w:rsidRPr="002E2EB1" w:rsidRDefault="00035880" w:rsidP="00C52E09">
      <w:pPr>
        <w:pStyle w:val="TM-2n"/>
        <w:numPr>
          <w:ilvl w:val="1"/>
          <w:numId w:val="275"/>
        </w:numPr>
        <w:spacing w:before="120" w:after="0" w:line="276" w:lineRule="auto"/>
        <w:ind w:left="450" w:hanging="450"/>
      </w:pPr>
      <w:r w:rsidRPr="002E2EB1">
        <w:t>Tanto insectos como muitos animais vertebrados podem atacar e picar ou morder os seres humanos. Picadas e mordeduras podem-se classificar segundo o tipo de animal que faz o ataque em:</w:t>
      </w:r>
    </w:p>
    <w:p w:rsidR="00035880" w:rsidRPr="002E2EB1" w:rsidRDefault="00035880" w:rsidP="00C52E09">
      <w:pPr>
        <w:pStyle w:val="TM-3n"/>
        <w:numPr>
          <w:ilvl w:val="2"/>
          <w:numId w:val="275"/>
        </w:numPr>
        <w:tabs>
          <w:tab w:val="clear" w:pos="1276"/>
        </w:tabs>
        <w:spacing w:before="120" w:after="0" w:line="276" w:lineRule="auto"/>
        <w:ind w:left="1080" w:hanging="630"/>
      </w:pPr>
      <w:r w:rsidRPr="002E2EB1">
        <w:t>Artrópodos, como pulgas, mosquitos, aranhas, ou escorpiões.</w:t>
      </w:r>
    </w:p>
    <w:p w:rsidR="00035880" w:rsidRPr="002E2EB1" w:rsidRDefault="00035880" w:rsidP="00C52E09">
      <w:pPr>
        <w:pStyle w:val="TM-3n"/>
        <w:numPr>
          <w:ilvl w:val="2"/>
          <w:numId w:val="275"/>
        </w:numPr>
        <w:tabs>
          <w:tab w:val="clear" w:pos="1276"/>
        </w:tabs>
        <w:spacing w:before="120" w:after="0" w:line="276" w:lineRule="auto"/>
        <w:ind w:left="1080" w:hanging="630"/>
      </w:pPr>
      <w:r w:rsidRPr="002E2EB1">
        <w:t>Répteis, como cobras, ou mambas.</w:t>
      </w:r>
    </w:p>
    <w:p w:rsidR="00035880" w:rsidRPr="002E2EB1" w:rsidRDefault="00035880" w:rsidP="00C52E09">
      <w:pPr>
        <w:pStyle w:val="TM-3n"/>
        <w:numPr>
          <w:ilvl w:val="2"/>
          <w:numId w:val="275"/>
        </w:numPr>
        <w:tabs>
          <w:tab w:val="clear" w:pos="1276"/>
        </w:tabs>
        <w:spacing w:before="120" w:after="0" w:line="276" w:lineRule="auto"/>
        <w:ind w:left="1080" w:hanging="630"/>
      </w:pPr>
      <w:r w:rsidRPr="002E2EB1">
        <w:t>Outros vertebrados, como cães, gatos, ratos, macacos, e alguns pássaros como o papagaio.</w:t>
      </w:r>
    </w:p>
    <w:p w:rsidR="00035880" w:rsidRPr="002E2EB1" w:rsidRDefault="00035880" w:rsidP="00C52E09">
      <w:pPr>
        <w:pStyle w:val="TM-3n"/>
        <w:numPr>
          <w:ilvl w:val="2"/>
          <w:numId w:val="275"/>
        </w:numPr>
        <w:tabs>
          <w:tab w:val="clear" w:pos="1276"/>
        </w:tabs>
        <w:spacing w:before="120" w:after="0" w:line="276" w:lineRule="auto"/>
        <w:ind w:left="1080" w:hanging="630"/>
      </w:pPr>
      <w:r w:rsidRPr="002E2EB1">
        <w:t>Seres humanos.</w:t>
      </w:r>
    </w:p>
    <w:p w:rsidR="00035880" w:rsidRPr="002E2EB1" w:rsidRDefault="00035880" w:rsidP="00C52E09">
      <w:pPr>
        <w:pStyle w:val="TM-2n"/>
        <w:numPr>
          <w:ilvl w:val="1"/>
          <w:numId w:val="275"/>
        </w:numPr>
        <w:spacing w:before="120" w:after="0" w:line="276" w:lineRule="auto"/>
        <w:ind w:left="450" w:hanging="464"/>
      </w:pPr>
      <w:r w:rsidRPr="002E2EB1">
        <w:t>Mordeduras e picadas provocam uma série de problemas que precisam de cuidados clínicos, como:</w:t>
      </w:r>
    </w:p>
    <w:p w:rsidR="00035880" w:rsidRPr="002E2EB1" w:rsidRDefault="00035880" w:rsidP="00C52E09">
      <w:pPr>
        <w:pStyle w:val="TM-3n"/>
        <w:numPr>
          <w:ilvl w:val="2"/>
          <w:numId w:val="275"/>
        </w:numPr>
        <w:tabs>
          <w:tab w:val="clear" w:pos="1276"/>
        </w:tabs>
        <w:spacing w:before="120" w:after="0" w:line="276" w:lineRule="auto"/>
        <w:ind w:left="1080" w:hanging="630"/>
      </w:pPr>
      <w:r w:rsidRPr="002E2EB1">
        <w:t>Lesão dos tecidos a causa dos destroços produzidos pela mordedura.</w:t>
      </w:r>
    </w:p>
    <w:p w:rsidR="00035880" w:rsidRPr="002E2EB1" w:rsidRDefault="00035880" w:rsidP="00C52E09">
      <w:pPr>
        <w:pStyle w:val="TM-3n"/>
        <w:numPr>
          <w:ilvl w:val="2"/>
          <w:numId w:val="275"/>
        </w:numPr>
        <w:tabs>
          <w:tab w:val="clear" w:pos="1276"/>
        </w:tabs>
        <w:spacing w:before="120" w:after="0" w:line="276" w:lineRule="auto"/>
        <w:ind w:left="1080" w:hanging="630"/>
      </w:pPr>
      <w:r w:rsidRPr="002E2EB1">
        <w:t>Hemorragias que podem ser graves, dependendo dos vasos sanguíneos afectados.</w:t>
      </w:r>
    </w:p>
    <w:p w:rsidR="00035880" w:rsidRPr="002E2EB1" w:rsidRDefault="00035880" w:rsidP="00C52E09">
      <w:pPr>
        <w:pStyle w:val="TM-3n"/>
        <w:numPr>
          <w:ilvl w:val="2"/>
          <w:numId w:val="275"/>
        </w:numPr>
        <w:tabs>
          <w:tab w:val="clear" w:pos="1276"/>
        </w:tabs>
        <w:spacing w:before="120" w:after="0" w:line="276" w:lineRule="auto"/>
        <w:ind w:left="1080" w:hanging="630"/>
      </w:pPr>
      <w:r w:rsidRPr="002E2EB1">
        <w:t>Infecção por bactérias ou outros patógenos, como o vírus da raiva.</w:t>
      </w:r>
    </w:p>
    <w:p w:rsidR="00035880" w:rsidRPr="002E2EB1" w:rsidRDefault="00035880" w:rsidP="00C52E09">
      <w:pPr>
        <w:pStyle w:val="TM-3n"/>
        <w:numPr>
          <w:ilvl w:val="2"/>
          <w:numId w:val="275"/>
        </w:numPr>
        <w:tabs>
          <w:tab w:val="clear" w:pos="1276"/>
        </w:tabs>
        <w:spacing w:before="120" w:after="0" w:line="276" w:lineRule="auto"/>
        <w:ind w:left="1080" w:hanging="630"/>
      </w:pPr>
      <w:r w:rsidRPr="002E2EB1">
        <w:t>Introdução de veneno no caso de mordeduras por determinados animais, como cobras, escorpiões ou aranhas.</w:t>
      </w:r>
    </w:p>
    <w:p w:rsidR="00035880" w:rsidRPr="002E2EB1" w:rsidRDefault="00035880" w:rsidP="00C52E09">
      <w:pPr>
        <w:pStyle w:val="TM-3n"/>
        <w:numPr>
          <w:ilvl w:val="2"/>
          <w:numId w:val="275"/>
        </w:numPr>
        <w:tabs>
          <w:tab w:val="clear" w:pos="1276"/>
        </w:tabs>
        <w:spacing w:before="120" w:after="0" w:line="276" w:lineRule="auto"/>
        <w:ind w:left="1080" w:hanging="630"/>
      </w:pPr>
      <w:r w:rsidRPr="002E2EB1">
        <w:t xml:space="preserve">Introdução de outras substâncias irritantes, que produzem inflamação e </w:t>
      </w:r>
      <w:r>
        <w:t>prurido</w:t>
      </w:r>
      <w:r w:rsidRPr="002E2EB1">
        <w:t>.</w:t>
      </w:r>
    </w:p>
    <w:p w:rsidR="00035880" w:rsidRPr="002E2EB1" w:rsidRDefault="00035880" w:rsidP="00C52E09">
      <w:pPr>
        <w:pStyle w:val="TM-2n"/>
        <w:numPr>
          <w:ilvl w:val="1"/>
          <w:numId w:val="275"/>
        </w:numPr>
        <w:spacing w:before="120" w:after="0" w:line="276" w:lineRule="auto"/>
        <w:ind w:left="450" w:hanging="464"/>
      </w:pPr>
      <w:r w:rsidRPr="002E2EB1">
        <w:t>A conduta a seguir perante uma mordedura deve ser:</w:t>
      </w:r>
    </w:p>
    <w:p w:rsidR="00035880" w:rsidRPr="002E2EB1" w:rsidRDefault="00035880" w:rsidP="00C52E09">
      <w:pPr>
        <w:pStyle w:val="TM-3n"/>
        <w:numPr>
          <w:ilvl w:val="2"/>
          <w:numId w:val="275"/>
        </w:numPr>
        <w:tabs>
          <w:tab w:val="clear" w:pos="1276"/>
        </w:tabs>
        <w:spacing w:before="120" w:after="0" w:line="276" w:lineRule="auto"/>
        <w:ind w:left="1080" w:hanging="630"/>
      </w:pPr>
      <w:r w:rsidRPr="002E2EB1">
        <w:t>Lavar e limpar a ferida, se possível utilizando iodo povidona.</w:t>
      </w:r>
    </w:p>
    <w:p w:rsidR="00035880" w:rsidRPr="002E2EB1" w:rsidRDefault="00035880" w:rsidP="00C52E09">
      <w:pPr>
        <w:pStyle w:val="TM-3n"/>
        <w:numPr>
          <w:ilvl w:val="2"/>
          <w:numId w:val="275"/>
        </w:numPr>
        <w:tabs>
          <w:tab w:val="clear" w:pos="1276"/>
        </w:tabs>
        <w:spacing w:before="120" w:after="0" w:line="276" w:lineRule="auto"/>
        <w:ind w:left="1080" w:hanging="630"/>
      </w:pPr>
      <w:r w:rsidRPr="002E2EB1">
        <w:t>Não suturar a ferida, pois a sutura pode aumentar as possibilidades duma infecção pós-mordedura.</w:t>
      </w:r>
    </w:p>
    <w:p w:rsidR="00035880" w:rsidRPr="002E2EB1" w:rsidRDefault="00035880" w:rsidP="00C52E09">
      <w:pPr>
        <w:pStyle w:val="TM-3n"/>
        <w:numPr>
          <w:ilvl w:val="2"/>
          <w:numId w:val="275"/>
        </w:numPr>
        <w:tabs>
          <w:tab w:val="clear" w:pos="1276"/>
        </w:tabs>
        <w:spacing w:before="120" w:after="0" w:line="276" w:lineRule="auto"/>
        <w:ind w:left="1080" w:hanging="630"/>
      </w:pPr>
      <w:r w:rsidRPr="002E2EB1">
        <w:t>Verificar se possível o estado de vacinação anti-tetánica do paciente, e no caso de dúvidas administrar imunoglobulina anti-tetánica.</w:t>
      </w:r>
    </w:p>
    <w:p w:rsidR="00035880" w:rsidRPr="002E2EB1" w:rsidRDefault="00035880" w:rsidP="00C52E09">
      <w:pPr>
        <w:pStyle w:val="TM-3n"/>
        <w:numPr>
          <w:ilvl w:val="2"/>
          <w:numId w:val="275"/>
        </w:numPr>
        <w:tabs>
          <w:tab w:val="clear" w:pos="1276"/>
        </w:tabs>
        <w:spacing w:before="120" w:after="0" w:line="276" w:lineRule="auto"/>
        <w:ind w:left="1080" w:hanging="630"/>
      </w:pPr>
      <w:r w:rsidRPr="002E2EB1">
        <w:t>Começar profilaxia empírica com antibióticos, geralmente com amoxicilina, doxiciclina ou metronidazol.</w:t>
      </w:r>
    </w:p>
    <w:p w:rsidR="00035880" w:rsidRPr="002E2EB1" w:rsidRDefault="00035880" w:rsidP="00C52E09">
      <w:pPr>
        <w:pStyle w:val="TM-3n"/>
        <w:numPr>
          <w:ilvl w:val="2"/>
          <w:numId w:val="275"/>
        </w:numPr>
        <w:tabs>
          <w:tab w:val="clear" w:pos="1276"/>
        </w:tabs>
        <w:spacing w:before="120" w:after="0" w:line="276" w:lineRule="auto"/>
        <w:ind w:left="1080" w:hanging="630"/>
      </w:pPr>
      <w:r w:rsidRPr="002E2EB1">
        <w:t xml:space="preserve">As mordeduras por mamíferos podem transmitir o vírus da raiva. Neste caso, é recomendado verificar o estado de vacinação do animal, se possível. Caso contrário, deve-se </w:t>
      </w:r>
      <w:r>
        <w:t xml:space="preserve">prender </w:t>
      </w:r>
      <w:r w:rsidRPr="002E2EB1">
        <w:t>o animal e mantê-lo em observação durante 10 dias para verificar se ele desenvolve sintomas e sinais de raiva (espuma na boca, espasmos, conduta agressiva, auto-mutilação). Se o animal consegue fugir, é recomendável realizar profilaxia contra a raiva.</w:t>
      </w:r>
    </w:p>
    <w:p w:rsidR="00035880" w:rsidRPr="002E2EB1" w:rsidRDefault="00035880" w:rsidP="00C52E09">
      <w:pPr>
        <w:pStyle w:val="TM-2n"/>
        <w:numPr>
          <w:ilvl w:val="1"/>
          <w:numId w:val="275"/>
        </w:numPr>
        <w:spacing w:before="120" w:after="0" w:line="276" w:lineRule="auto"/>
        <w:ind w:left="450" w:hanging="464"/>
      </w:pPr>
      <w:r w:rsidRPr="002E2EB1">
        <w:t>Em caso de mordedura de répteis venenosos, referir imediatamente o paciente para tratamento num hospital, onde pode estar disponível o antídoto contra o veneno. Para realizar a referência, deve-se ter em conta o seguinte:</w:t>
      </w:r>
    </w:p>
    <w:p w:rsidR="00035880" w:rsidRPr="002E2EB1" w:rsidRDefault="00035880" w:rsidP="00C52E09">
      <w:pPr>
        <w:pStyle w:val="TM-3n"/>
        <w:numPr>
          <w:ilvl w:val="2"/>
          <w:numId w:val="275"/>
        </w:numPr>
        <w:tabs>
          <w:tab w:val="clear" w:pos="1276"/>
        </w:tabs>
        <w:spacing w:before="120" w:after="0" w:line="276" w:lineRule="auto"/>
        <w:ind w:left="1080" w:hanging="630"/>
      </w:pPr>
      <w:r w:rsidRPr="002E2EB1">
        <w:t>Manter o paciente em repouso, evitando que se agite.</w:t>
      </w:r>
    </w:p>
    <w:p w:rsidR="00035880" w:rsidRPr="002E2EB1" w:rsidRDefault="00035880" w:rsidP="00C52E09">
      <w:pPr>
        <w:pStyle w:val="TM-3n"/>
        <w:numPr>
          <w:ilvl w:val="2"/>
          <w:numId w:val="275"/>
        </w:numPr>
        <w:tabs>
          <w:tab w:val="clear" w:pos="1276"/>
        </w:tabs>
        <w:spacing w:before="120" w:after="0" w:line="276" w:lineRule="auto"/>
        <w:ind w:left="1080" w:hanging="630"/>
      </w:pPr>
      <w:r w:rsidRPr="002E2EB1">
        <w:t>Não administrar analgésicos.</w:t>
      </w:r>
    </w:p>
    <w:p w:rsidR="00035880" w:rsidRPr="002E2EB1" w:rsidRDefault="00035880" w:rsidP="00C52E09">
      <w:pPr>
        <w:pStyle w:val="TM-3n"/>
        <w:numPr>
          <w:ilvl w:val="2"/>
          <w:numId w:val="275"/>
        </w:numPr>
        <w:tabs>
          <w:tab w:val="clear" w:pos="1276"/>
        </w:tabs>
        <w:spacing w:before="120" w:after="0" w:line="276" w:lineRule="auto"/>
        <w:ind w:left="1080" w:hanging="630"/>
      </w:pPr>
      <w:r w:rsidRPr="002E2EB1">
        <w:t>Aplicar compressão ligeira 2-3 cm por cima da mordedura, para diminuir a circulação sanguínea sem interrompe-la por completo.</w:t>
      </w:r>
    </w:p>
    <w:p w:rsidR="00035880" w:rsidRPr="002E2EB1" w:rsidRDefault="00035880" w:rsidP="00C52E09">
      <w:pPr>
        <w:pStyle w:val="TM-2n"/>
        <w:numPr>
          <w:ilvl w:val="1"/>
          <w:numId w:val="275"/>
        </w:numPr>
        <w:spacing w:before="120" w:after="0" w:line="276" w:lineRule="auto"/>
        <w:ind w:left="450" w:hanging="464"/>
      </w:pPr>
      <w:r w:rsidRPr="002E2EB1">
        <w:t>As picadas de insectos não costumam ser perigosas para a vida, salvo em caso de reacções alérgicas graves. Não é preciso tratamento, apenas administrar anti-histamínicos como clorfeniramina</w:t>
      </w:r>
      <w:r>
        <w:t xml:space="preserve"> ou difenidramina</w:t>
      </w:r>
      <w:r w:rsidRPr="002E2EB1">
        <w:t xml:space="preserve"> se ocorrer uma reacção inflamatória e/ou o prurido muito intensos.</w:t>
      </w:r>
    </w:p>
    <w:p w:rsidR="00035880" w:rsidRDefault="00035880" w:rsidP="00C52E09">
      <w:pPr>
        <w:pStyle w:val="TM-2n"/>
        <w:numPr>
          <w:ilvl w:val="1"/>
          <w:numId w:val="275"/>
        </w:numPr>
        <w:spacing w:before="120" w:after="0" w:line="276" w:lineRule="auto"/>
        <w:ind w:left="450" w:hanging="464"/>
      </w:pPr>
      <w:r w:rsidRPr="002E2EB1">
        <w:lastRenderedPageBreak/>
        <w:t xml:space="preserve">As mordeduras humanas apresentam o perigo de infecções provocadas pela flora bacteriana oral, e também de transmissão de doenças como </w:t>
      </w:r>
      <w:r>
        <w:t>HIV</w:t>
      </w:r>
      <w:r w:rsidRPr="002E2EB1">
        <w:t xml:space="preserve"> ou hepatite.</w:t>
      </w:r>
    </w:p>
    <w:p w:rsidR="00035880" w:rsidRPr="002E2EB1" w:rsidRDefault="00035880" w:rsidP="00035880">
      <w:pPr>
        <w:pStyle w:val="TM-2n"/>
        <w:numPr>
          <w:ilvl w:val="0"/>
          <w:numId w:val="0"/>
        </w:numPr>
        <w:spacing w:before="120" w:after="0" w:line="276" w:lineRule="auto"/>
        <w:ind w:left="450"/>
      </w:pPr>
    </w:p>
    <w:p w:rsidR="00035880" w:rsidRPr="002E2EB1" w:rsidRDefault="005F3F7B" w:rsidP="005F3F7B">
      <w:pPr>
        <w:pStyle w:val="TM-1n"/>
        <w:numPr>
          <w:ilvl w:val="0"/>
          <w:numId w:val="0"/>
        </w:numPr>
        <w:shd w:val="clear" w:color="auto" w:fill="C6D9F1"/>
        <w:tabs>
          <w:tab w:val="clear" w:pos="9072"/>
          <w:tab w:val="left" w:pos="284"/>
        </w:tabs>
      </w:pPr>
      <w:r>
        <w:t xml:space="preserve">BLOCO 7: </w:t>
      </w:r>
      <w:r w:rsidR="00035880" w:rsidRPr="002E2EB1">
        <w:t>ANTÍDOTOS</w:t>
      </w:r>
      <w:r w:rsidR="00035880" w:rsidRPr="002E2EB1">
        <w:tab/>
      </w:r>
    </w:p>
    <w:p w:rsidR="00035880" w:rsidRPr="002E2EB1" w:rsidRDefault="00035880" w:rsidP="00C52E09">
      <w:pPr>
        <w:pStyle w:val="TM-2n"/>
        <w:numPr>
          <w:ilvl w:val="1"/>
          <w:numId w:val="276"/>
        </w:numPr>
        <w:spacing w:before="120" w:after="0" w:line="276" w:lineRule="auto"/>
        <w:ind w:left="540" w:hanging="540"/>
      </w:pPr>
      <w:r w:rsidRPr="002E2EB1">
        <w:t>Um antídoto é uma substância que tem a capacidade de impedir os efeitos nocivos de venenos, tóxicos e outros compostos químicos prejudiciais para o organismo.</w:t>
      </w:r>
    </w:p>
    <w:p w:rsidR="00035880" w:rsidRPr="002E2EB1" w:rsidRDefault="00035880" w:rsidP="00C52E09">
      <w:pPr>
        <w:pStyle w:val="TM-2n"/>
        <w:numPr>
          <w:ilvl w:val="1"/>
          <w:numId w:val="276"/>
        </w:numPr>
        <w:spacing w:before="120" w:after="0" w:line="276" w:lineRule="auto"/>
        <w:ind w:left="450" w:hanging="464"/>
      </w:pPr>
      <w:r w:rsidRPr="002E2EB1">
        <w:t>Os antídotos têm um papel muito importante no tratamento das intoxicações, já que o seu uso apropriado permite diminuir de maneira considerável os efeitos nocivos dos tóxicos sobre o organismo e em muitos casos acelerar a eliminação dos tóxicos.</w:t>
      </w:r>
    </w:p>
    <w:p w:rsidR="00035880" w:rsidRPr="002E2EB1" w:rsidRDefault="00035880" w:rsidP="00C52E09">
      <w:pPr>
        <w:pStyle w:val="TM-2n"/>
        <w:numPr>
          <w:ilvl w:val="1"/>
          <w:numId w:val="276"/>
        </w:numPr>
        <w:spacing w:before="120" w:after="0" w:line="276" w:lineRule="auto"/>
        <w:ind w:left="450" w:hanging="464"/>
      </w:pPr>
      <w:r w:rsidRPr="002E2EB1">
        <w:t>Considerando o seu mecanismo de acção, existem cinco tipos diferentes de antídotos:</w:t>
      </w:r>
    </w:p>
    <w:p w:rsidR="00035880" w:rsidRPr="002E2EB1" w:rsidRDefault="00035880" w:rsidP="00C52E09">
      <w:pPr>
        <w:pStyle w:val="TM-3n"/>
        <w:numPr>
          <w:ilvl w:val="2"/>
          <w:numId w:val="276"/>
        </w:numPr>
        <w:tabs>
          <w:tab w:val="clear" w:pos="1276"/>
        </w:tabs>
        <w:spacing w:before="120" w:after="0" w:line="276" w:lineRule="auto"/>
        <w:ind w:left="1080" w:hanging="630"/>
      </w:pPr>
      <w:r w:rsidRPr="002E2EB1">
        <w:t>Substâncias que impedem ou diminuem a formação de produtos metabólicos tóxicos. Por exemplo, o etanol diminui o efeito tóxico de outros álcoois, como o metanol.</w:t>
      </w:r>
    </w:p>
    <w:p w:rsidR="00035880" w:rsidRPr="002E2EB1" w:rsidRDefault="00035880" w:rsidP="00C52E09">
      <w:pPr>
        <w:pStyle w:val="TM-3n"/>
        <w:numPr>
          <w:ilvl w:val="2"/>
          <w:numId w:val="276"/>
        </w:numPr>
        <w:tabs>
          <w:tab w:val="clear" w:pos="1276"/>
        </w:tabs>
        <w:spacing w:before="120" w:after="0" w:line="276" w:lineRule="auto"/>
        <w:ind w:left="1080" w:hanging="630"/>
      </w:pPr>
      <w:r w:rsidRPr="002E2EB1">
        <w:t>Substâncias que impedem a acção do tóxico por concorrência com um receptor específico. Por exemplo, a atropina bloqueia o efeito de alguns insecticidas</w:t>
      </w:r>
      <w:r>
        <w:t xml:space="preserve"> (organofosforados)</w:t>
      </w:r>
      <w:r w:rsidRPr="002E2EB1">
        <w:t xml:space="preserve"> e gases tóxicos.</w:t>
      </w:r>
    </w:p>
    <w:p w:rsidR="00035880" w:rsidRPr="002E2EB1" w:rsidRDefault="00035880" w:rsidP="00C52E09">
      <w:pPr>
        <w:pStyle w:val="TM-3n"/>
        <w:numPr>
          <w:ilvl w:val="2"/>
          <w:numId w:val="276"/>
        </w:numPr>
        <w:tabs>
          <w:tab w:val="clear" w:pos="1276"/>
        </w:tabs>
        <w:spacing w:before="120" w:after="0" w:line="276" w:lineRule="auto"/>
        <w:ind w:left="1080" w:hanging="630"/>
      </w:pPr>
      <w:r w:rsidRPr="002E2EB1">
        <w:t>Substâncias que actuam corrigindo o efeito prejudicial do tóxico. Por exemplo, o ácido folínico diminui o efeito tóxico de antibióticos que inibem a síntese de ácidos nucleicos como trimetoprim e pirimetamina.</w:t>
      </w:r>
    </w:p>
    <w:p w:rsidR="00035880" w:rsidRPr="002E2EB1" w:rsidRDefault="00035880" w:rsidP="00C52E09">
      <w:pPr>
        <w:pStyle w:val="TM-3n"/>
        <w:numPr>
          <w:ilvl w:val="2"/>
          <w:numId w:val="276"/>
        </w:numPr>
        <w:tabs>
          <w:tab w:val="clear" w:pos="1276"/>
        </w:tabs>
        <w:spacing w:before="120" w:after="0" w:line="276" w:lineRule="auto"/>
        <w:ind w:left="1080" w:hanging="630"/>
      </w:pPr>
      <w:r w:rsidRPr="002E2EB1">
        <w:t>Substâncias que formam complexos químicos com o tóxico e facilitam a sua eliminação. Por exemplo, o EDTA (ácido etilenodiamino tetra-acético) cálcico liga-se a metais como ferro e mercúrio, formando compostos que são eliminados do organismo sem provocar toxicidade.</w:t>
      </w:r>
    </w:p>
    <w:p w:rsidR="00035880" w:rsidRPr="002E2EB1" w:rsidRDefault="00035880" w:rsidP="00C52E09">
      <w:pPr>
        <w:pStyle w:val="TM-3n"/>
        <w:numPr>
          <w:ilvl w:val="2"/>
          <w:numId w:val="276"/>
        </w:numPr>
        <w:tabs>
          <w:tab w:val="clear" w:pos="1276"/>
        </w:tabs>
        <w:spacing w:before="120" w:after="0" w:line="276" w:lineRule="auto"/>
        <w:ind w:left="1080" w:hanging="630"/>
      </w:pPr>
      <w:r w:rsidRPr="002E2EB1">
        <w:t>Substâncias que actuam por mecanismos imunológicos. Por exemplo, os antídotos contra o veneno de répteis.</w:t>
      </w:r>
    </w:p>
    <w:p w:rsidR="00035880" w:rsidRPr="002E2EB1" w:rsidRDefault="00035880" w:rsidP="00C52E09">
      <w:pPr>
        <w:pStyle w:val="TM-2n"/>
        <w:numPr>
          <w:ilvl w:val="1"/>
          <w:numId w:val="276"/>
        </w:numPr>
        <w:spacing w:before="120" w:after="0" w:line="276" w:lineRule="auto"/>
        <w:ind w:left="450" w:hanging="464"/>
      </w:pPr>
      <w:r w:rsidRPr="002E2EB1">
        <w:t>O uso dos antídotos deve ser feito em simultâneo com as medidas de suporte vital e tratamento de sinais e sintomas que são indicados para os casos de intoxicação.</w:t>
      </w:r>
    </w:p>
    <w:p w:rsidR="00035880" w:rsidRPr="002E2EB1" w:rsidRDefault="00035880" w:rsidP="00035880">
      <w:pPr>
        <w:pStyle w:val="TM-0"/>
        <w:spacing w:before="120" w:after="0" w:line="276" w:lineRule="auto"/>
        <w:jc w:val="both"/>
      </w:pPr>
    </w:p>
    <w:p w:rsidR="00035880" w:rsidRPr="002E2EB1" w:rsidRDefault="005F3F7B" w:rsidP="005F3F7B">
      <w:pPr>
        <w:pStyle w:val="TM-1n"/>
        <w:numPr>
          <w:ilvl w:val="0"/>
          <w:numId w:val="0"/>
        </w:numPr>
        <w:shd w:val="clear" w:color="auto" w:fill="C6D9F1"/>
        <w:tabs>
          <w:tab w:val="clear" w:pos="9072"/>
          <w:tab w:val="left" w:pos="284"/>
        </w:tabs>
      </w:pPr>
      <w:r>
        <w:t xml:space="preserve">BLOCO 8: </w:t>
      </w:r>
      <w:r w:rsidR="00035880" w:rsidRPr="002E2EB1">
        <w:t>PONTOS-CHAVE</w:t>
      </w:r>
    </w:p>
    <w:p w:rsidR="00035880" w:rsidRPr="002E2EB1" w:rsidRDefault="00035880" w:rsidP="00C52E09">
      <w:pPr>
        <w:pStyle w:val="TM-2n"/>
        <w:numPr>
          <w:ilvl w:val="1"/>
          <w:numId w:val="277"/>
        </w:numPr>
        <w:spacing w:before="120" w:after="0" w:line="276" w:lineRule="auto"/>
        <w:ind w:left="450" w:hanging="450"/>
      </w:pPr>
      <w:r w:rsidRPr="002E2EB1">
        <w:t>A toxicologia analisa os efeitos adversos das substâncias químicas no organismo</w:t>
      </w:r>
    </w:p>
    <w:p w:rsidR="00035880" w:rsidRPr="002E2EB1" w:rsidRDefault="00035880" w:rsidP="00C52E09">
      <w:pPr>
        <w:pStyle w:val="TM-2n"/>
        <w:numPr>
          <w:ilvl w:val="1"/>
          <w:numId w:val="277"/>
        </w:numPr>
        <w:spacing w:before="120" w:after="0" w:line="276" w:lineRule="auto"/>
        <w:ind w:left="450" w:hanging="464"/>
      </w:pPr>
      <w:r w:rsidRPr="002E2EB1">
        <w:t>As vias mais importantes de entrada de tóxicos no organismos são: ingestão, inalação, via parenteral, e via tópica</w:t>
      </w:r>
    </w:p>
    <w:p w:rsidR="00035880" w:rsidRPr="002E2EB1" w:rsidRDefault="00035880" w:rsidP="00C52E09">
      <w:pPr>
        <w:pStyle w:val="TM-2n"/>
        <w:numPr>
          <w:ilvl w:val="1"/>
          <w:numId w:val="277"/>
        </w:numPr>
        <w:spacing w:before="120" w:after="0" w:line="276" w:lineRule="auto"/>
        <w:ind w:left="450" w:hanging="464"/>
      </w:pPr>
      <w:r w:rsidRPr="002E2EB1">
        <w:t>A gravidade duma intoxicação depende de características da substância e do indivíduo, da dose de tóxico, e da via de entrada</w:t>
      </w:r>
    </w:p>
    <w:p w:rsidR="00035880" w:rsidRPr="002E2EB1" w:rsidRDefault="00035880" w:rsidP="00C52E09">
      <w:pPr>
        <w:pStyle w:val="TM-2n"/>
        <w:numPr>
          <w:ilvl w:val="1"/>
          <w:numId w:val="277"/>
        </w:numPr>
        <w:spacing w:before="120" w:after="0" w:line="276" w:lineRule="auto"/>
        <w:ind w:left="450" w:hanging="464"/>
      </w:pPr>
      <w:r w:rsidRPr="002E2EB1">
        <w:t>As intoxicações por medicamento tradicional são frequentemente provocadas pelo uso indevido ou não controlado de plantas que contêm substâncias activas</w:t>
      </w:r>
    </w:p>
    <w:p w:rsidR="00035880" w:rsidRPr="002E2EB1" w:rsidRDefault="00035880" w:rsidP="00C52E09">
      <w:pPr>
        <w:pStyle w:val="TM-2n"/>
        <w:numPr>
          <w:ilvl w:val="1"/>
          <w:numId w:val="277"/>
        </w:numPr>
        <w:spacing w:before="120" w:after="0" w:line="276" w:lineRule="auto"/>
        <w:ind w:left="450" w:hanging="464"/>
      </w:pPr>
      <w:r w:rsidRPr="002E2EB1">
        <w:t>Os objectivos do tratamento das intoxicações são: manter as constantes vitais do indivíduo, aliviar os sinais e sintomas, e impedir ou diminuir a acção do tóxico sobre o organismo</w:t>
      </w:r>
    </w:p>
    <w:p w:rsidR="00035880" w:rsidRPr="002E2EB1" w:rsidRDefault="00035880" w:rsidP="00C52E09">
      <w:pPr>
        <w:pStyle w:val="TM-2n"/>
        <w:numPr>
          <w:ilvl w:val="1"/>
          <w:numId w:val="277"/>
        </w:numPr>
        <w:spacing w:before="120" w:after="0" w:line="276" w:lineRule="auto"/>
        <w:ind w:left="450" w:hanging="464"/>
      </w:pPr>
      <w:r w:rsidRPr="002E2EB1">
        <w:t>A sobredose consiste na ingestão ou aplicação dum fármaco, droga, ou outra substância em quantidades excessivas, e pode ser de origem acidental, intencionada, por interacções entre fármacos não compatíveis, e pelo uso de drogas com fins recreativos</w:t>
      </w:r>
    </w:p>
    <w:p w:rsidR="00035880" w:rsidRPr="002E2EB1" w:rsidRDefault="00035880" w:rsidP="00C52E09">
      <w:pPr>
        <w:pStyle w:val="TM-2n"/>
        <w:numPr>
          <w:ilvl w:val="1"/>
          <w:numId w:val="277"/>
        </w:numPr>
        <w:spacing w:before="120" w:after="0" w:line="276" w:lineRule="auto"/>
        <w:ind w:left="450" w:hanging="464"/>
      </w:pPr>
      <w:r w:rsidRPr="002E2EB1">
        <w:t>O manejo das sobredoses é similar ao de outras intoxicações</w:t>
      </w:r>
    </w:p>
    <w:p w:rsidR="00035880" w:rsidRPr="002E2EB1" w:rsidRDefault="00035880" w:rsidP="00C52E09">
      <w:pPr>
        <w:pStyle w:val="TM-2n"/>
        <w:numPr>
          <w:ilvl w:val="1"/>
          <w:numId w:val="277"/>
        </w:numPr>
        <w:spacing w:before="120" w:after="0" w:line="276" w:lineRule="auto"/>
        <w:ind w:left="450" w:hanging="464"/>
      </w:pPr>
      <w:r w:rsidRPr="002E2EB1">
        <w:lastRenderedPageBreak/>
        <w:t>As reacções adversas resultam da reacção do indivíduo aos medicamentos que lhe são administrados, e manifestam-se através de sinais ou sintomas, ou de alterações nos resultados laboratoriais</w:t>
      </w:r>
    </w:p>
    <w:p w:rsidR="00035880" w:rsidRPr="002E2EB1" w:rsidRDefault="00035880" w:rsidP="00C52E09">
      <w:pPr>
        <w:pStyle w:val="TM-2n"/>
        <w:numPr>
          <w:ilvl w:val="1"/>
          <w:numId w:val="277"/>
        </w:numPr>
        <w:spacing w:before="120" w:after="0" w:line="276" w:lineRule="auto"/>
        <w:ind w:left="450" w:hanging="464"/>
      </w:pPr>
      <w:r w:rsidRPr="002E2EB1">
        <w:t>As mordeduras e picadas por animais e insectos são potencialmente perigosas por vários factores: a ferida causada; a possibilidade de infecção grave, como a raiva; e a introdução de venenos no caso de alguns répteis e insectos</w:t>
      </w:r>
    </w:p>
    <w:p w:rsidR="00035880" w:rsidRPr="002E2EB1" w:rsidRDefault="00035880" w:rsidP="00C52E09">
      <w:pPr>
        <w:pStyle w:val="TM-2n"/>
        <w:numPr>
          <w:ilvl w:val="1"/>
          <w:numId w:val="277"/>
        </w:numPr>
        <w:spacing w:before="120" w:after="0" w:line="276" w:lineRule="auto"/>
        <w:ind w:left="450" w:hanging="540"/>
      </w:pPr>
      <w:r w:rsidRPr="002E2EB1">
        <w:t>As mordeduras devem-se lavar e limpar, mas não se devem suturar pelo risco de infecção. Também há que administrar profilaxia contra o tétano e antibióticos contra possíveis infecções</w:t>
      </w:r>
    </w:p>
    <w:p w:rsidR="00035880" w:rsidRPr="002E2EB1" w:rsidRDefault="00035880" w:rsidP="00C52E09">
      <w:pPr>
        <w:pStyle w:val="TM-2n"/>
        <w:numPr>
          <w:ilvl w:val="1"/>
          <w:numId w:val="277"/>
        </w:numPr>
        <w:spacing w:before="120" w:after="0" w:line="276" w:lineRule="auto"/>
        <w:ind w:left="450" w:hanging="540"/>
      </w:pPr>
      <w:r w:rsidRPr="002E2EB1">
        <w:t>Os antídotos permitem diminuir duma maneira considerável os efeitos nocivos dos tóxicos sobre o organismo e em muitos casos acelerar a eliminação dos tóxicos.</w:t>
      </w:r>
    </w:p>
    <w:p w:rsidR="005F3F7B" w:rsidRDefault="005F3F7B">
      <w:pPr>
        <w:rPr>
          <w:rFonts w:eastAsia="Times New Roman" w:cs="Arial"/>
          <w:b/>
          <w:lang w:val="pt-PT" w:eastAsia="es-ES"/>
        </w:rPr>
      </w:pPr>
      <w:r w:rsidRPr="00850CFC">
        <w:rPr>
          <w:lang w:val="pt-PT"/>
        </w:rPr>
        <w:br w:type="page"/>
      </w:r>
    </w:p>
    <w:tbl>
      <w:tblPr>
        <w:tblW w:w="10150" w:type="dxa"/>
        <w:tblLayout w:type="fixed"/>
        <w:tblCellMar>
          <w:left w:w="70" w:type="dxa"/>
          <w:right w:w="70" w:type="dxa"/>
        </w:tblCellMar>
        <w:tblLook w:val="0020" w:firstRow="1" w:lastRow="0" w:firstColumn="0" w:lastColumn="0" w:noHBand="0" w:noVBand="0"/>
      </w:tblPr>
      <w:tblGrid>
        <w:gridCol w:w="1418"/>
        <w:gridCol w:w="4039"/>
        <w:gridCol w:w="2083"/>
        <w:gridCol w:w="2610"/>
      </w:tblGrid>
      <w:tr w:rsidR="00035880" w:rsidRPr="00DA57CB" w:rsidTr="00F47FAF">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035880" w:rsidRPr="00DA57CB" w:rsidRDefault="00035880" w:rsidP="00F47FAF">
            <w:pPr>
              <w:spacing w:line="240" w:lineRule="auto"/>
              <w:rPr>
                <w:rFonts w:eastAsia="Calibri" w:cs="Arial"/>
                <w:b/>
                <w:lang w:val="pt-PT"/>
              </w:rPr>
            </w:pPr>
            <w:r w:rsidRPr="00DA57CB">
              <w:rPr>
                <w:rFonts w:eastAsia="Calibri" w:cs="Arial"/>
                <w:b/>
                <w:lang w:val="pt-PT"/>
              </w:rPr>
              <w:lastRenderedPageBreak/>
              <w:t>Disciplina</w:t>
            </w:r>
          </w:p>
        </w:tc>
        <w:tc>
          <w:tcPr>
            <w:tcW w:w="4039" w:type="dxa"/>
            <w:tcBorders>
              <w:top w:val="single" w:sz="6" w:space="0" w:color="000000"/>
              <w:left w:val="single" w:sz="6" w:space="0" w:color="000000"/>
              <w:bottom w:val="single" w:sz="6" w:space="0" w:color="000000"/>
              <w:right w:val="single" w:sz="6" w:space="0" w:color="000000"/>
            </w:tcBorders>
            <w:vAlign w:val="center"/>
          </w:tcPr>
          <w:p w:rsidR="00035880" w:rsidRPr="00DA57CB" w:rsidRDefault="00035880" w:rsidP="00F47FAF">
            <w:pPr>
              <w:spacing w:line="240" w:lineRule="auto"/>
              <w:rPr>
                <w:rFonts w:eastAsia="Calibri" w:cs="Arial"/>
                <w:lang w:val="pt-PT"/>
              </w:rPr>
            </w:pPr>
            <w:r w:rsidRPr="00DA57CB">
              <w:rPr>
                <w:rFonts w:eastAsia="Calibri" w:cs="Arial"/>
                <w:lang w:val="pt-PT"/>
              </w:rPr>
              <w:t>Introdução às Ciências Médicas</w:t>
            </w:r>
          </w:p>
        </w:tc>
        <w:tc>
          <w:tcPr>
            <w:tcW w:w="2083" w:type="dxa"/>
            <w:tcBorders>
              <w:top w:val="single" w:sz="6" w:space="0" w:color="000000"/>
              <w:left w:val="single" w:sz="6" w:space="0" w:color="000000"/>
              <w:bottom w:val="single" w:sz="6" w:space="0" w:color="000000"/>
              <w:right w:val="single" w:sz="6" w:space="0" w:color="000000"/>
            </w:tcBorders>
            <w:vAlign w:val="center"/>
          </w:tcPr>
          <w:p w:rsidR="00035880" w:rsidRPr="00DA57CB" w:rsidRDefault="00035880" w:rsidP="00F47FAF">
            <w:pPr>
              <w:spacing w:line="240" w:lineRule="auto"/>
              <w:rPr>
                <w:rFonts w:eastAsia="Calibri" w:cs="Arial"/>
                <w:b/>
                <w:lang w:val="pt-PT"/>
              </w:rPr>
            </w:pPr>
            <w:r w:rsidRPr="00DA57CB">
              <w:rPr>
                <w:rFonts w:eastAsia="Calibri" w:cs="Arial"/>
                <w:b/>
                <w:lang w:val="pt-PT"/>
              </w:rPr>
              <w:t xml:space="preserve">N° da Aula </w:t>
            </w:r>
          </w:p>
        </w:tc>
        <w:tc>
          <w:tcPr>
            <w:tcW w:w="2610" w:type="dxa"/>
            <w:tcBorders>
              <w:top w:val="single" w:sz="6" w:space="0" w:color="000000"/>
              <w:left w:val="single" w:sz="6" w:space="0" w:color="000000"/>
              <w:bottom w:val="single" w:sz="6" w:space="0" w:color="000000"/>
              <w:right w:val="single" w:sz="6" w:space="0" w:color="000000"/>
            </w:tcBorders>
            <w:vAlign w:val="center"/>
          </w:tcPr>
          <w:p w:rsidR="00035880" w:rsidRPr="00DA57CB" w:rsidRDefault="00035880" w:rsidP="00F47FAF">
            <w:pPr>
              <w:spacing w:line="240" w:lineRule="auto"/>
              <w:jc w:val="center"/>
              <w:rPr>
                <w:rFonts w:eastAsia="Calibri" w:cs="Arial"/>
                <w:lang w:val="pt-PT"/>
              </w:rPr>
            </w:pPr>
            <w:r w:rsidRPr="00DA57CB">
              <w:rPr>
                <w:rFonts w:eastAsia="Calibri" w:cs="Arial"/>
                <w:lang w:val="pt-PT"/>
              </w:rPr>
              <w:t>25</w:t>
            </w:r>
          </w:p>
        </w:tc>
      </w:tr>
      <w:tr w:rsidR="00035880" w:rsidRPr="00DA57CB" w:rsidTr="00F47FAF">
        <w:trPr>
          <w:cantSplit/>
          <w:trHeight w:val="413"/>
        </w:trPr>
        <w:tc>
          <w:tcPr>
            <w:tcW w:w="1418" w:type="dxa"/>
            <w:tcBorders>
              <w:top w:val="single" w:sz="6" w:space="0" w:color="000000"/>
              <w:left w:val="single" w:sz="6" w:space="0" w:color="000000"/>
              <w:bottom w:val="single" w:sz="6" w:space="0" w:color="000000"/>
              <w:right w:val="single" w:sz="6" w:space="0" w:color="000000"/>
            </w:tcBorders>
            <w:vAlign w:val="center"/>
          </w:tcPr>
          <w:p w:rsidR="00035880" w:rsidRPr="00DA57CB" w:rsidRDefault="00035880" w:rsidP="00F47FAF">
            <w:pPr>
              <w:spacing w:line="240" w:lineRule="auto"/>
              <w:rPr>
                <w:rFonts w:eastAsia="Calibri" w:cs="Arial"/>
                <w:b/>
                <w:lang w:val="pt-PT"/>
              </w:rPr>
            </w:pPr>
            <w:r w:rsidRPr="00DA57CB">
              <w:rPr>
                <w:rFonts w:eastAsia="Calibri" w:cs="Arial"/>
                <w:b/>
                <w:lang w:val="pt-PT"/>
              </w:rPr>
              <w:t>Tópico</w:t>
            </w:r>
          </w:p>
        </w:tc>
        <w:tc>
          <w:tcPr>
            <w:tcW w:w="4039" w:type="dxa"/>
            <w:tcBorders>
              <w:top w:val="single" w:sz="6" w:space="0" w:color="000000"/>
              <w:left w:val="single" w:sz="6" w:space="0" w:color="000000"/>
              <w:bottom w:val="single" w:sz="6" w:space="0" w:color="000000"/>
              <w:right w:val="single" w:sz="6" w:space="0" w:color="000000"/>
            </w:tcBorders>
            <w:vAlign w:val="center"/>
          </w:tcPr>
          <w:p w:rsidR="00035880" w:rsidRPr="00DA57CB" w:rsidRDefault="00035880" w:rsidP="00F47FAF">
            <w:pPr>
              <w:spacing w:line="240" w:lineRule="auto"/>
              <w:rPr>
                <w:rFonts w:eastAsia="Calibri" w:cs="Arial"/>
                <w:lang w:val="pt-PT"/>
              </w:rPr>
            </w:pPr>
            <w:r w:rsidRPr="00DA57CB">
              <w:rPr>
                <w:rFonts w:eastAsia="Calibri" w:cs="Arial"/>
                <w:lang w:val="pt-PT"/>
              </w:rPr>
              <w:t>Farmacologia</w:t>
            </w:r>
          </w:p>
        </w:tc>
        <w:tc>
          <w:tcPr>
            <w:tcW w:w="2083" w:type="dxa"/>
            <w:tcBorders>
              <w:top w:val="single" w:sz="6" w:space="0" w:color="000000"/>
              <w:left w:val="single" w:sz="6" w:space="0" w:color="000000"/>
              <w:bottom w:val="single" w:sz="6" w:space="0" w:color="000000"/>
              <w:right w:val="single" w:sz="6" w:space="0" w:color="000000"/>
            </w:tcBorders>
            <w:vAlign w:val="center"/>
          </w:tcPr>
          <w:p w:rsidR="00035880" w:rsidRPr="00DA57CB" w:rsidRDefault="00035880" w:rsidP="00F47FAF">
            <w:pPr>
              <w:spacing w:line="240" w:lineRule="auto"/>
              <w:rPr>
                <w:rFonts w:eastAsia="Calibri" w:cs="Arial"/>
                <w:b/>
                <w:lang w:val="pt-PT"/>
              </w:rPr>
            </w:pPr>
            <w:r w:rsidRPr="00DA57CB">
              <w:rPr>
                <w:rFonts w:eastAsia="Calibri" w:cs="Arial"/>
                <w:b/>
                <w:lang w:val="pt-PT"/>
              </w:rPr>
              <w:t xml:space="preserve">Tipo </w:t>
            </w:r>
          </w:p>
        </w:tc>
        <w:tc>
          <w:tcPr>
            <w:tcW w:w="2610" w:type="dxa"/>
            <w:tcBorders>
              <w:top w:val="single" w:sz="6" w:space="0" w:color="000000"/>
              <w:left w:val="single" w:sz="6" w:space="0" w:color="000000"/>
              <w:bottom w:val="single" w:sz="6" w:space="0" w:color="000000"/>
              <w:right w:val="single" w:sz="6" w:space="0" w:color="000000"/>
            </w:tcBorders>
            <w:vAlign w:val="center"/>
          </w:tcPr>
          <w:p w:rsidR="00035880" w:rsidRPr="00DA57CB" w:rsidRDefault="00035880" w:rsidP="00F47FAF">
            <w:pPr>
              <w:spacing w:line="240" w:lineRule="auto"/>
              <w:jc w:val="center"/>
              <w:rPr>
                <w:rFonts w:eastAsia="Calibri" w:cs="Arial"/>
                <w:lang w:val="pt-PT"/>
              </w:rPr>
            </w:pPr>
            <w:r w:rsidRPr="00DA57CB">
              <w:rPr>
                <w:rFonts w:eastAsia="Calibri" w:cs="Arial"/>
                <w:lang w:val="pt-PT"/>
              </w:rPr>
              <w:t>Laboratório Humanístico</w:t>
            </w:r>
          </w:p>
        </w:tc>
      </w:tr>
      <w:tr w:rsidR="00035880" w:rsidRPr="00DA57CB" w:rsidTr="00F47FAF">
        <w:trPr>
          <w:cantSplit/>
          <w:trHeight w:val="414"/>
        </w:trPr>
        <w:tc>
          <w:tcPr>
            <w:tcW w:w="1418" w:type="dxa"/>
            <w:tcBorders>
              <w:top w:val="single" w:sz="6" w:space="0" w:color="000000"/>
              <w:left w:val="single" w:sz="6" w:space="0" w:color="000000"/>
              <w:bottom w:val="single" w:sz="6" w:space="0" w:color="000000"/>
              <w:right w:val="single" w:sz="6" w:space="0" w:color="000000"/>
            </w:tcBorders>
            <w:vAlign w:val="center"/>
          </w:tcPr>
          <w:p w:rsidR="00035880" w:rsidRPr="00DA57CB" w:rsidRDefault="00035880" w:rsidP="00F47FAF">
            <w:pPr>
              <w:spacing w:line="240" w:lineRule="auto"/>
              <w:rPr>
                <w:rFonts w:eastAsia="Calibri" w:cs="Arial"/>
                <w:b/>
                <w:lang w:val="pt-PT"/>
              </w:rPr>
            </w:pPr>
            <w:r w:rsidRPr="00DA57CB">
              <w:rPr>
                <w:rFonts w:eastAsia="Calibri" w:cs="Arial"/>
                <w:b/>
                <w:lang w:val="pt-PT"/>
              </w:rPr>
              <w:t>Conteúdos</w:t>
            </w:r>
          </w:p>
        </w:tc>
        <w:tc>
          <w:tcPr>
            <w:tcW w:w="4039" w:type="dxa"/>
            <w:tcBorders>
              <w:top w:val="single" w:sz="6" w:space="0" w:color="000000"/>
              <w:left w:val="single" w:sz="6" w:space="0" w:color="000000"/>
              <w:bottom w:val="single" w:sz="6" w:space="0" w:color="000000"/>
              <w:right w:val="single" w:sz="6" w:space="0" w:color="000000"/>
            </w:tcBorders>
            <w:vAlign w:val="center"/>
          </w:tcPr>
          <w:p w:rsidR="00035880" w:rsidRPr="005F3F7B" w:rsidRDefault="00035880" w:rsidP="005F3F7B">
            <w:pPr>
              <w:pStyle w:val="Heading1"/>
              <w:spacing w:before="0" w:line="240" w:lineRule="auto"/>
              <w:rPr>
                <w:b w:val="0"/>
                <w:sz w:val="22"/>
                <w:szCs w:val="22"/>
                <w:lang w:val="pt-BR"/>
              </w:rPr>
            </w:pPr>
            <w:bookmarkStart w:id="30" w:name="_Toc329099773"/>
            <w:r w:rsidRPr="005F3F7B">
              <w:rPr>
                <w:b w:val="0"/>
                <w:sz w:val="22"/>
                <w:szCs w:val="22"/>
                <w:lang w:val="pt-BR"/>
              </w:rPr>
              <w:t>Farmacologia:</w:t>
            </w:r>
            <w:bookmarkEnd w:id="30"/>
          </w:p>
          <w:p w:rsidR="00035880" w:rsidRPr="005F3F7B" w:rsidRDefault="00035880" w:rsidP="005F3F7B">
            <w:pPr>
              <w:spacing w:line="240" w:lineRule="auto"/>
              <w:rPr>
                <w:rFonts w:eastAsia="Calibri" w:cs="Arial"/>
                <w:lang w:val="pt-PT"/>
              </w:rPr>
            </w:pPr>
            <w:r w:rsidRPr="005F3F7B">
              <w:rPr>
                <w:rFonts w:eastAsia="Calibri" w:cs="Arial"/>
                <w:lang w:val="pt-PT"/>
              </w:rPr>
              <w:t>- Doses e Dosagens</w:t>
            </w:r>
          </w:p>
          <w:p w:rsidR="00035880" w:rsidRPr="005F3F7B" w:rsidRDefault="00035880" w:rsidP="005F3F7B">
            <w:pPr>
              <w:spacing w:line="240" w:lineRule="auto"/>
              <w:rPr>
                <w:rFonts w:eastAsia="Calibri" w:cs="Arial"/>
                <w:lang w:val="pt-PT"/>
              </w:rPr>
            </w:pPr>
            <w:r w:rsidRPr="005F3F7B">
              <w:rPr>
                <w:rFonts w:eastAsia="Calibri" w:cs="Arial"/>
                <w:lang w:val="pt-PT"/>
              </w:rPr>
              <w:t>- Receitas Médicas</w:t>
            </w:r>
          </w:p>
          <w:p w:rsidR="00035880" w:rsidRPr="00DA57CB" w:rsidRDefault="00035880" w:rsidP="005F3F7B">
            <w:pPr>
              <w:spacing w:line="240" w:lineRule="auto"/>
              <w:rPr>
                <w:rFonts w:eastAsia="Calibri" w:cs="Arial"/>
                <w:lang w:val="pt-PT"/>
              </w:rPr>
            </w:pPr>
            <w:r w:rsidRPr="005F3F7B">
              <w:rPr>
                <w:rFonts w:eastAsia="Calibri" w:cs="Arial"/>
                <w:lang w:val="pt-PT"/>
              </w:rPr>
              <w:t>- Notificação de Reacções Adversas</w:t>
            </w:r>
          </w:p>
        </w:tc>
        <w:tc>
          <w:tcPr>
            <w:tcW w:w="2083" w:type="dxa"/>
            <w:tcBorders>
              <w:top w:val="single" w:sz="6" w:space="0" w:color="000000"/>
              <w:left w:val="single" w:sz="6" w:space="0" w:color="000000"/>
              <w:bottom w:val="single" w:sz="6" w:space="0" w:color="000000"/>
              <w:right w:val="single" w:sz="6" w:space="0" w:color="000000"/>
            </w:tcBorders>
            <w:vAlign w:val="center"/>
          </w:tcPr>
          <w:p w:rsidR="00035880" w:rsidRPr="00DA57CB" w:rsidRDefault="00035880" w:rsidP="00F47FAF">
            <w:pPr>
              <w:spacing w:line="240" w:lineRule="auto"/>
              <w:rPr>
                <w:rFonts w:eastAsia="Calibri" w:cs="Arial"/>
                <w:b/>
                <w:lang w:val="pt-PT"/>
              </w:rPr>
            </w:pPr>
            <w:r w:rsidRPr="00DA57CB">
              <w:rPr>
                <w:rFonts w:eastAsia="Calibri" w:cs="Arial"/>
                <w:b/>
                <w:lang w:val="pt-PT"/>
              </w:rPr>
              <w:t>Duração</w:t>
            </w:r>
          </w:p>
        </w:tc>
        <w:tc>
          <w:tcPr>
            <w:tcW w:w="2610" w:type="dxa"/>
            <w:tcBorders>
              <w:top w:val="single" w:sz="6" w:space="0" w:color="000000"/>
              <w:left w:val="single" w:sz="6" w:space="0" w:color="000000"/>
              <w:bottom w:val="single" w:sz="6" w:space="0" w:color="000000"/>
              <w:right w:val="single" w:sz="6" w:space="0" w:color="000000"/>
            </w:tcBorders>
            <w:vAlign w:val="center"/>
          </w:tcPr>
          <w:p w:rsidR="00035880" w:rsidRPr="00DA57CB" w:rsidRDefault="00035880" w:rsidP="00F47FAF">
            <w:pPr>
              <w:spacing w:line="240" w:lineRule="auto"/>
              <w:jc w:val="center"/>
              <w:rPr>
                <w:rFonts w:eastAsia="Calibri" w:cs="Arial"/>
                <w:lang w:val="pt-PT"/>
              </w:rPr>
            </w:pPr>
            <w:r w:rsidRPr="00DA57CB">
              <w:rPr>
                <w:rFonts w:eastAsia="Calibri" w:cs="Arial"/>
                <w:lang w:val="pt-PT"/>
              </w:rPr>
              <w:t>4 h</w:t>
            </w:r>
          </w:p>
        </w:tc>
      </w:tr>
    </w:tbl>
    <w:p w:rsidR="00035880" w:rsidRPr="0052785B" w:rsidRDefault="00035880" w:rsidP="0069265E">
      <w:pPr>
        <w:spacing w:line="240" w:lineRule="auto"/>
        <w:rPr>
          <w:b/>
          <w:lang w:val="pt-PT"/>
        </w:rPr>
      </w:pPr>
    </w:p>
    <w:p w:rsidR="00035880" w:rsidRPr="0052785B" w:rsidRDefault="00035880" w:rsidP="0052785B">
      <w:pPr>
        <w:rPr>
          <w:b/>
          <w:lang w:val="pt-PT"/>
        </w:rPr>
      </w:pPr>
      <w:r w:rsidRPr="0052785B">
        <w:rPr>
          <w:b/>
          <w:lang w:val="pt-PT"/>
        </w:rPr>
        <w:t>Objectivos de Aprendizagem:</w:t>
      </w:r>
    </w:p>
    <w:p w:rsidR="00035880" w:rsidRPr="00DA57CB" w:rsidRDefault="00035880" w:rsidP="00035880">
      <w:pPr>
        <w:rPr>
          <w:rFonts w:cs="Arial"/>
          <w:lang w:val="pt-PT"/>
        </w:rPr>
      </w:pPr>
      <w:r w:rsidRPr="00DA57CB">
        <w:rPr>
          <w:rFonts w:cs="Arial"/>
          <w:lang w:val="pt-PT"/>
        </w:rPr>
        <w:t>Até ao fim da aula os alunos devem ser capazes de:</w:t>
      </w:r>
    </w:p>
    <w:p w:rsidR="00035880" w:rsidRPr="00587D80" w:rsidRDefault="00035880" w:rsidP="00C52E09">
      <w:pPr>
        <w:pStyle w:val="ListParagraph"/>
        <w:numPr>
          <w:ilvl w:val="3"/>
          <w:numId w:val="203"/>
        </w:numPr>
        <w:tabs>
          <w:tab w:val="left" w:pos="450"/>
        </w:tabs>
        <w:spacing w:after="0" w:line="240" w:lineRule="auto"/>
        <w:ind w:left="450" w:hanging="270"/>
        <w:rPr>
          <w:rFonts w:cs="Arial"/>
          <w:lang w:val="pt-PT"/>
        </w:rPr>
      </w:pPr>
      <w:r w:rsidRPr="00587D80">
        <w:rPr>
          <w:rFonts w:cs="Arial"/>
          <w:lang w:val="pt-PT"/>
        </w:rPr>
        <w:t>Calcular as doses e dosagens dos fármacos, relacionar com os patógenos e classificar os fármacos</w:t>
      </w:r>
    </w:p>
    <w:p w:rsidR="00035880" w:rsidRPr="00DA57CB" w:rsidRDefault="00035880" w:rsidP="00C52E09">
      <w:pPr>
        <w:pStyle w:val="ListParagraph"/>
        <w:numPr>
          <w:ilvl w:val="0"/>
          <w:numId w:val="203"/>
        </w:numPr>
        <w:spacing w:after="0" w:line="240" w:lineRule="auto"/>
        <w:ind w:left="450" w:hanging="273"/>
        <w:contextualSpacing w:val="0"/>
        <w:rPr>
          <w:rFonts w:cs="Arial"/>
          <w:lang w:val="pt-PT"/>
        </w:rPr>
      </w:pPr>
      <w:r w:rsidRPr="00DA57CB">
        <w:rPr>
          <w:rFonts w:cs="Arial"/>
          <w:lang w:val="pt-PT"/>
        </w:rPr>
        <w:t>Prescrever uma receita médica.</w:t>
      </w:r>
    </w:p>
    <w:p w:rsidR="00035880" w:rsidRPr="00DA57CB" w:rsidRDefault="00035880" w:rsidP="00C52E09">
      <w:pPr>
        <w:pStyle w:val="ListParagraph"/>
        <w:numPr>
          <w:ilvl w:val="0"/>
          <w:numId w:val="203"/>
        </w:numPr>
        <w:spacing w:after="0" w:line="240" w:lineRule="auto"/>
        <w:ind w:left="450" w:hanging="273"/>
        <w:contextualSpacing w:val="0"/>
        <w:rPr>
          <w:rFonts w:cs="Arial"/>
          <w:lang w:val="pt-PT"/>
        </w:rPr>
      </w:pPr>
      <w:r w:rsidRPr="00DA57CB">
        <w:rPr>
          <w:rFonts w:cs="Arial"/>
          <w:lang w:val="pt-PT"/>
        </w:rPr>
        <w:t>Preencher o Formulário de Notificação de reacções Adversas</w:t>
      </w:r>
    </w:p>
    <w:p w:rsidR="00035880" w:rsidRPr="00DA57CB" w:rsidRDefault="00035880" w:rsidP="00035880">
      <w:pPr>
        <w:tabs>
          <w:tab w:val="left" w:pos="244"/>
        </w:tabs>
        <w:spacing w:line="240" w:lineRule="auto"/>
        <w:rPr>
          <w:rFonts w:cs="Arial"/>
          <w:lang w:val="pt-PT"/>
        </w:rPr>
      </w:pPr>
    </w:p>
    <w:p w:rsidR="00035880" w:rsidRPr="0052785B" w:rsidRDefault="00035880" w:rsidP="0052785B">
      <w:pPr>
        <w:rPr>
          <w:b/>
          <w:lang w:val="pt-PT"/>
        </w:rPr>
      </w:pPr>
      <w:r w:rsidRPr="0052785B">
        <w:rPr>
          <w:b/>
          <w:lang w:val="pt-PT"/>
        </w:rPr>
        <w:t>Estrutura da Aula</w:t>
      </w:r>
    </w:p>
    <w:tbl>
      <w:tblPr>
        <w:tblW w:w="10188" w:type="dxa"/>
        <w:tblBorders>
          <w:top w:val="single" w:sz="18" w:space="0" w:color="auto"/>
          <w:bottom w:val="single" w:sz="18" w:space="0" w:color="auto"/>
        </w:tblBorders>
        <w:tblLayout w:type="fixed"/>
        <w:tblLook w:val="0000" w:firstRow="0" w:lastRow="0" w:firstColumn="0" w:lastColumn="0" w:noHBand="0" w:noVBand="0"/>
      </w:tblPr>
      <w:tblGrid>
        <w:gridCol w:w="1098"/>
        <w:gridCol w:w="5940"/>
        <w:gridCol w:w="3150"/>
      </w:tblGrid>
      <w:tr w:rsidR="00035880" w:rsidRPr="00DA57CB" w:rsidTr="00F47FAF">
        <w:trPr>
          <w:cantSplit/>
          <w:trHeight w:val="490"/>
        </w:trPr>
        <w:tc>
          <w:tcPr>
            <w:tcW w:w="1098" w:type="dxa"/>
            <w:tcBorders>
              <w:top w:val="single" w:sz="12" w:space="0" w:color="auto"/>
              <w:bottom w:val="single" w:sz="12" w:space="0" w:color="auto"/>
              <w:right w:val="single" w:sz="4" w:space="0" w:color="auto"/>
            </w:tcBorders>
            <w:shd w:val="clear" w:color="auto" w:fill="C6D9F1"/>
            <w:vAlign w:val="center"/>
          </w:tcPr>
          <w:p w:rsidR="00035880" w:rsidRPr="00DA57CB" w:rsidRDefault="00035880" w:rsidP="00F47FAF">
            <w:pPr>
              <w:spacing w:line="600" w:lineRule="auto"/>
              <w:ind w:left="-110" w:right="-108"/>
              <w:jc w:val="center"/>
              <w:rPr>
                <w:rFonts w:cs="Arial"/>
                <w:b/>
                <w:lang w:val="pt-PT"/>
              </w:rPr>
            </w:pPr>
            <w:r w:rsidRPr="00DA57CB">
              <w:rPr>
                <w:rFonts w:cs="Arial"/>
                <w:b/>
                <w:lang w:val="pt-PT"/>
              </w:rPr>
              <w:t>Bloco</w:t>
            </w:r>
          </w:p>
        </w:tc>
        <w:tc>
          <w:tcPr>
            <w:tcW w:w="5940" w:type="dxa"/>
            <w:tcBorders>
              <w:top w:val="single" w:sz="12" w:space="0" w:color="auto"/>
              <w:left w:val="single" w:sz="4" w:space="0" w:color="auto"/>
              <w:bottom w:val="single" w:sz="12" w:space="0" w:color="auto"/>
              <w:right w:val="single" w:sz="4" w:space="0" w:color="auto"/>
            </w:tcBorders>
            <w:shd w:val="clear" w:color="auto" w:fill="C6D9F1"/>
            <w:vAlign w:val="center"/>
          </w:tcPr>
          <w:p w:rsidR="00035880" w:rsidRPr="00DA57CB" w:rsidRDefault="00035880" w:rsidP="00F47FAF">
            <w:pPr>
              <w:spacing w:line="600" w:lineRule="auto"/>
              <w:jc w:val="center"/>
              <w:rPr>
                <w:rFonts w:cs="Arial"/>
                <w:b/>
                <w:lang w:val="pt-PT"/>
              </w:rPr>
            </w:pPr>
            <w:r w:rsidRPr="00DA57CB">
              <w:rPr>
                <w:rFonts w:cs="Arial"/>
                <w:b/>
                <w:lang w:val="pt-PT"/>
              </w:rPr>
              <w:t>Título do bloco</w:t>
            </w:r>
          </w:p>
        </w:tc>
        <w:tc>
          <w:tcPr>
            <w:tcW w:w="3150" w:type="dxa"/>
            <w:tcBorders>
              <w:top w:val="single" w:sz="12" w:space="0" w:color="auto"/>
              <w:left w:val="single" w:sz="4" w:space="0" w:color="auto"/>
              <w:bottom w:val="single" w:sz="12" w:space="0" w:color="auto"/>
            </w:tcBorders>
            <w:shd w:val="clear" w:color="auto" w:fill="C6D9F1"/>
            <w:vAlign w:val="center"/>
          </w:tcPr>
          <w:p w:rsidR="00035880" w:rsidRPr="00DA57CB" w:rsidRDefault="00035880" w:rsidP="00F47FAF">
            <w:pPr>
              <w:tabs>
                <w:tab w:val="left" w:pos="244"/>
              </w:tabs>
              <w:spacing w:line="600" w:lineRule="auto"/>
              <w:jc w:val="center"/>
              <w:rPr>
                <w:rFonts w:cs="Arial"/>
                <w:b/>
                <w:lang w:val="pt-PT"/>
              </w:rPr>
            </w:pPr>
            <w:r w:rsidRPr="00DA57CB">
              <w:rPr>
                <w:rFonts w:cs="Arial"/>
                <w:b/>
                <w:lang w:val="pt-PT"/>
              </w:rPr>
              <w:t>Duração</w:t>
            </w:r>
          </w:p>
        </w:tc>
      </w:tr>
      <w:tr w:rsidR="00035880" w:rsidRPr="00DA57CB" w:rsidTr="00F47FAF">
        <w:trPr>
          <w:cantSplit/>
        </w:trPr>
        <w:tc>
          <w:tcPr>
            <w:tcW w:w="1098" w:type="dxa"/>
            <w:tcBorders>
              <w:top w:val="single" w:sz="12" w:space="0" w:color="auto"/>
              <w:bottom w:val="single" w:sz="4" w:space="0" w:color="auto"/>
              <w:right w:val="single" w:sz="4" w:space="0" w:color="auto"/>
            </w:tcBorders>
          </w:tcPr>
          <w:p w:rsidR="00035880" w:rsidRPr="00DA57CB" w:rsidRDefault="00035880" w:rsidP="00F47FAF">
            <w:pPr>
              <w:spacing w:before="60" w:after="60" w:line="600" w:lineRule="auto"/>
              <w:ind w:left="-110" w:right="-108"/>
              <w:jc w:val="center"/>
              <w:rPr>
                <w:rFonts w:cs="Arial"/>
                <w:lang w:val="pt-PT"/>
              </w:rPr>
            </w:pPr>
            <w:r w:rsidRPr="00DA57CB">
              <w:rPr>
                <w:rFonts w:cs="Arial"/>
                <w:lang w:val="pt-PT"/>
              </w:rPr>
              <w:t>1</w:t>
            </w:r>
          </w:p>
        </w:tc>
        <w:tc>
          <w:tcPr>
            <w:tcW w:w="5940" w:type="dxa"/>
            <w:tcBorders>
              <w:top w:val="single" w:sz="12" w:space="0" w:color="auto"/>
              <w:left w:val="single" w:sz="4" w:space="0" w:color="auto"/>
              <w:bottom w:val="single" w:sz="4" w:space="0" w:color="auto"/>
              <w:right w:val="single" w:sz="4" w:space="0" w:color="auto"/>
            </w:tcBorders>
          </w:tcPr>
          <w:p w:rsidR="00035880" w:rsidRPr="00DA57CB" w:rsidRDefault="00035880" w:rsidP="00F47FAF">
            <w:pPr>
              <w:spacing w:before="60" w:after="60" w:line="600" w:lineRule="auto"/>
              <w:ind w:left="270" w:hanging="270"/>
              <w:rPr>
                <w:rFonts w:cs="Arial"/>
                <w:lang w:val="pt-PT"/>
              </w:rPr>
            </w:pPr>
            <w:r w:rsidRPr="00DA57CB">
              <w:rPr>
                <w:rFonts w:cs="Arial"/>
                <w:lang w:val="pt-PT"/>
              </w:rPr>
              <w:t>Introdução à Aula</w:t>
            </w:r>
          </w:p>
        </w:tc>
        <w:tc>
          <w:tcPr>
            <w:tcW w:w="3150" w:type="dxa"/>
            <w:tcBorders>
              <w:top w:val="single" w:sz="12" w:space="0" w:color="auto"/>
              <w:left w:val="single" w:sz="4" w:space="0" w:color="auto"/>
              <w:bottom w:val="single" w:sz="4" w:space="0" w:color="auto"/>
            </w:tcBorders>
            <w:vAlign w:val="center"/>
          </w:tcPr>
          <w:p w:rsidR="00035880" w:rsidRPr="00DA57CB" w:rsidRDefault="00035880" w:rsidP="00F47FAF">
            <w:pPr>
              <w:tabs>
                <w:tab w:val="left" w:pos="244"/>
              </w:tabs>
              <w:spacing w:before="60" w:after="60" w:line="600" w:lineRule="auto"/>
              <w:jc w:val="center"/>
              <w:rPr>
                <w:rFonts w:cs="Arial"/>
                <w:lang w:val="pt-PT"/>
              </w:rPr>
            </w:pPr>
            <w:r w:rsidRPr="00DA57CB">
              <w:rPr>
                <w:rFonts w:cs="Arial"/>
                <w:lang w:val="pt-PT"/>
              </w:rPr>
              <w:t>00:10</w:t>
            </w:r>
            <w:r w:rsidR="00FC6E81">
              <w:rPr>
                <w:rFonts w:cs="Arial"/>
                <w:lang w:val="pt-PT"/>
              </w:rPr>
              <w:t>min</w:t>
            </w:r>
          </w:p>
        </w:tc>
      </w:tr>
      <w:tr w:rsidR="00035880" w:rsidRPr="00DA57CB" w:rsidTr="00F47FAF">
        <w:trPr>
          <w:cantSplit/>
        </w:trPr>
        <w:tc>
          <w:tcPr>
            <w:tcW w:w="1098" w:type="dxa"/>
            <w:tcBorders>
              <w:top w:val="single" w:sz="4" w:space="0" w:color="auto"/>
              <w:bottom w:val="single" w:sz="4" w:space="0" w:color="auto"/>
              <w:right w:val="single" w:sz="4" w:space="0" w:color="auto"/>
            </w:tcBorders>
            <w:shd w:val="clear" w:color="auto" w:fill="D9D9D9"/>
          </w:tcPr>
          <w:p w:rsidR="00035880" w:rsidRPr="00DA57CB" w:rsidRDefault="00035880" w:rsidP="00F47FAF">
            <w:pPr>
              <w:spacing w:before="60" w:after="60" w:line="600" w:lineRule="auto"/>
              <w:ind w:left="-110" w:right="-108"/>
              <w:jc w:val="center"/>
              <w:rPr>
                <w:rFonts w:cs="Arial"/>
                <w:lang w:val="pt-PT"/>
              </w:rPr>
            </w:pPr>
            <w:r w:rsidRPr="00DA57CB">
              <w:rPr>
                <w:rFonts w:cs="Arial"/>
                <w:lang w:val="pt-PT"/>
              </w:rPr>
              <w:t>2</w:t>
            </w:r>
          </w:p>
        </w:tc>
        <w:tc>
          <w:tcPr>
            <w:tcW w:w="5940" w:type="dxa"/>
            <w:tcBorders>
              <w:top w:val="single" w:sz="4" w:space="0" w:color="auto"/>
              <w:left w:val="single" w:sz="4" w:space="0" w:color="auto"/>
              <w:bottom w:val="single" w:sz="4" w:space="0" w:color="auto"/>
              <w:right w:val="single" w:sz="4" w:space="0" w:color="auto"/>
            </w:tcBorders>
            <w:shd w:val="clear" w:color="auto" w:fill="D9D9D9"/>
          </w:tcPr>
          <w:p w:rsidR="00035880" w:rsidRPr="00DA57CB" w:rsidRDefault="00035880" w:rsidP="00F47FAF">
            <w:pPr>
              <w:spacing w:before="60" w:after="60" w:line="600" w:lineRule="auto"/>
              <w:ind w:left="270" w:hanging="270"/>
              <w:rPr>
                <w:rFonts w:cs="Arial"/>
                <w:lang w:val="pt-PT"/>
              </w:rPr>
            </w:pPr>
            <w:r w:rsidRPr="00DA57CB">
              <w:rPr>
                <w:rFonts w:cs="Arial"/>
                <w:lang w:val="pt-PT"/>
              </w:rPr>
              <w:t>Introdução à Técnica (Revisão)</w:t>
            </w:r>
          </w:p>
        </w:tc>
        <w:tc>
          <w:tcPr>
            <w:tcW w:w="3150" w:type="dxa"/>
            <w:tcBorders>
              <w:top w:val="single" w:sz="4" w:space="0" w:color="auto"/>
              <w:left w:val="single" w:sz="4" w:space="0" w:color="auto"/>
              <w:bottom w:val="single" w:sz="4" w:space="0" w:color="auto"/>
            </w:tcBorders>
            <w:shd w:val="clear" w:color="auto" w:fill="D9D9D9"/>
            <w:vAlign w:val="center"/>
          </w:tcPr>
          <w:p w:rsidR="00035880" w:rsidRPr="00DA57CB" w:rsidRDefault="00035880" w:rsidP="00F47FAF">
            <w:pPr>
              <w:tabs>
                <w:tab w:val="left" w:pos="244"/>
              </w:tabs>
              <w:spacing w:before="60" w:after="60" w:line="600" w:lineRule="auto"/>
              <w:jc w:val="center"/>
              <w:rPr>
                <w:rFonts w:cs="Arial"/>
                <w:lang w:val="pt-PT"/>
              </w:rPr>
            </w:pPr>
            <w:r w:rsidRPr="00DA57CB">
              <w:rPr>
                <w:rFonts w:cs="Arial"/>
                <w:lang w:val="pt-PT"/>
              </w:rPr>
              <w:t>00:50</w:t>
            </w:r>
            <w:r w:rsidR="00FC6E81">
              <w:rPr>
                <w:rFonts w:cs="Arial"/>
                <w:lang w:val="pt-PT"/>
              </w:rPr>
              <w:t>min</w:t>
            </w:r>
          </w:p>
        </w:tc>
      </w:tr>
      <w:tr w:rsidR="00035880" w:rsidRPr="00DA57CB" w:rsidTr="00F47FAF">
        <w:trPr>
          <w:cantSplit/>
        </w:trPr>
        <w:tc>
          <w:tcPr>
            <w:tcW w:w="1098" w:type="dxa"/>
            <w:tcBorders>
              <w:top w:val="single" w:sz="4" w:space="0" w:color="auto"/>
              <w:bottom w:val="single" w:sz="12" w:space="0" w:color="auto"/>
              <w:right w:val="single" w:sz="4" w:space="0" w:color="auto"/>
            </w:tcBorders>
            <w:shd w:val="clear" w:color="auto" w:fill="auto"/>
          </w:tcPr>
          <w:p w:rsidR="00035880" w:rsidRPr="00DA57CB" w:rsidRDefault="00035880" w:rsidP="00F47FAF">
            <w:pPr>
              <w:spacing w:before="60" w:after="60" w:line="600" w:lineRule="auto"/>
              <w:ind w:left="-110" w:right="-108"/>
              <w:jc w:val="center"/>
              <w:rPr>
                <w:rFonts w:cs="Arial"/>
                <w:lang w:val="pt-PT"/>
              </w:rPr>
            </w:pPr>
            <w:r w:rsidRPr="00DA57CB">
              <w:rPr>
                <w:rFonts w:cs="Arial"/>
                <w:lang w:val="pt-PT"/>
              </w:rPr>
              <w:t>3</w:t>
            </w:r>
          </w:p>
        </w:tc>
        <w:tc>
          <w:tcPr>
            <w:tcW w:w="5940" w:type="dxa"/>
            <w:tcBorders>
              <w:top w:val="single" w:sz="4" w:space="0" w:color="auto"/>
              <w:left w:val="single" w:sz="4" w:space="0" w:color="auto"/>
              <w:bottom w:val="single" w:sz="12" w:space="0" w:color="auto"/>
              <w:right w:val="single" w:sz="4" w:space="0" w:color="auto"/>
            </w:tcBorders>
            <w:shd w:val="clear" w:color="auto" w:fill="auto"/>
          </w:tcPr>
          <w:p w:rsidR="00035880" w:rsidRPr="00DA57CB" w:rsidRDefault="00035880" w:rsidP="00F47FAF">
            <w:pPr>
              <w:spacing w:before="60" w:after="60" w:line="600" w:lineRule="auto"/>
              <w:ind w:left="270" w:hanging="270"/>
              <w:rPr>
                <w:rFonts w:cs="Arial"/>
                <w:lang w:val="pt-PT"/>
              </w:rPr>
            </w:pPr>
            <w:r w:rsidRPr="00DA57CB">
              <w:rPr>
                <w:rFonts w:cs="Arial"/>
                <w:lang w:val="pt-PT"/>
              </w:rPr>
              <w:t>Exercícios</w:t>
            </w:r>
          </w:p>
        </w:tc>
        <w:tc>
          <w:tcPr>
            <w:tcW w:w="3150" w:type="dxa"/>
            <w:tcBorders>
              <w:top w:val="single" w:sz="4" w:space="0" w:color="auto"/>
              <w:left w:val="single" w:sz="4" w:space="0" w:color="auto"/>
              <w:bottom w:val="single" w:sz="12" w:space="0" w:color="auto"/>
            </w:tcBorders>
            <w:shd w:val="clear" w:color="auto" w:fill="auto"/>
            <w:vAlign w:val="center"/>
          </w:tcPr>
          <w:p w:rsidR="00035880" w:rsidRPr="00DA57CB" w:rsidRDefault="00035880" w:rsidP="00F47FAF">
            <w:pPr>
              <w:tabs>
                <w:tab w:val="left" w:pos="244"/>
              </w:tabs>
              <w:spacing w:before="60" w:after="60" w:line="600" w:lineRule="auto"/>
              <w:jc w:val="center"/>
              <w:rPr>
                <w:rFonts w:cs="Arial"/>
                <w:lang w:val="pt-PT"/>
              </w:rPr>
            </w:pPr>
            <w:r w:rsidRPr="00DA57CB">
              <w:rPr>
                <w:rFonts w:cs="Arial"/>
                <w:lang w:val="pt-PT"/>
              </w:rPr>
              <w:t>03:00</w:t>
            </w:r>
            <w:r w:rsidR="00FC6E81">
              <w:rPr>
                <w:rFonts w:cs="Arial"/>
                <w:lang w:val="pt-PT"/>
              </w:rPr>
              <w:t>min</w:t>
            </w:r>
          </w:p>
        </w:tc>
      </w:tr>
    </w:tbl>
    <w:p w:rsidR="00035880" w:rsidRDefault="00035880" w:rsidP="00035880">
      <w:pPr>
        <w:tabs>
          <w:tab w:val="left" w:pos="244"/>
        </w:tabs>
        <w:outlineLvl w:val="0"/>
        <w:rPr>
          <w:rFonts w:cs="Arial"/>
          <w:b/>
          <w:bCs/>
          <w:lang w:val="pt-PT"/>
        </w:rPr>
      </w:pPr>
    </w:p>
    <w:p w:rsidR="00035880" w:rsidRDefault="00035880" w:rsidP="00035880">
      <w:pPr>
        <w:tabs>
          <w:tab w:val="left" w:pos="244"/>
        </w:tabs>
        <w:outlineLvl w:val="0"/>
        <w:rPr>
          <w:rFonts w:cs="Arial"/>
          <w:b/>
          <w:bCs/>
          <w:lang w:val="pt-PT"/>
        </w:rPr>
      </w:pPr>
    </w:p>
    <w:p w:rsidR="00035880" w:rsidRPr="009338DC" w:rsidRDefault="00035880" w:rsidP="009338DC">
      <w:pPr>
        <w:rPr>
          <w:b/>
          <w:lang w:val="pt-PT"/>
        </w:rPr>
      </w:pPr>
      <w:r w:rsidRPr="009338DC">
        <w:rPr>
          <w:b/>
          <w:lang w:val="pt-PT"/>
        </w:rPr>
        <w:t>Equipamentos e meios audiovisuais necessários:</w:t>
      </w:r>
    </w:p>
    <w:p w:rsidR="00035880" w:rsidRPr="00DA57CB" w:rsidRDefault="00035880" w:rsidP="00C52E09">
      <w:pPr>
        <w:pStyle w:val="ListParagraph"/>
        <w:numPr>
          <w:ilvl w:val="0"/>
          <w:numId w:val="145"/>
        </w:numPr>
        <w:tabs>
          <w:tab w:val="left" w:pos="244"/>
        </w:tabs>
        <w:spacing w:after="0"/>
        <w:ind w:left="714" w:hanging="357"/>
        <w:contextualSpacing w:val="0"/>
        <w:rPr>
          <w:rFonts w:cs="Arial"/>
          <w:i/>
          <w:iCs/>
          <w:lang w:val="pt-PT"/>
        </w:rPr>
      </w:pPr>
      <w:r w:rsidRPr="00DA57CB">
        <w:rPr>
          <w:rFonts w:cs="Arial"/>
          <w:lang w:val="pt-PT"/>
        </w:rPr>
        <w:t>Apresentação com exemplos de casos clínicos para o cálculo de dosagens.</w:t>
      </w:r>
    </w:p>
    <w:p w:rsidR="00035880" w:rsidRPr="00DA57CB" w:rsidRDefault="00035880" w:rsidP="00C52E09">
      <w:pPr>
        <w:pStyle w:val="ListParagraph"/>
        <w:numPr>
          <w:ilvl w:val="0"/>
          <w:numId w:val="145"/>
        </w:numPr>
        <w:tabs>
          <w:tab w:val="left" w:pos="244"/>
        </w:tabs>
        <w:spacing w:after="0"/>
        <w:ind w:left="714" w:hanging="357"/>
        <w:contextualSpacing w:val="0"/>
        <w:rPr>
          <w:rFonts w:cs="Arial"/>
          <w:i/>
          <w:iCs/>
          <w:lang w:val="pt-PT"/>
        </w:rPr>
      </w:pPr>
      <w:r w:rsidRPr="00DA57CB">
        <w:rPr>
          <w:rFonts w:cs="Arial"/>
          <w:lang w:val="pt-PT"/>
        </w:rPr>
        <w:t>Formulário Nacional de Medicamentos.</w:t>
      </w:r>
    </w:p>
    <w:p w:rsidR="00035880" w:rsidRPr="00DA57CB" w:rsidRDefault="00035880" w:rsidP="00C52E09">
      <w:pPr>
        <w:pStyle w:val="ListParagraph"/>
        <w:numPr>
          <w:ilvl w:val="0"/>
          <w:numId w:val="145"/>
        </w:numPr>
        <w:tabs>
          <w:tab w:val="left" w:pos="244"/>
        </w:tabs>
        <w:spacing w:after="0"/>
        <w:ind w:left="714" w:hanging="357"/>
        <w:contextualSpacing w:val="0"/>
        <w:rPr>
          <w:rFonts w:cs="Arial"/>
          <w:i/>
          <w:iCs/>
          <w:lang w:val="pt-PT"/>
        </w:rPr>
      </w:pPr>
      <w:r w:rsidRPr="00DA57CB">
        <w:rPr>
          <w:rFonts w:cs="Arial"/>
          <w:lang w:val="pt-PT"/>
        </w:rPr>
        <w:t>Calculadora.</w:t>
      </w:r>
    </w:p>
    <w:p w:rsidR="00035880" w:rsidRPr="00DA57CB" w:rsidRDefault="00035880" w:rsidP="00C52E09">
      <w:pPr>
        <w:pStyle w:val="ListParagraph"/>
        <w:numPr>
          <w:ilvl w:val="0"/>
          <w:numId w:val="145"/>
        </w:numPr>
        <w:tabs>
          <w:tab w:val="left" w:pos="244"/>
        </w:tabs>
        <w:spacing w:after="0"/>
        <w:ind w:left="714" w:hanging="357"/>
        <w:contextualSpacing w:val="0"/>
        <w:rPr>
          <w:rFonts w:cs="Arial"/>
          <w:i/>
          <w:iCs/>
          <w:lang w:val="pt-PT"/>
        </w:rPr>
      </w:pPr>
      <w:r w:rsidRPr="00DA57CB">
        <w:rPr>
          <w:rFonts w:cs="Arial"/>
          <w:lang w:val="pt-PT"/>
        </w:rPr>
        <w:t>Receituários</w:t>
      </w:r>
    </w:p>
    <w:p w:rsidR="00035880" w:rsidRPr="00DA57CB" w:rsidRDefault="00035880" w:rsidP="00C52E09">
      <w:pPr>
        <w:pStyle w:val="ListParagraph"/>
        <w:numPr>
          <w:ilvl w:val="0"/>
          <w:numId w:val="145"/>
        </w:numPr>
        <w:tabs>
          <w:tab w:val="left" w:pos="244"/>
        </w:tabs>
        <w:spacing w:after="0"/>
        <w:ind w:left="714" w:hanging="357"/>
        <w:contextualSpacing w:val="0"/>
        <w:rPr>
          <w:rFonts w:cs="Arial"/>
          <w:i/>
          <w:iCs/>
          <w:lang w:val="pt-PT"/>
        </w:rPr>
      </w:pPr>
      <w:r w:rsidRPr="00DA57CB">
        <w:rPr>
          <w:rFonts w:cs="Arial"/>
          <w:iCs/>
          <w:lang w:val="pt-PT"/>
        </w:rPr>
        <w:t>Fichas de notificação de reacções adversas</w:t>
      </w:r>
    </w:p>
    <w:p w:rsidR="005F3F7B" w:rsidRDefault="005F3F7B">
      <w:pPr>
        <w:rPr>
          <w:rFonts w:cs="Arial"/>
          <w:lang w:val="pt-PT"/>
        </w:rPr>
      </w:pPr>
      <w:r>
        <w:rPr>
          <w:rFonts w:cs="Arial"/>
          <w:lang w:val="pt-PT"/>
        </w:rPr>
        <w:br w:type="page"/>
      </w:r>
    </w:p>
    <w:p w:rsidR="00035880" w:rsidRPr="00035880" w:rsidRDefault="005F3F7B" w:rsidP="005F3F7B">
      <w:pPr>
        <w:pStyle w:val="TM-1n"/>
        <w:numPr>
          <w:ilvl w:val="0"/>
          <w:numId w:val="0"/>
        </w:numPr>
        <w:shd w:val="clear" w:color="auto" w:fill="C6D9F1"/>
        <w:tabs>
          <w:tab w:val="clear" w:pos="9072"/>
          <w:tab w:val="right" w:pos="1440"/>
          <w:tab w:val="right" w:pos="8640"/>
        </w:tabs>
        <w:rPr>
          <w:sz w:val="22"/>
          <w:szCs w:val="22"/>
        </w:rPr>
      </w:pPr>
      <w:r>
        <w:rPr>
          <w:sz w:val="22"/>
          <w:szCs w:val="22"/>
        </w:rPr>
        <w:lastRenderedPageBreak/>
        <w:t xml:space="preserve">BLOCO 1: </w:t>
      </w:r>
      <w:r w:rsidR="00035880" w:rsidRPr="00035880">
        <w:rPr>
          <w:sz w:val="22"/>
          <w:szCs w:val="22"/>
        </w:rPr>
        <w:t>INTRODUÇÃO A AULA</w:t>
      </w:r>
      <w:r w:rsidR="00035880" w:rsidRPr="00035880">
        <w:rPr>
          <w:sz w:val="22"/>
          <w:szCs w:val="22"/>
        </w:rPr>
        <w:tab/>
        <w:t>(10 min)</w:t>
      </w:r>
    </w:p>
    <w:p w:rsidR="00035880" w:rsidRPr="00DA57CB" w:rsidRDefault="00035880" w:rsidP="00C52E09">
      <w:pPr>
        <w:pStyle w:val="TM-2n"/>
        <w:numPr>
          <w:ilvl w:val="1"/>
          <w:numId w:val="278"/>
        </w:numPr>
        <w:spacing w:before="120" w:after="0" w:line="276" w:lineRule="auto"/>
        <w:ind w:left="540" w:hanging="540"/>
      </w:pPr>
      <w:r w:rsidRPr="00DA57CB">
        <w:t>Apresentação do tópico, conteúdos e objectivos de aprendizagem.</w:t>
      </w:r>
    </w:p>
    <w:p w:rsidR="00035880" w:rsidRPr="00DA57CB" w:rsidRDefault="00035880" w:rsidP="00C52E09">
      <w:pPr>
        <w:pStyle w:val="TM-2n"/>
        <w:numPr>
          <w:ilvl w:val="1"/>
          <w:numId w:val="278"/>
        </w:numPr>
        <w:tabs>
          <w:tab w:val="left" w:pos="990"/>
        </w:tabs>
        <w:spacing w:before="120" w:after="0" w:line="276" w:lineRule="auto"/>
        <w:ind w:left="540" w:hanging="540"/>
      </w:pPr>
      <w:r w:rsidRPr="00DA57CB">
        <w:t>Apresentação da estrutura da aula.</w:t>
      </w:r>
    </w:p>
    <w:p w:rsidR="00035880" w:rsidRPr="00DA57CB" w:rsidRDefault="00035880" w:rsidP="00C52E09">
      <w:pPr>
        <w:pStyle w:val="TM-2n"/>
        <w:numPr>
          <w:ilvl w:val="1"/>
          <w:numId w:val="278"/>
        </w:numPr>
        <w:spacing w:before="120" w:after="0" w:line="276" w:lineRule="auto"/>
        <w:ind w:left="540" w:hanging="540"/>
      </w:pPr>
      <w:r w:rsidRPr="00DA57CB">
        <w:t>Apresentação dos equipamentos e materiais.</w:t>
      </w:r>
    </w:p>
    <w:p w:rsidR="00035880" w:rsidRPr="00DA57CB" w:rsidRDefault="00035880" w:rsidP="0069265E">
      <w:pPr>
        <w:pStyle w:val="TM-0"/>
        <w:spacing w:before="120" w:after="0"/>
        <w:jc w:val="both"/>
      </w:pPr>
    </w:p>
    <w:p w:rsidR="00035880" w:rsidRPr="00DA57CB" w:rsidRDefault="005F3F7B" w:rsidP="005F3F7B">
      <w:pPr>
        <w:pStyle w:val="TM-1n"/>
        <w:numPr>
          <w:ilvl w:val="0"/>
          <w:numId w:val="0"/>
        </w:numPr>
        <w:shd w:val="clear" w:color="auto" w:fill="C6D9F1"/>
        <w:tabs>
          <w:tab w:val="clear" w:pos="9072"/>
          <w:tab w:val="right" w:pos="1440"/>
          <w:tab w:val="right" w:pos="8640"/>
        </w:tabs>
        <w:rPr>
          <w:sz w:val="22"/>
          <w:szCs w:val="22"/>
        </w:rPr>
      </w:pPr>
      <w:r>
        <w:rPr>
          <w:sz w:val="22"/>
          <w:szCs w:val="22"/>
        </w:rPr>
        <w:t xml:space="preserve">BLOCO 2: </w:t>
      </w:r>
      <w:r w:rsidR="00035880" w:rsidRPr="00DA57CB">
        <w:rPr>
          <w:sz w:val="22"/>
          <w:szCs w:val="22"/>
        </w:rPr>
        <w:t>INTRODUÇÃO À TÉCNICA (REVISÃO)</w:t>
      </w:r>
      <w:r w:rsidR="00035880" w:rsidRPr="00DA57CB">
        <w:rPr>
          <w:sz w:val="22"/>
          <w:szCs w:val="22"/>
        </w:rPr>
        <w:tab/>
        <w:t>(50 min)</w:t>
      </w:r>
    </w:p>
    <w:p w:rsidR="00035880" w:rsidRPr="00DA57CB" w:rsidRDefault="00035880" w:rsidP="00C52E09">
      <w:pPr>
        <w:pStyle w:val="TM-2n"/>
        <w:numPr>
          <w:ilvl w:val="1"/>
          <w:numId w:val="279"/>
        </w:numPr>
        <w:spacing w:before="120" w:after="0" w:line="276" w:lineRule="auto"/>
        <w:ind w:left="450" w:hanging="450"/>
      </w:pPr>
      <w:r w:rsidRPr="00DA57CB">
        <w:t>Para que um medicamento actue com eficácia sobre o organismo, é necessário administrá-lo em quantidade suficiente.</w:t>
      </w:r>
    </w:p>
    <w:p w:rsidR="00035880" w:rsidRPr="00DA57CB" w:rsidRDefault="00035880" w:rsidP="00C52E09">
      <w:pPr>
        <w:pStyle w:val="TM-2n"/>
        <w:numPr>
          <w:ilvl w:val="1"/>
          <w:numId w:val="279"/>
        </w:numPr>
        <w:spacing w:before="120" w:after="0" w:line="276" w:lineRule="auto"/>
        <w:ind w:left="450" w:hanging="450"/>
      </w:pPr>
      <w:r w:rsidRPr="00DA57CB">
        <w:t>Pelo contrário, uma quantidade excessiva poderá produzir efeitos tóxicos não desejados.</w:t>
      </w:r>
    </w:p>
    <w:p w:rsidR="00035880" w:rsidRPr="00DA57CB" w:rsidRDefault="00035880" w:rsidP="00C52E09">
      <w:pPr>
        <w:pStyle w:val="TM-2n"/>
        <w:numPr>
          <w:ilvl w:val="1"/>
          <w:numId w:val="279"/>
        </w:numPr>
        <w:spacing w:before="120" w:after="0" w:line="276" w:lineRule="auto"/>
        <w:ind w:left="450" w:hanging="450"/>
      </w:pPr>
      <w:r w:rsidRPr="00DA57CB">
        <w:t>Portanto, calcular e administrar a dose correcta dum medicamento é uma tarefa essencial para utilizar os medicamentos com eficácia e segurança.</w:t>
      </w:r>
    </w:p>
    <w:p w:rsidR="00035880" w:rsidRPr="00DA57CB" w:rsidRDefault="00035880" w:rsidP="00C52E09">
      <w:pPr>
        <w:pStyle w:val="TM-2n"/>
        <w:numPr>
          <w:ilvl w:val="1"/>
          <w:numId w:val="279"/>
        </w:numPr>
        <w:spacing w:before="120" w:after="0" w:line="276" w:lineRule="auto"/>
        <w:ind w:left="450" w:hanging="450"/>
      </w:pPr>
      <w:r w:rsidRPr="00DA57CB">
        <w:t>Para o cálculo correcto de dosagens, é necessário combinar diversas informações, a saber:</w:t>
      </w:r>
    </w:p>
    <w:p w:rsidR="00035880" w:rsidRPr="00DA57CB" w:rsidRDefault="00035880" w:rsidP="00C52E09">
      <w:pPr>
        <w:pStyle w:val="TM-3n"/>
        <w:numPr>
          <w:ilvl w:val="2"/>
          <w:numId w:val="279"/>
        </w:numPr>
        <w:tabs>
          <w:tab w:val="clear" w:pos="1276"/>
        </w:tabs>
        <w:spacing w:before="120" w:after="0" w:line="276" w:lineRule="auto"/>
        <w:ind w:left="1080" w:hanging="630"/>
      </w:pPr>
      <w:r w:rsidRPr="00DA57CB">
        <w:t>Dados da pessoa que vai receber a medicação:</w:t>
      </w:r>
    </w:p>
    <w:p w:rsidR="00035880" w:rsidRPr="00DA57CB" w:rsidRDefault="00035880" w:rsidP="00C52E09">
      <w:pPr>
        <w:pStyle w:val="TM-4n"/>
        <w:numPr>
          <w:ilvl w:val="0"/>
          <w:numId w:val="246"/>
        </w:numPr>
        <w:tabs>
          <w:tab w:val="clear" w:pos="720"/>
          <w:tab w:val="clear" w:pos="1134"/>
        </w:tabs>
        <w:spacing w:before="120" w:after="0" w:line="276" w:lineRule="auto"/>
        <w:ind w:left="1440"/>
      </w:pPr>
      <w:r w:rsidRPr="00DA57CB">
        <w:t xml:space="preserve">Peso: Para muitos medicamentos, sobretudo no âmbito hospitalar, a dose deve-se ajustar ao peso do paciente. Geralmente, nos adultos a dose já está padronizada, sendo o peso mais frequentemente usado no caso de crianças. </w:t>
      </w:r>
    </w:p>
    <w:p w:rsidR="00035880" w:rsidRPr="00DA57CB" w:rsidRDefault="00035880" w:rsidP="00C52E09">
      <w:pPr>
        <w:pStyle w:val="TM-4n"/>
        <w:numPr>
          <w:ilvl w:val="0"/>
          <w:numId w:val="246"/>
        </w:numPr>
        <w:tabs>
          <w:tab w:val="clear" w:pos="720"/>
          <w:tab w:val="clear" w:pos="1134"/>
        </w:tabs>
        <w:spacing w:before="120" w:after="0" w:line="276" w:lineRule="auto"/>
        <w:ind w:left="1440"/>
      </w:pPr>
      <w:r w:rsidRPr="00DA57CB">
        <w:t xml:space="preserve">Idade. Uma criança não pode receber a mesma quantidade de medicamento que um paciente adulto. Na ausência de peso, a idade é um parâmetro que é útil para a prescrição de fármacos. </w:t>
      </w:r>
    </w:p>
    <w:p w:rsidR="00035880" w:rsidRPr="00DA57CB" w:rsidRDefault="009A56D9" w:rsidP="00C52E09">
      <w:pPr>
        <w:pStyle w:val="TM-4n"/>
        <w:numPr>
          <w:ilvl w:val="0"/>
          <w:numId w:val="246"/>
        </w:numPr>
        <w:tabs>
          <w:tab w:val="clear" w:pos="720"/>
          <w:tab w:val="clear" w:pos="1134"/>
        </w:tabs>
        <w:spacing w:before="120" w:after="0" w:line="276" w:lineRule="auto"/>
        <w:ind w:left="1440"/>
      </w:pPr>
      <w:r>
        <w:pict>
          <v:shape id="_x0000_s1116" type="#_x0000_t75" style="position:absolute;left:0;text-align:left;margin-left:152.2pt;margin-top:50.75pt;width:184.2pt;height:33.05pt;z-index:251677696">
            <v:imagedata r:id="rId160" o:title=""/>
          </v:shape>
          <o:OLEObject Type="Embed" ProgID="Equation.3" ShapeID="_x0000_s1116" DrawAspect="Content" ObjectID="_1500777495" r:id="rId161"/>
        </w:pict>
      </w:r>
      <w:r w:rsidR="00035880" w:rsidRPr="00DA57CB">
        <w:t>Índice de massa corporal (IMC). É uma medida internacional para determinar o nível de gordura das pessoas. Em alguns casos, utiliza-se para o ajuste de dosagens de medicamentos. O cálculo do IMC é feito da maneira seguinte:</w:t>
      </w:r>
    </w:p>
    <w:p w:rsidR="00035880" w:rsidRPr="00DA57CB" w:rsidRDefault="00035880" w:rsidP="00035880">
      <w:pPr>
        <w:pStyle w:val="TM-4n"/>
        <w:numPr>
          <w:ilvl w:val="0"/>
          <w:numId w:val="0"/>
        </w:numPr>
        <w:spacing w:before="120" w:after="0" w:line="276" w:lineRule="auto"/>
        <w:ind w:left="1440"/>
      </w:pPr>
    </w:p>
    <w:p w:rsidR="00035880" w:rsidRPr="00DA57CB" w:rsidRDefault="00035880" w:rsidP="00035880">
      <w:pPr>
        <w:pStyle w:val="TM-4n"/>
        <w:numPr>
          <w:ilvl w:val="0"/>
          <w:numId w:val="0"/>
        </w:numPr>
        <w:spacing w:before="120" w:after="0" w:line="276" w:lineRule="auto"/>
        <w:ind w:left="1440"/>
      </w:pPr>
    </w:p>
    <w:p w:rsidR="00035880" w:rsidRPr="00DA57CB" w:rsidRDefault="00035880" w:rsidP="00C52E09">
      <w:pPr>
        <w:pStyle w:val="TM-3n"/>
        <w:numPr>
          <w:ilvl w:val="2"/>
          <w:numId w:val="279"/>
        </w:numPr>
        <w:tabs>
          <w:tab w:val="clear" w:pos="1276"/>
        </w:tabs>
        <w:spacing w:before="120" w:after="0" w:line="276" w:lineRule="auto"/>
        <w:ind w:left="1080" w:hanging="630"/>
      </w:pPr>
      <w:r w:rsidRPr="00DA57CB">
        <w:t>Dados do medicamento: Geralmente, a embalagem que contém o medicamento leva uma etiqueta ou uma pequena brochura que inclui as informações de interesse sobre o medicamento. As mais importantes são as seguintes:</w:t>
      </w:r>
    </w:p>
    <w:p w:rsidR="00035880" w:rsidRPr="00DA57CB" w:rsidRDefault="00035880" w:rsidP="00C52E09">
      <w:pPr>
        <w:pStyle w:val="TM-4n"/>
        <w:numPr>
          <w:ilvl w:val="0"/>
          <w:numId w:val="246"/>
        </w:numPr>
        <w:tabs>
          <w:tab w:val="clear" w:pos="720"/>
          <w:tab w:val="clear" w:pos="1134"/>
        </w:tabs>
        <w:spacing w:before="120" w:after="0" w:line="276" w:lineRule="auto"/>
        <w:ind w:left="1440"/>
      </w:pPr>
      <w:r w:rsidRPr="00DA57CB">
        <w:t>Nome do medicamento</w:t>
      </w:r>
    </w:p>
    <w:p w:rsidR="00035880" w:rsidRPr="00DA57CB" w:rsidRDefault="00035880" w:rsidP="00C52E09">
      <w:pPr>
        <w:pStyle w:val="TM-4n"/>
        <w:numPr>
          <w:ilvl w:val="0"/>
          <w:numId w:val="246"/>
        </w:numPr>
        <w:tabs>
          <w:tab w:val="clear" w:pos="720"/>
          <w:tab w:val="clear" w:pos="1134"/>
        </w:tabs>
        <w:spacing w:before="120" w:after="0" w:line="276" w:lineRule="auto"/>
        <w:ind w:left="1440"/>
      </w:pPr>
      <w:r w:rsidRPr="00DA57CB">
        <w:t>Número de unidades contidas na embalagem</w:t>
      </w:r>
    </w:p>
    <w:p w:rsidR="00035880" w:rsidRPr="00DA57CB" w:rsidRDefault="00035880" w:rsidP="00C52E09">
      <w:pPr>
        <w:pStyle w:val="TM-4n"/>
        <w:numPr>
          <w:ilvl w:val="0"/>
          <w:numId w:val="246"/>
        </w:numPr>
        <w:tabs>
          <w:tab w:val="clear" w:pos="720"/>
          <w:tab w:val="clear" w:pos="1134"/>
        </w:tabs>
        <w:spacing w:before="120" w:after="0" w:line="276" w:lineRule="auto"/>
        <w:ind w:left="1440"/>
      </w:pPr>
      <w:r w:rsidRPr="00DA57CB">
        <w:t>Composição e quantidade de medicamento por unidade</w:t>
      </w:r>
    </w:p>
    <w:p w:rsidR="00035880" w:rsidRPr="00DA57CB" w:rsidRDefault="00035880" w:rsidP="00C52E09">
      <w:pPr>
        <w:pStyle w:val="TM-4n"/>
        <w:numPr>
          <w:ilvl w:val="0"/>
          <w:numId w:val="246"/>
        </w:numPr>
        <w:tabs>
          <w:tab w:val="clear" w:pos="720"/>
          <w:tab w:val="clear" w:pos="1134"/>
        </w:tabs>
        <w:spacing w:before="120" w:after="0" w:line="276" w:lineRule="auto"/>
        <w:ind w:left="1440"/>
      </w:pPr>
      <w:r w:rsidRPr="00DA57CB">
        <w:t>Via de administração</w:t>
      </w:r>
    </w:p>
    <w:p w:rsidR="00035880" w:rsidRPr="00DA57CB" w:rsidRDefault="00035880" w:rsidP="00C52E09">
      <w:pPr>
        <w:pStyle w:val="TM-4n"/>
        <w:numPr>
          <w:ilvl w:val="0"/>
          <w:numId w:val="246"/>
        </w:numPr>
        <w:tabs>
          <w:tab w:val="clear" w:pos="720"/>
          <w:tab w:val="clear" w:pos="1134"/>
        </w:tabs>
        <w:spacing w:before="120" w:after="0" w:line="276" w:lineRule="auto"/>
        <w:ind w:left="1440"/>
      </w:pPr>
      <w:r w:rsidRPr="00DA57CB">
        <w:t>Data de caducidade</w:t>
      </w:r>
    </w:p>
    <w:p w:rsidR="00035880" w:rsidRPr="00DA57CB" w:rsidRDefault="00035880" w:rsidP="00C52E09">
      <w:pPr>
        <w:pStyle w:val="TM-2n"/>
        <w:numPr>
          <w:ilvl w:val="1"/>
          <w:numId w:val="279"/>
        </w:numPr>
        <w:spacing w:before="120" w:after="0" w:line="276" w:lineRule="auto"/>
        <w:ind w:left="450" w:hanging="450"/>
      </w:pPr>
      <w:r w:rsidRPr="00DA57CB">
        <w:t>Existem diversas medidas utilizadas para manejar os medicamentos e facilitar o cálculo correcto das dosagens. As mais utilizadas são as seguintes:</w:t>
      </w:r>
    </w:p>
    <w:p w:rsidR="00035880" w:rsidRPr="00DA57CB" w:rsidRDefault="00035880" w:rsidP="00C52E09">
      <w:pPr>
        <w:pStyle w:val="TM-3n"/>
        <w:numPr>
          <w:ilvl w:val="2"/>
          <w:numId w:val="279"/>
        </w:numPr>
        <w:tabs>
          <w:tab w:val="clear" w:pos="1276"/>
        </w:tabs>
        <w:spacing w:before="120" w:after="0" w:line="276" w:lineRule="auto"/>
        <w:ind w:left="1080" w:hanging="630"/>
      </w:pPr>
      <w:r w:rsidRPr="00DA57CB">
        <w:t>Peso.</w:t>
      </w:r>
    </w:p>
    <w:p w:rsidR="00035880" w:rsidRPr="00DA57CB" w:rsidRDefault="00035880" w:rsidP="00C52E09">
      <w:pPr>
        <w:pStyle w:val="TM-4n"/>
        <w:numPr>
          <w:ilvl w:val="0"/>
          <w:numId w:val="246"/>
        </w:numPr>
        <w:tabs>
          <w:tab w:val="clear" w:pos="720"/>
          <w:tab w:val="clear" w:pos="1134"/>
        </w:tabs>
        <w:spacing w:before="120" w:after="0" w:line="276" w:lineRule="auto"/>
        <w:ind w:left="1440"/>
      </w:pPr>
      <w:r w:rsidRPr="00DA57CB">
        <w:t>Na medida de pesos pequenos, como a quantidade dum fármaco, as unidades mais utilizadas são grama (g) e miligrama (mg).</w:t>
      </w:r>
    </w:p>
    <w:p w:rsidR="00035880" w:rsidRPr="00DA57CB" w:rsidRDefault="00035880" w:rsidP="00C52E09">
      <w:pPr>
        <w:pStyle w:val="TM-4n"/>
        <w:numPr>
          <w:ilvl w:val="0"/>
          <w:numId w:val="246"/>
        </w:numPr>
        <w:tabs>
          <w:tab w:val="clear" w:pos="720"/>
          <w:tab w:val="clear" w:pos="1134"/>
        </w:tabs>
        <w:spacing w:before="120" w:after="0" w:line="276" w:lineRule="auto"/>
        <w:ind w:left="1440"/>
      </w:pPr>
      <w:r w:rsidRPr="00DA57CB">
        <w:t>Na medida de pesos maiores, como pessoas, a unidade utilizada é quilograma (Kg), excepto nas crianças, onde se pode utilizar também o grama.</w:t>
      </w:r>
    </w:p>
    <w:p w:rsidR="00035880" w:rsidRPr="00DA57CB" w:rsidRDefault="00035880" w:rsidP="00C52E09">
      <w:pPr>
        <w:pStyle w:val="TM-4n"/>
        <w:numPr>
          <w:ilvl w:val="0"/>
          <w:numId w:val="246"/>
        </w:numPr>
        <w:tabs>
          <w:tab w:val="clear" w:pos="720"/>
          <w:tab w:val="clear" w:pos="1134"/>
        </w:tabs>
        <w:spacing w:before="120" w:after="0" w:line="276" w:lineRule="auto"/>
        <w:ind w:left="1440"/>
      </w:pPr>
      <w:r w:rsidRPr="00DA57CB">
        <w:lastRenderedPageBreak/>
        <w:t>Um quilograma equivale a 1.000 gramas, e um grama equivale a 1.000 miligramas.</w:t>
      </w:r>
    </w:p>
    <w:p w:rsidR="00035880" w:rsidRPr="00DA57CB" w:rsidRDefault="00035880" w:rsidP="00C52E09">
      <w:pPr>
        <w:pStyle w:val="TM-3n"/>
        <w:numPr>
          <w:ilvl w:val="2"/>
          <w:numId w:val="279"/>
        </w:numPr>
        <w:tabs>
          <w:tab w:val="clear" w:pos="1276"/>
        </w:tabs>
        <w:spacing w:before="120" w:after="0" w:line="276" w:lineRule="auto"/>
        <w:ind w:left="1080" w:hanging="630"/>
      </w:pPr>
      <w:r w:rsidRPr="00DA57CB">
        <w:t>Capacidade. Utiliza-se para medir líquidos, como água, soros, dissoluções, ou injecções.</w:t>
      </w:r>
    </w:p>
    <w:p w:rsidR="00035880" w:rsidRPr="00DA57CB" w:rsidRDefault="00035880" w:rsidP="00C52E09">
      <w:pPr>
        <w:pStyle w:val="TM-4n"/>
        <w:numPr>
          <w:ilvl w:val="0"/>
          <w:numId w:val="246"/>
        </w:numPr>
        <w:tabs>
          <w:tab w:val="clear" w:pos="720"/>
          <w:tab w:val="clear" w:pos="1134"/>
        </w:tabs>
        <w:spacing w:before="120" w:after="0" w:line="276" w:lineRule="auto"/>
        <w:ind w:left="1440"/>
      </w:pPr>
      <w:r w:rsidRPr="00DA57CB">
        <w:t>As unidades utilizadas são o litro (L) e o mililitro (mL).</w:t>
      </w:r>
    </w:p>
    <w:p w:rsidR="00035880" w:rsidRPr="00DA57CB" w:rsidRDefault="00035880" w:rsidP="00C52E09">
      <w:pPr>
        <w:pStyle w:val="TM-4n"/>
        <w:numPr>
          <w:ilvl w:val="0"/>
          <w:numId w:val="246"/>
        </w:numPr>
        <w:tabs>
          <w:tab w:val="clear" w:pos="720"/>
          <w:tab w:val="clear" w:pos="1134"/>
        </w:tabs>
        <w:spacing w:before="120" w:after="0" w:line="276" w:lineRule="auto"/>
        <w:ind w:left="1440"/>
      </w:pPr>
      <w:r w:rsidRPr="00DA57CB">
        <w:t>Um litro equivale a 1.000 mililitros.</w:t>
      </w:r>
    </w:p>
    <w:p w:rsidR="00035880" w:rsidRPr="00DA57CB" w:rsidRDefault="00035880" w:rsidP="00C52E09">
      <w:pPr>
        <w:pStyle w:val="TM-4n"/>
        <w:numPr>
          <w:ilvl w:val="0"/>
          <w:numId w:val="246"/>
        </w:numPr>
        <w:tabs>
          <w:tab w:val="clear" w:pos="720"/>
          <w:tab w:val="clear" w:pos="1134"/>
        </w:tabs>
        <w:spacing w:before="120" w:after="0" w:line="276" w:lineRule="auto"/>
        <w:ind w:left="1440"/>
      </w:pPr>
      <w:r w:rsidRPr="00DA57CB">
        <w:t>O mililitro é equivalente ao centímetro cúbico (cc, ou cm</w:t>
      </w:r>
      <w:r w:rsidRPr="00DA57CB">
        <w:rPr>
          <w:vertAlign w:val="superscript"/>
        </w:rPr>
        <w:t>3</w:t>
      </w:r>
      <w:r w:rsidRPr="00DA57CB">
        <w:t>).</w:t>
      </w:r>
    </w:p>
    <w:p w:rsidR="00035880" w:rsidRPr="00DA57CB" w:rsidRDefault="00035880" w:rsidP="00C52E09">
      <w:pPr>
        <w:pStyle w:val="TM-4n"/>
        <w:numPr>
          <w:ilvl w:val="0"/>
          <w:numId w:val="246"/>
        </w:numPr>
        <w:tabs>
          <w:tab w:val="clear" w:pos="720"/>
          <w:tab w:val="clear" w:pos="1134"/>
        </w:tabs>
        <w:spacing w:before="120" w:after="0" w:line="276" w:lineRule="auto"/>
        <w:ind w:left="1440"/>
      </w:pPr>
      <w:r w:rsidRPr="00DA57CB">
        <w:t>As seringas para injecções estão marcadas em mililitros. Existem diversos tamanhos, de 1 mL, 5 mL, 10 mL, e outros maiores.</w:t>
      </w:r>
    </w:p>
    <w:p w:rsidR="00035880" w:rsidRPr="00DA57CB" w:rsidRDefault="00035880" w:rsidP="00C52E09">
      <w:pPr>
        <w:pStyle w:val="TM-4n"/>
        <w:numPr>
          <w:ilvl w:val="0"/>
          <w:numId w:val="246"/>
        </w:numPr>
        <w:tabs>
          <w:tab w:val="clear" w:pos="720"/>
          <w:tab w:val="clear" w:pos="1134"/>
        </w:tabs>
        <w:spacing w:before="120" w:after="0" w:line="276" w:lineRule="auto"/>
        <w:ind w:left="1440"/>
      </w:pPr>
      <w:r w:rsidRPr="00DA57CB">
        <w:t>As vezes, os xaropes se administram utilizando colheres ou colherinhas. Como norma geral, uma colherinha equivale a 5 mL, entretanto uma colher equivale a 15 mL. Porém, estas medidas são muito inexactas, já que dependem muito do tamanho da colher ou da colherinha. Recomenda-se utilizar seringas sem agulha na administração de xaropes. Muitos frascos de xarope têm tampa graduada, que se pode utilizar para administrá-los.</w:t>
      </w:r>
    </w:p>
    <w:p w:rsidR="00035880" w:rsidRPr="00DA57CB" w:rsidRDefault="00035880" w:rsidP="00C52E09">
      <w:pPr>
        <w:pStyle w:val="TM-4n"/>
        <w:numPr>
          <w:ilvl w:val="0"/>
          <w:numId w:val="246"/>
        </w:numPr>
        <w:tabs>
          <w:tab w:val="clear" w:pos="720"/>
          <w:tab w:val="clear" w:pos="1134"/>
        </w:tabs>
        <w:spacing w:before="120" w:after="0" w:line="276" w:lineRule="auto"/>
        <w:ind w:left="1440"/>
      </w:pPr>
      <w:r w:rsidRPr="00DA57CB">
        <w:t>Os soros costumam ser medidos em gotas. Geralmente, 20 gotas equivalem a 1 mililitro.</w:t>
      </w:r>
    </w:p>
    <w:p w:rsidR="00035880" w:rsidRPr="00DA57CB" w:rsidRDefault="00035880" w:rsidP="00C52E09">
      <w:pPr>
        <w:pStyle w:val="TM-3n"/>
        <w:numPr>
          <w:ilvl w:val="2"/>
          <w:numId w:val="279"/>
        </w:numPr>
        <w:tabs>
          <w:tab w:val="clear" w:pos="1276"/>
        </w:tabs>
        <w:spacing w:before="120" w:after="0" w:line="276" w:lineRule="auto"/>
        <w:ind w:left="1080" w:hanging="630"/>
      </w:pPr>
      <w:r w:rsidRPr="00DA57CB">
        <w:t>Unidades Internacionais. Certos medicamentos, como alguns antibióticos (por exemplo, penicilina benzatínica), vitaminas (por exemplo, vitamina A), e hormonas (por exemplo, insulina), são medidos em Unidades Internacionais (UI). As Unidades Internacionais medem a actividade biológica destes medicamentos.</w:t>
      </w:r>
    </w:p>
    <w:p w:rsidR="00035880" w:rsidRPr="00DA57CB" w:rsidRDefault="00035880" w:rsidP="00C52E09">
      <w:pPr>
        <w:pStyle w:val="TM-3n"/>
        <w:numPr>
          <w:ilvl w:val="2"/>
          <w:numId w:val="279"/>
        </w:numPr>
        <w:tabs>
          <w:tab w:val="clear" w:pos="1276"/>
        </w:tabs>
        <w:spacing w:before="120" w:after="0" w:line="276" w:lineRule="auto"/>
        <w:ind w:left="1080" w:hanging="630"/>
      </w:pPr>
      <w:r w:rsidRPr="00DA57CB">
        <w:t>Número de comprimidos. Em pacientes adultos, a administração por via oral de medicamentos geralmente é feita em comprimidos. Isto pode-se fazer porque a janela terapêutica de muitos fármacos tem uma amplitude suficiente como permitir o uso de doses não muito precisas.</w:t>
      </w:r>
    </w:p>
    <w:p w:rsidR="00035880" w:rsidRPr="00DA57CB" w:rsidRDefault="00035880" w:rsidP="00C52E09">
      <w:pPr>
        <w:pStyle w:val="TM-4n"/>
        <w:numPr>
          <w:ilvl w:val="0"/>
          <w:numId w:val="246"/>
        </w:numPr>
        <w:tabs>
          <w:tab w:val="clear" w:pos="720"/>
          <w:tab w:val="clear" w:pos="1134"/>
        </w:tabs>
        <w:spacing w:before="120" w:after="0" w:line="276" w:lineRule="auto"/>
        <w:ind w:left="1440"/>
      </w:pPr>
      <w:r w:rsidRPr="00DA57CB">
        <w:t>Muitas vezes, os comprimidos podem-se partir para ajustar a dose se for necessário. Por exemplo, uma criança pode estar a receber ½ comprimido de paracetamol. Se um comprimido tem 500 mg de paracetamol, ½ comprimido terá 250 mg.</w:t>
      </w:r>
    </w:p>
    <w:p w:rsidR="00035880" w:rsidRPr="00DA57CB" w:rsidRDefault="00035880" w:rsidP="00C52E09">
      <w:pPr>
        <w:pStyle w:val="TM-2n"/>
        <w:numPr>
          <w:ilvl w:val="1"/>
          <w:numId w:val="279"/>
        </w:numPr>
        <w:spacing w:before="120" w:after="0" w:line="276" w:lineRule="auto"/>
        <w:ind w:left="450" w:hanging="450"/>
      </w:pPr>
      <w:r w:rsidRPr="009738D3">
        <w:rPr>
          <w:b/>
        </w:rPr>
        <w:t>Cálculo da dose.</w:t>
      </w:r>
      <w:r w:rsidRPr="00DA57CB">
        <w:t xml:space="preserve"> A dose é a quantidade de fármaco que se administra a um paciente e pode ser indicada de diferentes maneiras:</w:t>
      </w:r>
    </w:p>
    <w:p w:rsidR="00035880" w:rsidRPr="00DA57CB" w:rsidRDefault="00035880" w:rsidP="00C52E09">
      <w:pPr>
        <w:pStyle w:val="TM-3n"/>
        <w:numPr>
          <w:ilvl w:val="2"/>
          <w:numId w:val="279"/>
        </w:numPr>
        <w:tabs>
          <w:tab w:val="clear" w:pos="1276"/>
        </w:tabs>
        <w:spacing w:before="120" w:after="0" w:line="276" w:lineRule="auto"/>
        <w:ind w:left="1080" w:hanging="630"/>
      </w:pPr>
      <w:r w:rsidRPr="00DA57CB">
        <w:t>Dose diária. É a quantidade de fármaco que é administrada em cada 24 horas.</w:t>
      </w:r>
    </w:p>
    <w:p w:rsidR="00035880" w:rsidRPr="00DA57CB" w:rsidRDefault="00035880" w:rsidP="00C52E09">
      <w:pPr>
        <w:pStyle w:val="TM-3n"/>
        <w:numPr>
          <w:ilvl w:val="2"/>
          <w:numId w:val="279"/>
        </w:numPr>
        <w:tabs>
          <w:tab w:val="clear" w:pos="1276"/>
        </w:tabs>
        <w:spacing w:before="120" w:after="0" w:line="276" w:lineRule="auto"/>
        <w:ind w:left="1080" w:hanging="630"/>
      </w:pPr>
      <w:r w:rsidRPr="00DA57CB">
        <w:t>Dose por toma. É a quantidade de fármaco que se administra em cada toma.</w:t>
      </w:r>
    </w:p>
    <w:p w:rsidR="00035880" w:rsidRPr="00DA57CB" w:rsidRDefault="00035880" w:rsidP="00C52E09">
      <w:pPr>
        <w:pStyle w:val="TM-3n"/>
        <w:numPr>
          <w:ilvl w:val="2"/>
          <w:numId w:val="279"/>
        </w:numPr>
        <w:tabs>
          <w:tab w:val="clear" w:pos="1276"/>
        </w:tabs>
        <w:spacing w:before="120" w:after="0" w:line="276" w:lineRule="auto"/>
        <w:ind w:left="1080" w:hanging="630"/>
      </w:pPr>
      <w:r w:rsidRPr="00DA57CB">
        <w:t>Intervalo entre tomas. É o tempo que deve passar entre duas administrações consecutivas. Por exemplo:</w:t>
      </w:r>
    </w:p>
    <w:p w:rsidR="00035880" w:rsidRPr="00DA57CB" w:rsidRDefault="00035880" w:rsidP="00C52E09">
      <w:pPr>
        <w:pStyle w:val="TM-4n"/>
        <w:numPr>
          <w:ilvl w:val="0"/>
          <w:numId w:val="246"/>
        </w:numPr>
        <w:tabs>
          <w:tab w:val="clear" w:pos="720"/>
          <w:tab w:val="clear" w:pos="1134"/>
        </w:tabs>
        <w:spacing w:before="120" w:after="0" w:line="276" w:lineRule="auto"/>
        <w:ind w:left="1440"/>
      </w:pPr>
      <w:r w:rsidRPr="00DA57CB">
        <w:t>Em cada 24 horas, ou 1 vez por dia</w:t>
      </w:r>
    </w:p>
    <w:p w:rsidR="00035880" w:rsidRPr="00DA57CB" w:rsidRDefault="00035880" w:rsidP="00C52E09">
      <w:pPr>
        <w:pStyle w:val="TM-4n"/>
        <w:numPr>
          <w:ilvl w:val="0"/>
          <w:numId w:val="246"/>
        </w:numPr>
        <w:tabs>
          <w:tab w:val="clear" w:pos="720"/>
          <w:tab w:val="clear" w:pos="1134"/>
        </w:tabs>
        <w:spacing w:before="120" w:after="0" w:line="276" w:lineRule="auto"/>
        <w:ind w:left="1440"/>
      </w:pPr>
      <w:r w:rsidRPr="00DA57CB">
        <w:t>Em cada 12 horas, ou 2 vezes por dia</w:t>
      </w:r>
    </w:p>
    <w:p w:rsidR="00035880" w:rsidRPr="00DA57CB" w:rsidRDefault="00035880" w:rsidP="00C52E09">
      <w:pPr>
        <w:pStyle w:val="TM-4n"/>
        <w:numPr>
          <w:ilvl w:val="0"/>
          <w:numId w:val="246"/>
        </w:numPr>
        <w:tabs>
          <w:tab w:val="clear" w:pos="720"/>
          <w:tab w:val="clear" w:pos="1134"/>
        </w:tabs>
        <w:spacing w:before="120" w:after="0" w:line="276" w:lineRule="auto"/>
        <w:ind w:left="1440"/>
      </w:pPr>
      <w:r w:rsidRPr="00DA57CB">
        <w:t>Em cada 8 horas, ou 3 vezes por dia</w:t>
      </w:r>
    </w:p>
    <w:p w:rsidR="00035880" w:rsidRPr="00DA57CB" w:rsidRDefault="00035880" w:rsidP="00C52E09">
      <w:pPr>
        <w:pStyle w:val="TM-4n"/>
        <w:numPr>
          <w:ilvl w:val="0"/>
          <w:numId w:val="246"/>
        </w:numPr>
        <w:tabs>
          <w:tab w:val="clear" w:pos="720"/>
          <w:tab w:val="clear" w:pos="1134"/>
        </w:tabs>
        <w:spacing w:before="120" w:after="0" w:line="276" w:lineRule="auto"/>
        <w:ind w:left="1440"/>
      </w:pPr>
      <w:r w:rsidRPr="00DA57CB">
        <w:t>Em cada 6 horas, ou 4 vezes por dia</w:t>
      </w:r>
    </w:p>
    <w:p w:rsidR="00035880" w:rsidRPr="00DA57CB" w:rsidRDefault="00035880" w:rsidP="00C52E09">
      <w:pPr>
        <w:pStyle w:val="TM-4n"/>
        <w:numPr>
          <w:ilvl w:val="0"/>
          <w:numId w:val="246"/>
        </w:numPr>
        <w:tabs>
          <w:tab w:val="clear" w:pos="720"/>
          <w:tab w:val="clear" w:pos="1134"/>
        </w:tabs>
        <w:spacing w:before="120" w:after="0" w:line="276" w:lineRule="auto"/>
        <w:ind w:left="1440"/>
      </w:pPr>
      <w:r w:rsidRPr="00DA57CB">
        <w:t>Em cada 4 horas, ou 6 vezes por dia</w:t>
      </w:r>
    </w:p>
    <w:p w:rsidR="00035880" w:rsidRPr="00DA57CB" w:rsidRDefault="00035880" w:rsidP="00C52E09">
      <w:pPr>
        <w:pStyle w:val="TM-2n"/>
        <w:numPr>
          <w:ilvl w:val="1"/>
          <w:numId w:val="279"/>
        </w:numPr>
        <w:spacing w:before="120" w:after="0" w:line="276" w:lineRule="auto"/>
        <w:ind w:left="450" w:hanging="450"/>
      </w:pPr>
      <w:r w:rsidRPr="00DA57CB">
        <w:t>Para saber a quantidade de fármacos que devemos administrar a um paciente, é necessário efectuar algumas operações matemáticas. As mais importantes são a regra de três simples e o cálculo do gotejamento.</w:t>
      </w:r>
    </w:p>
    <w:p w:rsidR="00035880" w:rsidRPr="00DA57CB" w:rsidRDefault="00035880" w:rsidP="00C52E09">
      <w:pPr>
        <w:pStyle w:val="TM-3n"/>
        <w:numPr>
          <w:ilvl w:val="2"/>
          <w:numId w:val="279"/>
        </w:numPr>
        <w:tabs>
          <w:tab w:val="clear" w:pos="1276"/>
        </w:tabs>
        <w:spacing w:before="120" w:after="0" w:line="276" w:lineRule="auto"/>
        <w:ind w:left="1080" w:hanging="630"/>
      </w:pPr>
      <w:r w:rsidRPr="00DA57CB">
        <w:t xml:space="preserve">Regra de três simples. É uma operação matemática que permite calcular um dado a partir de 3 dados conhecidos. Por exemplo, um frasco de ampicilina injectável tem 1 grama (1.000 </w:t>
      </w:r>
      <w:r w:rsidRPr="00DA57CB">
        <w:lastRenderedPageBreak/>
        <w:t>miligramas) de fármaco, que está dissolvido em 4 mL; quantos mL há que injectar para administrar 250 mg?</w:t>
      </w:r>
    </w:p>
    <w:p w:rsidR="00035880" w:rsidRPr="00DA57CB" w:rsidRDefault="009A56D9" w:rsidP="00C52E09">
      <w:pPr>
        <w:pStyle w:val="TM-4n"/>
        <w:numPr>
          <w:ilvl w:val="0"/>
          <w:numId w:val="246"/>
        </w:numPr>
        <w:tabs>
          <w:tab w:val="clear" w:pos="720"/>
          <w:tab w:val="clear" w:pos="1134"/>
        </w:tabs>
        <w:spacing w:before="120" w:after="0" w:line="276" w:lineRule="auto"/>
        <w:ind w:left="1440"/>
      </w:pPr>
      <w:r>
        <w:pict>
          <v:shape id="_x0000_s1114" type="#_x0000_t75" style="position:absolute;left:0;text-align:left;margin-left:211.4pt;margin-top:32.9pt;width:95.1pt;height:33.05pt;z-index:251675648">
            <v:imagedata r:id="rId162" o:title=""/>
          </v:shape>
          <o:OLEObject Type="Embed" ProgID="Equation.3" ShapeID="_x0000_s1114" DrawAspect="Content" ObjectID="_1500777496" r:id="rId163"/>
        </w:pict>
      </w:r>
      <w:r w:rsidR="00035880" w:rsidRPr="00DA57CB">
        <w:t>Os 3 valores conhecidos e o valor desconhecido estão relacionados de maneira proporcional, da seguinte maneira:</w:t>
      </w:r>
    </w:p>
    <w:p w:rsidR="00035880" w:rsidRPr="00DA57CB" w:rsidRDefault="00035880" w:rsidP="00035880">
      <w:pPr>
        <w:pStyle w:val="TM-4n"/>
        <w:numPr>
          <w:ilvl w:val="0"/>
          <w:numId w:val="0"/>
        </w:numPr>
        <w:spacing w:before="120" w:after="0" w:line="276" w:lineRule="auto"/>
        <w:ind w:left="1440"/>
      </w:pPr>
    </w:p>
    <w:p w:rsidR="00035880" w:rsidRPr="00DA57CB" w:rsidRDefault="00035880" w:rsidP="00035880">
      <w:pPr>
        <w:pStyle w:val="TM-4n"/>
        <w:numPr>
          <w:ilvl w:val="0"/>
          <w:numId w:val="0"/>
        </w:numPr>
        <w:spacing w:before="120" w:after="0" w:line="276" w:lineRule="auto"/>
        <w:ind w:left="1440"/>
      </w:pPr>
    </w:p>
    <w:p w:rsidR="00035880" w:rsidRPr="00DA57CB" w:rsidRDefault="009A56D9" w:rsidP="00C52E09">
      <w:pPr>
        <w:pStyle w:val="TM-4n"/>
        <w:numPr>
          <w:ilvl w:val="0"/>
          <w:numId w:val="246"/>
        </w:numPr>
        <w:tabs>
          <w:tab w:val="clear" w:pos="720"/>
          <w:tab w:val="clear" w:pos="1134"/>
        </w:tabs>
        <w:spacing w:before="120" w:after="0" w:line="276" w:lineRule="auto"/>
        <w:ind w:left="1440"/>
      </w:pPr>
      <w:r>
        <w:pict>
          <v:shape id="_x0000_s1115" type="#_x0000_t75" style="position:absolute;left:0;text-align:left;margin-left:197.9pt;margin-top:21.35pt;width:120.95pt;height:32.95pt;z-index:251676672">
            <v:imagedata r:id="rId164" o:title=""/>
          </v:shape>
          <o:OLEObject Type="Embed" ProgID="Equation.3" ShapeID="_x0000_s1115" DrawAspect="Content" ObjectID="_1500777497" r:id="rId165"/>
        </w:pict>
      </w:r>
      <w:r w:rsidR="00035880" w:rsidRPr="00DA57CB">
        <w:t>Assim, o valor desconhecido pode ser calculado com facilidade:</w:t>
      </w:r>
    </w:p>
    <w:p w:rsidR="00035880" w:rsidRPr="00DA57CB" w:rsidRDefault="00035880" w:rsidP="00035880">
      <w:pPr>
        <w:pStyle w:val="TM-4n"/>
        <w:numPr>
          <w:ilvl w:val="0"/>
          <w:numId w:val="0"/>
        </w:numPr>
        <w:spacing w:before="120" w:after="0" w:line="276" w:lineRule="auto"/>
        <w:ind w:left="1440"/>
      </w:pPr>
    </w:p>
    <w:p w:rsidR="00035880" w:rsidRPr="00DA57CB" w:rsidRDefault="00035880" w:rsidP="00035880">
      <w:pPr>
        <w:pStyle w:val="TM-4n"/>
        <w:numPr>
          <w:ilvl w:val="0"/>
          <w:numId w:val="0"/>
        </w:numPr>
        <w:spacing w:before="120" w:after="0" w:line="276" w:lineRule="auto"/>
        <w:ind w:left="1440"/>
      </w:pPr>
    </w:p>
    <w:p w:rsidR="00035880" w:rsidRPr="00DA57CB" w:rsidRDefault="00035880" w:rsidP="00C52E09">
      <w:pPr>
        <w:pStyle w:val="TM-3n"/>
        <w:numPr>
          <w:ilvl w:val="2"/>
          <w:numId w:val="279"/>
        </w:numPr>
        <w:tabs>
          <w:tab w:val="clear" w:pos="1276"/>
        </w:tabs>
        <w:spacing w:before="120" w:after="0" w:line="276" w:lineRule="auto"/>
        <w:ind w:left="1080" w:hanging="630"/>
      </w:pPr>
      <w:r w:rsidRPr="00DA57CB">
        <w:t>Cálculo do gotejamento. Para conhecer o volume de líquido administrado por unidade de tempo numa infusão intravenosa, há que aplicar uma fórmula simples, que é a seguinte:</w:t>
      </w:r>
    </w:p>
    <w:p w:rsidR="00035880" w:rsidRPr="00DA57CB" w:rsidRDefault="00035880" w:rsidP="00C52E09">
      <w:pPr>
        <w:pStyle w:val="TM-4n"/>
        <w:numPr>
          <w:ilvl w:val="0"/>
          <w:numId w:val="246"/>
        </w:numPr>
        <w:tabs>
          <w:tab w:val="clear" w:pos="720"/>
          <w:tab w:val="clear" w:pos="1134"/>
        </w:tabs>
        <w:spacing w:before="120" w:after="0" w:line="276" w:lineRule="auto"/>
        <w:ind w:left="1440"/>
      </w:pPr>
      <w:r w:rsidRPr="00DA57CB">
        <w:t>A quantidade de mL administrada numa hora, é igual a 3 vezes o número de gotas que passam por minuto.</w:t>
      </w:r>
    </w:p>
    <w:p w:rsidR="00035880" w:rsidRPr="00DA57CB" w:rsidRDefault="00035880" w:rsidP="00C52E09">
      <w:pPr>
        <w:pStyle w:val="TM-4n"/>
        <w:numPr>
          <w:ilvl w:val="0"/>
          <w:numId w:val="246"/>
        </w:numPr>
        <w:tabs>
          <w:tab w:val="clear" w:pos="720"/>
          <w:tab w:val="clear" w:pos="1134"/>
        </w:tabs>
        <w:spacing w:before="120" w:after="0" w:line="276" w:lineRule="auto"/>
        <w:ind w:left="1440"/>
      </w:pPr>
      <w:r w:rsidRPr="00DA57CB">
        <w:t>Por exemplo: dona Rosa deve receber 3 litros de soro fisiológico em 24 horas, quantas gotas devem passar por minuto?</w:t>
      </w:r>
    </w:p>
    <w:p w:rsidR="00035880" w:rsidRPr="00DA57CB" w:rsidRDefault="00035880" w:rsidP="00C52E09">
      <w:pPr>
        <w:pStyle w:val="TM-4n"/>
        <w:numPr>
          <w:ilvl w:val="0"/>
          <w:numId w:val="246"/>
        </w:numPr>
        <w:tabs>
          <w:tab w:val="clear" w:pos="720"/>
          <w:tab w:val="clear" w:pos="1134"/>
        </w:tabs>
        <w:spacing w:before="120" w:after="0" w:line="276" w:lineRule="auto"/>
        <w:ind w:left="1440"/>
      </w:pPr>
      <w:r w:rsidRPr="00DA57CB">
        <w:t>3.000 mL, a dividir entre 24 horas, é igual a 125 mL por hora.</w:t>
      </w:r>
    </w:p>
    <w:p w:rsidR="00035880" w:rsidRDefault="00035880" w:rsidP="00C52E09">
      <w:pPr>
        <w:pStyle w:val="TM-4n"/>
        <w:numPr>
          <w:ilvl w:val="0"/>
          <w:numId w:val="246"/>
        </w:numPr>
        <w:tabs>
          <w:tab w:val="clear" w:pos="720"/>
          <w:tab w:val="clear" w:pos="1134"/>
        </w:tabs>
        <w:spacing w:before="120" w:after="0" w:line="276" w:lineRule="auto"/>
        <w:ind w:left="1440"/>
      </w:pPr>
      <w:r w:rsidRPr="00DA57CB">
        <w:t>125, a dividir entre 3, será o número de gotas que devem passar por minuto. Isto é, aproximadamente 42 gotas por minuto.</w:t>
      </w:r>
    </w:p>
    <w:p w:rsidR="00035880" w:rsidRDefault="00035880" w:rsidP="00035880">
      <w:pPr>
        <w:pStyle w:val="TM-4n"/>
        <w:numPr>
          <w:ilvl w:val="0"/>
          <w:numId w:val="0"/>
        </w:numPr>
        <w:spacing w:before="120" w:after="0" w:line="276" w:lineRule="auto"/>
        <w:ind w:left="1440"/>
      </w:pPr>
    </w:p>
    <w:p w:rsidR="00035880" w:rsidRPr="009738D3" w:rsidRDefault="00035880" w:rsidP="00C52E09">
      <w:pPr>
        <w:numPr>
          <w:ilvl w:val="1"/>
          <w:numId w:val="247"/>
        </w:numPr>
        <w:spacing w:after="0"/>
        <w:rPr>
          <w:rFonts w:cs="Arial"/>
          <w:b/>
        </w:rPr>
      </w:pPr>
      <w:r w:rsidRPr="009738D3">
        <w:rPr>
          <w:rFonts w:cs="Arial"/>
          <w:b/>
        </w:rPr>
        <w:t>Receitas Médicas</w:t>
      </w:r>
    </w:p>
    <w:p w:rsidR="00035880" w:rsidRDefault="00035880" w:rsidP="00035880">
      <w:pPr>
        <w:rPr>
          <w:rFonts w:eastAsia="Calibri" w:cs="Arial"/>
          <w:lang w:val="pt-BR"/>
        </w:rPr>
      </w:pPr>
      <w:r w:rsidRPr="00DA57CB">
        <w:rPr>
          <w:rFonts w:cs="Arial"/>
          <w:lang w:val="pt-BR"/>
        </w:rPr>
        <w:t xml:space="preserve">Após a decisão de prescrever um medicamento, o passo seguinte é a elaboração de uma  prescrição. </w:t>
      </w:r>
      <w:r w:rsidRPr="00DA57CB">
        <w:rPr>
          <w:rFonts w:eastAsia="Calibri" w:cs="Arial"/>
          <w:lang w:val="pt-BR"/>
        </w:rPr>
        <w:t>Uma prescrição ou receita médica é basicamente uma requisição do clínico ao farmacêutico para fornecer ao paciente determinados medicamentos.</w:t>
      </w:r>
    </w:p>
    <w:p w:rsidR="00035880" w:rsidRPr="00DA57CB" w:rsidRDefault="00035880" w:rsidP="0069265E">
      <w:pPr>
        <w:ind w:left="540"/>
        <w:rPr>
          <w:rFonts w:eastAsia="Calibri" w:cs="Arial"/>
          <w:lang w:val="pt-BR"/>
        </w:rPr>
      </w:pPr>
      <w:r w:rsidRPr="0069265E">
        <w:rPr>
          <w:rFonts w:eastAsia="Calibri" w:cs="Arial"/>
          <w:b/>
          <w:lang w:val="pt-BR"/>
        </w:rPr>
        <w:t>2.8.1</w:t>
      </w:r>
      <w:r w:rsidRPr="00DA57CB">
        <w:rPr>
          <w:rFonts w:eastAsia="Calibri" w:cs="Arial"/>
          <w:lang w:val="pt-BR"/>
        </w:rPr>
        <w:t xml:space="preserve"> </w:t>
      </w:r>
      <w:r w:rsidR="0069265E">
        <w:rPr>
          <w:rFonts w:eastAsia="Calibri" w:cs="Arial"/>
          <w:lang w:val="pt-BR"/>
        </w:rPr>
        <w:t xml:space="preserve">  </w:t>
      </w:r>
      <w:r w:rsidRPr="00DA57CB">
        <w:rPr>
          <w:rFonts w:eastAsia="Calibri" w:cs="Arial"/>
          <w:lang w:val="pt-BR"/>
        </w:rPr>
        <w:t>Antes de prescrever um medicamento deve-se verificar que corresponde ao nível de prescrição do Técnico de Medicina (nível máximo 2).</w:t>
      </w:r>
    </w:p>
    <w:p w:rsidR="00035880" w:rsidRPr="00DA57CB" w:rsidRDefault="00035880" w:rsidP="00C52E09">
      <w:pPr>
        <w:pStyle w:val="TM-2n"/>
        <w:numPr>
          <w:ilvl w:val="2"/>
          <w:numId w:val="248"/>
        </w:numPr>
        <w:spacing w:before="120" w:after="0" w:line="276" w:lineRule="auto"/>
      </w:pPr>
      <w:r w:rsidRPr="00DA57CB">
        <w:t>Na elaboração duma receita médica deve-se ter em conta as seguintes normas:</w:t>
      </w:r>
    </w:p>
    <w:p w:rsidR="00035880" w:rsidRPr="00DA57CB" w:rsidRDefault="00035880" w:rsidP="00C52E09">
      <w:pPr>
        <w:pStyle w:val="TM-3n"/>
        <w:numPr>
          <w:ilvl w:val="1"/>
          <w:numId w:val="249"/>
        </w:numPr>
        <w:tabs>
          <w:tab w:val="clear" w:pos="1276"/>
        </w:tabs>
        <w:spacing w:before="120" w:after="0" w:line="276" w:lineRule="auto"/>
      </w:pPr>
      <w:r w:rsidRPr="00DA57CB">
        <w:t>Escrever numa linguagem clara e objectiva, indicando com precisão o que se quer administrar.</w:t>
      </w:r>
    </w:p>
    <w:p w:rsidR="00035880" w:rsidRPr="00DA57CB" w:rsidRDefault="00035880" w:rsidP="00C52E09">
      <w:pPr>
        <w:pStyle w:val="TM-3n"/>
        <w:numPr>
          <w:ilvl w:val="1"/>
          <w:numId w:val="249"/>
        </w:numPr>
        <w:tabs>
          <w:tab w:val="clear" w:pos="1276"/>
        </w:tabs>
        <w:spacing w:before="120" w:after="0" w:line="276" w:lineRule="auto"/>
      </w:pPr>
      <w:r w:rsidRPr="00DA57CB">
        <w:t>Identificar correctamente o paciente e o prescritor, incluindo a instituição onde o prescritor presta serviços.</w:t>
      </w:r>
    </w:p>
    <w:p w:rsidR="00035880" w:rsidRPr="00DA57CB" w:rsidRDefault="00035880" w:rsidP="00C52E09">
      <w:pPr>
        <w:pStyle w:val="TM-3n"/>
        <w:numPr>
          <w:ilvl w:val="1"/>
          <w:numId w:val="249"/>
        </w:numPr>
        <w:tabs>
          <w:tab w:val="clear" w:pos="1276"/>
        </w:tabs>
        <w:spacing w:before="120" w:after="0" w:line="276" w:lineRule="auto"/>
      </w:pPr>
      <w:r w:rsidRPr="00DA57CB">
        <w:t>Expressar claramente o nome do medicamento, forma farmacêutica desejada, e dosagem. Por exemplo, paracetamol, comprimidos de 500 mg.</w:t>
      </w:r>
    </w:p>
    <w:p w:rsidR="00035880" w:rsidRPr="00DA57CB" w:rsidRDefault="00035880" w:rsidP="00C52E09">
      <w:pPr>
        <w:pStyle w:val="TM-3n"/>
        <w:numPr>
          <w:ilvl w:val="1"/>
          <w:numId w:val="249"/>
        </w:numPr>
        <w:tabs>
          <w:tab w:val="clear" w:pos="1276"/>
        </w:tabs>
        <w:spacing w:before="120" w:after="0" w:line="276" w:lineRule="auto"/>
      </w:pPr>
      <w:r w:rsidRPr="00DA57CB">
        <w:t>Indicar claramente a quantidade de medicamento a ser aviada (20 cápsula, 45 comprimidos, 3 frascos, etc.).</w:t>
      </w:r>
    </w:p>
    <w:p w:rsidR="00035880" w:rsidRPr="00DA57CB" w:rsidRDefault="00035880" w:rsidP="00C52E09">
      <w:pPr>
        <w:pStyle w:val="TM-3n"/>
        <w:numPr>
          <w:ilvl w:val="1"/>
          <w:numId w:val="249"/>
        </w:numPr>
        <w:tabs>
          <w:tab w:val="clear" w:pos="1276"/>
        </w:tabs>
        <w:spacing w:before="120" w:after="0" w:line="276" w:lineRule="auto"/>
      </w:pPr>
      <w:r w:rsidRPr="00DA57CB">
        <w:t>Indicar claramente o regime posológico, isto é, os intervalos entre as tomas de medicamento e a duração do mesmo. Por exemplo, 1 cápsula em cada 8 horas, durante 7 dias.</w:t>
      </w:r>
    </w:p>
    <w:p w:rsidR="00035880" w:rsidRPr="00DA57CB" w:rsidRDefault="00035880" w:rsidP="00C52E09">
      <w:pPr>
        <w:pStyle w:val="TM-3n"/>
        <w:numPr>
          <w:ilvl w:val="1"/>
          <w:numId w:val="249"/>
        </w:numPr>
        <w:tabs>
          <w:tab w:val="clear" w:pos="1276"/>
        </w:tabs>
        <w:spacing w:before="120" w:after="0" w:line="276" w:lineRule="auto"/>
      </w:pPr>
      <w:r w:rsidRPr="00DA57CB">
        <w:t>Indicar a data da prescrição.</w:t>
      </w:r>
    </w:p>
    <w:p w:rsidR="00035880" w:rsidRPr="00DA57CB" w:rsidRDefault="00035880" w:rsidP="00C52E09">
      <w:pPr>
        <w:pStyle w:val="TM-3n"/>
        <w:numPr>
          <w:ilvl w:val="1"/>
          <w:numId w:val="249"/>
        </w:numPr>
        <w:tabs>
          <w:tab w:val="clear" w:pos="1276"/>
        </w:tabs>
        <w:spacing w:before="120" w:after="0" w:line="276" w:lineRule="auto"/>
      </w:pPr>
      <w:r w:rsidRPr="00DA57CB">
        <w:rPr>
          <w:lang w:val="pt-BR"/>
        </w:rPr>
        <w:t>A assinatura do prescritor deve constar na receita.</w:t>
      </w:r>
    </w:p>
    <w:p w:rsidR="00035880" w:rsidRPr="00DA57CB" w:rsidRDefault="00035880" w:rsidP="00C52E09">
      <w:pPr>
        <w:numPr>
          <w:ilvl w:val="1"/>
          <w:numId w:val="248"/>
        </w:numPr>
        <w:spacing w:after="0"/>
        <w:rPr>
          <w:rFonts w:cs="Arial"/>
          <w:lang w:val="pt-BR"/>
        </w:rPr>
      </w:pPr>
      <w:r w:rsidRPr="00DA57CB">
        <w:rPr>
          <w:rFonts w:cs="Arial"/>
          <w:lang w:val="pt-BR"/>
        </w:rPr>
        <w:t xml:space="preserve">Todas as reacções adversas devem ser notificadas a Unidade de Farmacovigilância do  Ministério da Saúde, utilizando a Ficha de Notificação de Reacções Adversas a Medicamentos </w:t>
      </w:r>
    </w:p>
    <w:p w:rsidR="00035880" w:rsidRPr="00035880" w:rsidRDefault="00035880" w:rsidP="00035880">
      <w:pPr>
        <w:ind w:left="840"/>
        <w:rPr>
          <w:rFonts w:cs="Arial"/>
          <w:lang w:val="pt-BR"/>
        </w:rPr>
      </w:pPr>
    </w:p>
    <w:p w:rsidR="00035880" w:rsidRPr="00DA57CB" w:rsidRDefault="00035880" w:rsidP="00035880">
      <w:pPr>
        <w:ind w:left="142"/>
        <w:jc w:val="center"/>
        <w:rPr>
          <w:rFonts w:cs="Arial"/>
          <w:lang w:val="pt-BR"/>
        </w:rPr>
      </w:pPr>
      <w:r>
        <w:rPr>
          <w:rFonts w:cs="Arial"/>
          <w:noProof/>
          <w:lang w:val="en-ZW" w:eastAsia="en-ZW"/>
        </w:rPr>
        <w:drawing>
          <wp:inline distT="0" distB="0" distL="0" distR="0">
            <wp:extent cx="5943600" cy="7696200"/>
            <wp:effectExtent l="19050" t="0" r="0" b="0"/>
            <wp:docPr id="2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9" cstate="print"/>
                    <a:srcRect/>
                    <a:stretch>
                      <a:fillRect/>
                    </a:stretch>
                  </pic:blipFill>
                  <pic:spPr bwMode="auto">
                    <a:xfrm>
                      <a:off x="0" y="0"/>
                      <a:ext cx="5943600" cy="7696200"/>
                    </a:xfrm>
                    <a:prstGeom prst="rect">
                      <a:avLst/>
                    </a:prstGeom>
                    <a:noFill/>
                    <a:ln w="9525">
                      <a:noFill/>
                      <a:miter lim="800000"/>
                      <a:headEnd/>
                      <a:tailEnd/>
                    </a:ln>
                  </pic:spPr>
                </pic:pic>
              </a:graphicData>
            </a:graphic>
          </wp:inline>
        </w:drawing>
      </w:r>
      <w:r w:rsidRPr="00DA57CB">
        <w:rPr>
          <w:rFonts w:cs="Arial"/>
          <w:lang w:val="pt-BR"/>
        </w:rPr>
        <w:br w:type="page"/>
      </w:r>
    </w:p>
    <w:p w:rsidR="00035880" w:rsidRPr="00DA57CB" w:rsidRDefault="005F3F7B" w:rsidP="005F3F7B">
      <w:pPr>
        <w:pStyle w:val="TM-1n"/>
        <w:numPr>
          <w:ilvl w:val="0"/>
          <w:numId w:val="0"/>
        </w:numPr>
        <w:shd w:val="clear" w:color="auto" w:fill="C6D9F1"/>
        <w:tabs>
          <w:tab w:val="clear" w:pos="9072"/>
          <w:tab w:val="right" w:pos="1440"/>
          <w:tab w:val="right" w:pos="8640"/>
        </w:tabs>
        <w:rPr>
          <w:sz w:val="22"/>
          <w:szCs w:val="22"/>
        </w:rPr>
      </w:pPr>
      <w:r>
        <w:rPr>
          <w:sz w:val="22"/>
          <w:szCs w:val="22"/>
        </w:rPr>
        <w:lastRenderedPageBreak/>
        <w:t xml:space="preserve">BLOCO 3: </w:t>
      </w:r>
      <w:r w:rsidR="00035880" w:rsidRPr="00DA57CB">
        <w:rPr>
          <w:sz w:val="22"/>
          <w:szCs w:val="22"/>
        </w:rPr>
        <w:t>EXERCÍCIOS</w:t>
      </w:r>
      <w:r w:rsidR="00035880" w:rsidRPr="00DA57CB">
        <w:rPr>
          <w:sz w:val="22"/>
          <w:szCs w:val="22"/>
        </w:rPr>
        <w:tab/>
        <w:t>(180 min)</w:t>
      </w:r>
    </w:p>
    <w:p w:rsidR="00035880" w:rsidRPr="00DA57CB" w:rsidRDefault="00035880" w:rsidP="00C52E09">
      <w:pPr>
        <w:pStyle w:val="TM-2n"/>
        <w:numPr>
          <w:ilvl w:val="1"/>
          <w:numId w:val="280"/>
        </w:numPr>
        <w:spacing w:before="120" w:after="0" w:line="276" w:lineRule="auto"/>
        <w:ind w:left="450" w:hanging="450"/>
      </w:pPr>
      <w:r w:rsidRPr="00DA57CB">
        <w:t>Este bloco estará dividido em 2 partes:</w:t>
      </w:r>
    </w:p>
    <w:p w:rsidR="00BD55A9" w:rsidRDefault="00035880" w:rsidP="00C52E09">
      <w:pPr>
        <w:pStyle w:val="TM-3n"/>
        <w:numPr>
          <w:ilvl w:val="2"/>
          <w:numId w:val="280"/>
        </w:numPr>
        <w:tabs>
          <w:tab w:val="clear" w:pos="1276"/>
          <w:tab w:val="left" w:pos="1170"/>
          <w:tab w:val="left" w:pos="1440"/>
        </w:tabs>
        <w:ind w:left="1170"/>
      </w:pPr>
      <w:r w:rsidRPr="00DA57CB">
        <w:t>Relação patógeno-doença, classificação de anti-microbianos, cálculo da dose e dosagem e prescrição de receita médica – 120 minutos</w:t>
      </w:r>
    </w:p>
    <w:p w:rsidR="00035880" w:rsidRPr="00DA57CB" w:rsidRDefault="00035880" w:rsidP="00C52E09">
      <w:pPr>
        <w:pStyle w:val="TM-3n"/>
        <w:numPr>
          <w:ilvl w:val="2"/>
          <w:numId w:val="280"/>
        </w:numPr>
        <w:ind w:hanging="1710"/>
      </w:pPr>
      <w:r w:rsidRPr="00DA57CB">
        <w:t>Preenchimento da ficha de notificação de reacções adversas – 60 minutos</w:t>
      </w:r>
    </w:p>
    <w:p w:rsidR="00035880" w:rsidRDefault="00035880" w:rsidP="00C52E09">
      <w:pPr>
        <w:pStyle w:val="TM-2n"/>
        <w:numPr>
          <w:ilvl w:val="1"/>
          <w:numId w:val="280"/>
        </w:numPr>
        <w:spacing w:before="120" w:after="0" w:line="276" w:lineRule="auto"/>
        <w:ind w:left="450" w:hanging="450"/>
      </w:pPr>
      <w:r w:rsidRPr="000C349E">
        <w:rPr>
          <w:b/>
        </w:rPr>
        <w:t>1ª Parte</w:t>
      </w:r>
      <w:r w:rsidRPr="00DA57CB">
        <w:t xml:space="preserve"> – Relação patógeno-doença, classificação de anti-microbianos, cálculo da dose e dosagem e prescrição de receita médica– é feita por todos alunos de forma individual</w:t>
      </w:r>
    </w:p>
    <w:p w:rsidR="005B6E6C" w:rsidRPr="00DA57CB" w:rsidRDefault="005B6E6C" w:rsidP="005B6E6C">
      <w:pPr>
        <w:pStyle w:val="TM-2n"/>
        <w:numPr>
          <w:ilvl w:val="0"/>
          <w:numId w:val="0"/>
        </w:numPr>
        <w:spacing w:after="0"/>
        <w:ind w:left="450"/>
      </w:pPr>
    </w:p>
    <w:p w:rsidR="00035880" w:rsidRPr="00DA57CB" w:rsidRDefault="00035880" w:rsidP="00C52E09">
      <w:pPr>
        <w:pStyle w:val="TM-3n"/>
        <w:numPr>
          <w:ilvl w:val="2"/>
          <w:numId w:val="280"/>
        </w:numPr>
        <w:tabs>
          <w:tab w:val="left" w:pos="630"/>
        </w:tabs>
        <w:ind w:left="540" w:firstLine="0"/>
      </w:pPr>
      <w:r w:rsidRPr="000C349E">
        <w:rPr>
          <w:b/>
        </w:rPr>
        <w:t>Caso clínico 1</w:t>
      </w:r>
      <w:r w:rsidRPr="00DA57CB">
        <w:t xml:space="preserve">: J.A é um paciente que chega a consulta devido a dor ao urinar há 3 dias e ter notado que no final da urina sai sangue (hematúria terminal). O Clínico pediu análise de urina e o resultado mostrou a presença de ovos de </w:t>
      </w:r>
      <w:r w:rsidRPr="00DA57CB">
        <w:rPr>
          <w:i/>
        </w:rPr>
        <w:t>Schistosoma haematobium.</w:t>
      </w:r>
      <w:r w:rsidRPr="00DA57CB">
        <w:t xml:space="preserve"> J.A pesa 50 kg.</w:t>
      </w:r>
    </w:p>
    <w:p w:rsidR="00035880" w:rsidRPr="00DA57CB" w:rsidRDefault="00035880" w:rsidP="00C52E09">
      <w:pPr>
        <w:pStyle w:val="TM-3n"/>
        <w:numPr>
          <w:ilvl w:val="3"/>
          <w:numId w:val="280"/>
        </w:numPr>
        <w:ind w:left="2160" w:hanging="810"/>
      </w:pPr>
      <w:r w:rsidRPr="00DA57CB">
        <w:t>Diga de que doença se trata</w:t>
      </w:r>
    </w:p>
    <w:p w:rsidR="00035880" w:rsidRPr="00DA57CB" w:rsidRDefault="00035880" w:rsidP="00C52E09">
      <w:pPr>
        <w:pStyle w:val="TM-3n"/>
        <w:numPr>
          <w:ilvl w:val="3"/>
          <w:numId w:val="280"/>
        </w:numPr>
        <w:ind w:left="2160" w:hanging="810"/>
      </w:pPr>
      <w:r w:rsidRPr="00DA57CB">
        <w:t>Qual o medicamento que trata esta doença e qual a via de administração</w:t>
      </w:r>
    </w:p>
    <w:p w:rsidR="00035880" w:rsidRPr="00DA57CB" w:rsidRDefault="00035880" w:rsidP="00C52E09">
      <w:pPr>
        <w:pStyle w:val="TM-3n"/>
        <w:numPr>
          <w:ilvl w:val="3"/>
          <w:numId w:val="280"/>
        </w:numPr>
        <w:ind w:left="2160" w:hanging="810"/>
      </w:pPr>
      <w:r w:rsidRPr="00DA57CB">
        <w:t>Calcule a dose e dosagem do medicamento</w:t>
      </w:r>
    </w:p>
    <w:p w:rsidR="00035880" w:rsidRPr="00DA57CB" w:rsidRDefault="00035880" w:rsidP="00C52E09">
      <w:pPr>
        <w:pStyle w:val="TM-3n"/>
        <w:numPr>
          <w:ilvl w:val="3"/>
          <w:numId w:val="280"/>
        </w:numPr>
        <w:ind w:left="2160" w:hanging="810"/>
      </w:pPr>
      <w:r w:rsidRPr="00DA57CB">
        <w:t>Faça a receita médica</w:t>
      </w:r>
    </w:p>
    <w:p w:rsidR="00035880" w:rsidRPr="00DA57CB" w:rsidRDefault="00035880" w:rsidP="00C52E09">
      <w:pPr>
        <w:pStyle w:val="TM-3n"/>
        <w:numPr>
          <w:ilvl w:val="2"/>
          <w:numId w:val="280"/>
        </w:numPr>
        <w:ind w:left="914" w:hanging="374"/>
      </w:pPr>
      <w:r w:rsidRPr="000C349E">
        <w:rPr>
          <w:b/>
        </w:rPr>
        <w:t>Caso clínico 2</w:t>
      </w:r>
      <w:r w:rsidRPr="00DA57CB">
        <w:t>: M.A é um paciente que chega a consulta por febre, dores em todo corpo, vómitos, de início há 3 dias. O clínico pede anális</w:t>
      </w:r>
      <w:r>
        <w:t>e do sangue – pesquisa de plasmo</w:t>
      </w:r>
      <w:r w:rsidRPr="00DA57CB">
        <w:t xml:space="preserve">dium, tripanossoma e borrelia. O resultado mostrou a presença de formas assexuadas de </w:t>
      </w:r>
      <w:r w:rsidRPr="00DA57CB">
        <w:rPr>
          <w:i/>
        </w:rPr>
        <w:t>plasmodium falciparum</w:t>
      </w:r>
      <w:r w:rsidRPr="00DA57CB">
        <w:t>, não se encontrou trypanosomas nem borrelias. M. A pesa 40 kg.</w:t>
      </w:r>
    </w:p>
    <w:p w:rsidR="00035880" w:rsidRPr="00DA57CB" w:rsidRDefault="00035880" w:rsidP="00C52E09">
      <w:pPr>
        <w:pStyle w:val="TM-3n"/>
        <w:numPr>
          <w:ilvl w:val="3"/>
          <w:numId w:val="280"/>
        </w:numPr>
        <w:tabs>
          <w:tab w:val="left" w:pos="1890"/>
        </w:tabs>
        <w:ind w:left="2160" w:hanging="810"/>
      </w:pPr>
      <w:r w:rsidRPr="00DA57CB">
        <w:t>Diga de que doença se trata</w:t>
      </w:r>
    </w:p>
    <w:p w:rsidR="00035880" w:rsidRPr="00DA57CB" w:rsidRDefault="00035880" w:rsidP="00C52E09">
      <w:pPr>
        <w:pStyle w:val="TM-3n"/>
        <w:numPr>
          <w:ilvl w:val="3"/>
          <w:numId w:val="280"/>
        </w:numPr>
        <w:ind w:left="2160" w:hanging="810"/>
      </w:pPr>
      <w:r w:rsidRPr="00DA57CB">
        <w:t>Qual o medicamento de 1ª linha que trata esta doença e qual a via de administração</w:t>
      </w:r>
    </w:p>
    <w:p w:rsidR="00035880" w:rsidRPr="00DA57CB" w:rsidRDefault="00035880" w:rsidP="00C52E09">
      <w:pPr>
        <w:pStyle w:val="TM-3n"/>
        <w:numPr>
          <w:ilvl w:val="3"/>
          <w:numId w:val="280"/>
        </w:numPr>
        <w:tabs>
          <w:tab w:val="left" w:pos="1890"/>
        </w:tabs>
        <w:ind w:left="2160" w:hanging="810"/>
      </w:pPr>
      <w:r w:rsidRPr="00DA57CB">
        <w:t>Calcule a dose e dosagem do medicamento</w:t>
      </w:r>
    </w:p>
    <w:p w:rsidR="00035880" w:rsidRPr="00DA57CB" w:rsidRDefault="00035880" w:rsidP="00C52E09">
      <w:pPr>
        <w:pStyle w:val="TM-3n"/>
        <w:numPr>
          <w:ilvl w:val="3"/>
          <w:numId w:val="280"/>
        </w:numPr>
        <w:ind w:left="2160" w:hanging="810"/>
      </w:pPr>
      <w:r w:rsidRPr="00DA57CB">
        <w:t>Faça a receita médica</w:t>
      </w:r>
    </w:p>
    <w:p w:rsidR="00035880" w:rsidRPr="00DA57CB" w:rsidRDefault="00035880" w:rsidP="00C52E09">
      <w:pPr>
        <w:pStyle w:val="TM-3n"/>
        <w:numPr>
          <w:ilvl w:val="2"/>
          <w:numId w:val="280"/>
        </w:numPr>
        <w:ind w:left="914"/>
      </w:pPr>
      <w:r w:rsidRPr="000C349E">
        <w:rPr>
          <w:b/>
        </w:rPr>
        <w:t>Caso clínico 3</w:t>
      </w:r>
      <w:r w:rsidRPr="00DA57CB">
        <w:t>: H.R é um paciente que chega a consulta referindo que sai “sujidade” no pénis de cor branca. O clínico pede análises do líquido e o resultado mostrou a presença de diplococos gram negativos compatível com gonorreia. H.R pesa 75 kg. O clínico prescreve ciprofloxacina.</w:t>
      </w:r>
    </w:p>
    <w:p w:rsidR="00035880" w:rsidRPr="00DA57CB" w:rsidRDefault="00035880" w:rsidP="00C52E09">
      <w:pPr>
        <w:pStyle w:val="TM-3n"/>
        <w:numPr>
          <w:ilvl w:val="3"/>
          <w:numId w:val="280"/>
        </w:numPr>
        <w:ind w:left="2160" w:hanging="810"/>
      </w:pPr>
      <w:r w:rsidRPr="00DA57CB">
        <w:t>Diga qual o patógeno responsável por esta doença</w:t>
      </w:r>
    </w:p>
    <w:p w:rsidR="00035880" w:rsidRPr="00DA57CB" w:rsidRDefault="00035880" w:rsidP="00C52E09">
      <w:pPr>
        <w:pStyle w:val="TM-3n"/>
        <w:numPr>
          <w:ilvl w:val="3"/>
          <w:numId w:val="280"/>
        </w:numPr>
        <w:ind w:left="2160" w:hanging="810"/>
      </w:pPr>
      <w:r w:rsidRPr="00DA57CB">
        <w:t>A que classe de medicamentos pertence a ciprofloxacina</w:t>
      </w:r>
    </w:p>
    <w:p w:rsidR="00035880" w:rsidRPr="00DA57CB" w:rsidRDefault="00035880" w:rsidP="00C52E09">
      <w:pPr>
        <w:pStyle w:val="TM-3n"/>
        <w:numPr>
          <w:ilvl w:val="3"/>
          <w:numId w:val="280"/>
        </w:numPr>
        <w:ind w:left="2160" w:hanging="810"/>
      </w:pPr>
      <w:r w:rsidRPr="00DA57CB">
        <w:t>Calcule a dose e dosagem da ciprofloxacina para tratar a gonorreia</w:t>
      </w:r>
    </w:p>
    <w:p w:rsidR="00035880" w:rsidRPr="00DA57CB" w:rsidRDefault="00035880" w:rsidP="00C52E09">
      <w:pPr>
        <w:pStyle w:val="TM-3n"/>
        <w:numPr>
          <w:ilvl w:val="3"/>
          <w:numId w:val="280"/>
        </w:numPr>
        <w:ind w:left="2160" w:hanging="810"/>
      </w:pPr>
      <w:r w:rsidRPr="00DA57CB">
        <w:t>Faça a receita médica</w:t>
      </w:r>
    </w:p>
    <w:p w:rsidR="00035880" w:rsidRPr="00DA57CB" w:rsidRDefault="00035880" w:rsidP="00C52E09">
      <w:pPr>
        <w:pStyle w:val="TM-3n"/>
        <w:numPr>
          <w:ilvl w:val="2"/>
          <w:numId w:val="280"/>
        </w:numPr>
        <w:ind w:left="914"/>
      </w:pPr>
      <w:r w:rsidRPr="000C349E">
        <w:rPr>
          <w:b/>
        </w:rPr>
        <w:t>Caso clínico 4</w:t>
      </w:r>
      <w:r w:rsidRPr="00DA57CB">
        <w:t>: J.S aparece na consulta com dores de garganta, febre, dores do corpo. Após investigação clínica chega-se a conclusão que se trata de uma amigdalite. O clínico prescreve amoxicilina na dose de 500 mg de 8 em 8 horas durante 7 dias. Também prescreve diclofenac na dose de 25 mg de 8 em 8 horas durante 3 dias.</w:t>
      </w:r>
    </w:p>
    <w:p w:rsidR="00035880" w:rsidRPr="00DA57CB" w:rsidRDefault="00035880" w:rsidP="00C52E09">
      <w:pPr>
        <w:pStyle w:val="TM-3n"/>
        <w:numPr>
          <w:ilvl w:val="3"/>
          <w:numId w:val="280"/>
        </w:numPr>
        <w:spacing w:after="0"/>
        <w:ind w:left="2160" w:hanging="810"/>
      </w:pPr>
      <w:r w:rsidRPr="00DA57CB">
        <w:t>Qual a classe de medicamentos que pertence a Amoxicilina</w:t>
      </w:r>
    </w:p>
    <w:p w:rsidR="00035880" w:rsidRPr="00DA57CB" w:rsidRDefault="00035880" w:rsidP="00C52E09">
      <w:pPr>
        <w:pStyle w:val="TM-3n"/>
        <w:numPr>
          <w:ilvl w:val="3"/>
          <w:numId w:val="280"/>
        </w:numPr>
        <w:tabs>
          <w:tab w:val="left" w:pos="1890"/>
        </w:tabs>
        <w:spacing w:after="0"/>
        <w:ind w:left="2160" w:hanging="810"/>
      </w:pPr>
      <w:r w:rsidRPr="00DA57CB">
        <w:t>Qual a classe de medicamentos que pertence o diclofenac</w:t>
      </w:r>
    </w:p>
    <w:p w:rsidR="00035880" w:rsidRDefault="00035880" w:rsidP="00C52E09">
      <w:pPr>
        <w:pStyle w:val="TM-3n"/>
        <w:numPr>
          <w:ilvl w:val="3"/>
          <w:numId w:val="280"/>
        </w:numPr>
        <w:spacing w:after="0" w:line="276" w:lineRule="auto"/>
        <w:ind w:left="2160" w:hanging="810"/>
      </w:pPr>
      <w:r w:rsidRPr="00DA57CB">
        <w:t>Faça a receita médica</w:t>
      </w:r>
    </w:p>
    <w:p w:rsidR="007367A6" w:rsidRPr="00DA57CB" w:rsidRDefault="007367A6" w:rsidP="007367A6">
      <w:pPr>
        <w:pStyle w:val="TM-3n"/>
        <w:numPr>
          <w:ilvl w:val="0"/>
          <w:numId w:val="0"/>
        </w:numPr>
        <w:spacing w:after="0" w:line="276" w:lineRule="auto"/>
        <w:ind w:left="2160"/>
      </w:pPr>
    </w:p>
    <w:p w:rsidR="00035880" w:rsidRPr="00DA57CB" w:rsidRDefault="00035880" w:rsidP="00C52E09">
      <w:pPr>
        <w:pStyle w:val="TM-2n"/>
        <w:numPr>
          <w:ilvl w:val="1"/>
          <w:numId w:val="280"/>
        </w:numPr>
        <w:spacing w:before="120" w:after="0" w:line="276" w:lineRule="auto"/>
        <w:ind w:left="450" w:hanging="450"/>
      </w:pPr>
      <w:r w:rsidRPr="000B0EBB">
        <w:rPr>
          <w:b/>
        </w:rPr>
        <w:t>2ª parte</w:t>
      </w:r>
      <w:r w:rsidRPr="00DA57CB">
        <w:t xml:space="preserve"> – Preenchimento da ficha de notificação de reacções adversas</w:t>
      </w:r>
    </w:p>
    <w:p w:rsidR="00035880" w:rsidRPr="00DA57CB" w:rsidRDefault="00035880" w:rsidP="00C52E09">
      <w:pPr>
        <w:pStyle w:val="TM-3n"/>
        <w:numPr>
          <w:ilvl w:val="2"/>
          <w:numId w:val="280"/>
        </w:numPr>
        <w:spacing w:line="276" w:lineRule="auto"/>
        <w:ind w:left="914"/>
      </w:pPr>
      <w:r w:rsidRPr="00DA57CB">
        <w:t>Divida a turma em 3 grupos (grupo A, B e C)</w:t>
      </w:r>
    </w:p>
    <w:p w:rsidR="00035880" w:rsidRPr="00DA57CB" w:rsidRDefault="00035880" w:rsidP="00C52E09">
      <w:pPr>
        <w:pStyle w:val="TM-3n"/>
        <w:numPr>
          <w:ilvl w:val="2"/>
          <w:numId w:val="280"/>
        </w:numPr>
        <w:spacing w:line="276" w:lineRule="auto"/>
        <w:ind w:left="914"/>
      </w:pPr>
      <w:r w:rsidRPr="00DA57CB">
        <w:t>Cada grupo vai preencher a ficha de reacção adversa segundo o caso clínico apresentado</w:t>
      </w:r>
    </w:p>
    <w:p w:rsidR="00035880" w:rsidRPr="00DA57CB" w:rsidRDefault="00035880" w:rsidP="00C52E09">
      <w:pPr>
        <w:pStyle w:val="TM-3n"/>
        <w:numPr>
          <w:ilvl w:val="2"/>
          <w:numId w:val="280"/>
        </w:numPr>
        <w:spacing w:line="276" w:lineRule="auto"/>
        <w:ind w:left="914"/>
      </w:pPr>
      <w:r w:rsidRPr="00DA57CB">
        <w:t>Após o preenchimento, o docente selecciona aleatoriamente um membro de cada grupo para apresentar as fichas preenchidas.</w:t>
      </w:r>
    </w:p>
    <w:p w:rsidR="00035880" w:rsidRPr="00DA57CB" w:rsidRDefault="00035880" w:rsidP="00C52E09">
      <w:pPr>
        <w:pStyle w:val="TM-3n"/>
        <w:numPr>
          <w:ilvl w:val="2"/>
          <w:numId w:val="280"/>
        </w:numPr>
        <w:spacing w:line="276" w:lineRule="auto"/>
        <w:ind w:left="914"/>
      </w:pPr>
      <w:r w:rsidRPr="00DA57CB">
        <w:t>Faça anotações de eventuais falhas no preenchimento de cada grupo</w:t>
      </w:r>
    </w:p>
    <w:p w:rsidR="00035880" w:rsidRPr="00DA57CB" w:rsidRDefault="00035880" w:rsidP="00C52E09">
      <w:pPr>
        <w:pStyle w:val="TM-3n"/>
        <w:numPr>
          <w:ilvl w:val="2"/>
          <w:numId w:val="280"/>
        </w:numPr>
        <w:spacing w:line="276" w:lineRule="auto"/>
        <w:ind w:left="914"/>
      </w:pPr>
      <w:r w:rsidRPr="00DA57CB">
        <w:t>Após todos os grupos apresentarem, faça a correcção conjunta das fichas</w:t>
      </w:r>
    </w:p>
    <w:p w:rsidR="00035880" w:rsidRPr="00DA57CB" w:rsidRDefault="00035880" w:rsidP="00C52E09">
      <w:pPr>
        <w:pStyle w:val="TM-3n"/>
        <w:numPr>
          <w:ilvl w:val="3"/>
          <w:numId w:val="280"/>
        </w:numPr>
        <w:tabs>
          <w:tab w:val="left" w:pos="1890"/>
        </w:tabs>
        <w:spacing w:line="276" w:lineRule="auto"/>
        <w:ind w:left="2250" w:hanging="900"/>
      </w:pPr>
      <w:r w:rsidRPr="000B0EBB">
        <w:rPr>
          <w:b/>
        </w:rPr>
        <w:t>Caso Clínico 1</w:t>
      </w:r>
      <w:r w:rsidRPr="00DA57CB">
        <w:t xml:space="preserve">: J.R, de 45 anos, sexo masculino, 45 kg, </w:t>
      </w:r>
      <w:r>
        <w:t xml:space="preserve">esteve internado no </w:t>
      </w:r>
      <w:r w:rsidRPr="00DA57CB">
        <w:t>Hospital rural de Alto-Molócuè, distrito de Alto-Molócuè, localidade sede, com suspeita de pneumonia. J.R é seropositivo. O clínico decidiu administrar co-trimoxazol oral (para prevenção de patógenos oportunistas) na dose de 480 mg de 24/24h a J.R no dia 04.05.11</w:t>
      </w:r>
      <w:r>
        <w:t xml:space="preserve">. Igualmente prescreveu ibuprofeno na dose de 200 mg de 8 em 8 horas. No </w:t>
      </w:r>
      <w:r w:rsidRPr="00DA57CB">
        <w:t>entanto 3 dias depois, começou a aparecer uma erupção descamativa em todo corpo de J.R. O clínico notou que a erupção colocava em risco de vida o paciente, e decidiu suspender o medicamento. Administrou soro fisiológico e prednisolona para tratar a erupção que se desenvolveu.</w:t>
      </w:r>
    </w:p>
    <w:p w:rsidR="00035880" w:rsidRPr="00DA57CB" w:rsidRDefault="00035880" w:rsidP="00C52E09">
      <w:pPr>
        <w:pStyle w:val="TM-3n"/>
        <w:numPr>
          <w:ilvl w:val="4"/>
          <w:numId w:val="280"/>
        </w:numPr>
        <w:tabs>
          <w:tab w:val="left" w:pos="2430"/>
        </w:tabs>
        <w:spacing w:line="276" w:lineRule="auto"/>
      </w:pPr>
      <w:r w:rsidRPr="00DA57CB">
        <w:t>Qual o medicamento suspeito desta reacção?</w:t>
      </w:r>
    </w:p>
    <w:p w:rsidR="00035880" w:rsidRPr="00DA57CB" w:rsidRDefault="00035880" w:rsidP="00C52E09">
      <w:pPr>
        <w:pStyle w:val="TM-3n"/>
        <w:numPr>
          <w:ilvl w:val="4"/>
          <w:numId w:val="280"/>
        </w:numPr>
        <w:spacing w:line="276" w:lineRule="auto"/>
      </w:pPr>
      <w:r w:rsidRPr="00DA57CB">
        <w:t>Qual o nome desta reacção?</w:t>
      </w:r>
    </w:p>
    <w:p w:rsidR="00035880" w:rsidRDefault="00035880" w:rsidP="00C52E09">
      <w:pPr>
        <w:pStyle w:val="TM-3n"/>
        <w:numPr>
          <w:ilvl w:val="4"/>
          <w:numId w:val="280"/>
        </w:numPr>
        <w:spacing w:line="276" w:lineRule="auto"/>
      </w:pPr>
      <w:r w:rsidRPr="00DA57CB">
        <w:t>Preencha a ficha de notificação de reacção adversa</w:t>
      </w:r>
    </w:p>
    <w:p w:rsidR="00035880" w:rsidRPr="00DA57CB" w:rsidRDefault="00035880" w:rsidP="00C52E09">
      <w:pPr>
        <w:pStyle w:val="TM-3n"/>
        <w:numPr>
          <w:ilvl w:val="3"/>
          <w:numId w:val="280"/>
        </w:numPr>
        <w:tabs>
          <w:tab w:val="left" w:pos="1890"/>
        </w:tabs>
        <w:spacing w:line="276" w:lineRule="auto"/>
        <w:ind w:left="2250" w:hanging="900"/>
      </w:pPr>
      <w:r w:rsidRPr="000B0EBB">
        <w:rPr>
          <w:b/>
        </w:rPr>
        <w:t>Caso clínico 2</w:t>
      </w:r>
      <w:r w:rsidRPr="00DA57CB">
        <w:t>: H.L, de 25 anos, sexo feminino, grávida de 8 meses, pesando 60 kg, está a ser seguida na consulta pré-natal do centro de saúde de Alto-Maé na cidade de Maputo e com prescrição de sulfato ferroso diário. Nos testes de rotina ela foi detectada sífilis. O clínico administrou penicilina benzantínica na dose de 2.400.000 UI IM no dia 05.06.11 e enviou ela para casa com controle dentro de 1 mês. No entanto, no mesmo dia à noite, H.L regressa ao serviço de urgência do centro de saúde queixando-se de febre, mal-estar, dores articulares e musculares. O clínico solicita algumas análises e nota que ela está com anemia, os leucócitos elevados. Mede a tensão arterial e nota que a tensão está baixa (80/50 mmhg) e decide internar na sala de observações do banco de socorros com soro fisiológico (1000 ml na 1ª meia hora e depois mais 1000 ml), prednisolona 50 mg EV, e pediu a enfermeira de serviço para vigiar os sinais vitais de 10 em 10 minutos, enquanto chamava apoio médico.</w:t>
      </w:r>
    </w:p>
    <w:p w:rsidR="00035880" w:rsidRPr="00DA57CB" w:rsidRDefault="00035880" w:rsidP="00C52E09">
      <w:pPr>
        <w:pStyle w:val="TM-3n"/>
        <w:numPr>
          <w:ilvl w:val="4"/>
          <w:numId w:val="280"/>
        </w:numPr>
        <w:spacing w:line="276" w:lineRule="auto"/>
      </w:pPr>
      <w:r w:rsidRPr="00DA57CB">
        <w:t>Qual o medicamento suspeito desta reacção?</w:t>
      </w:r>
    </w:p>
    <w:p w:rsidR="00035880" w:rsidRPr="00DA57CB" w:rsidRDefault="00035880" w:rsidP="00C52E09">
      <w:pPr>
        <w:pStyle w:val="TM-3n"/>
        <w:numPr>
          <w:ilvl w:val="4"/>
          <w:numId w:val="280"/>
        </w:numPr>
        <w:tabs>
          <w:tab w:val="left" w:pos="2430"/>
        </w:tabs>
        <w:spacing w:line="276" w:lineRule="auto"/>
      </w:pPr>
      <w:r w:rsidRPr="00DA57CB">
        <w:t>Preencha a ficha de notificação de reacção adversa</w:t>
      </w:r>
    </w:p>
    <w:p w:rsidR="00035880" w:rsidRPr="005A3123" w:rsidRDefault="00035880" w:rsidP="00BD55A9">
      <w:pPr>
        <w:spacing w:before="120"/>
        <w:rPr>
          <w:lang w:val="pt-PT"/>
        </w:rPr>
      </w:pPr>
    </w:p>
    <w:sectPr w:rsidR="00035880" w:rsidRPr="005A3123" w:rsidSect="00562C19">
      <w:pgSz w:w="11906" w:h="16838" w:code="9"/>
      <w:pgMar w:top="864" w:right="864" w:bottom="864" w:left="864" w:header="706" w:footer="70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A56D9" w:rsidRDefault="009A56D9" w:rsidP="00ED656B">
      <w:pPr>
        <w:spacing w:after="0" w:line="240" w:lineRule="auto"/>
      </w:pPr>
      <w:r>
        <w:separator/>
      </w:r>
    </w:p>
  </w:endnote>
  <w:endnote w:type="continuationSeparator" w:id="0">
    <w:p w:rsidR="009A56D9" w:rsidRDefault="009A56D9" w:rsidP="00ED65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imes New Roman Bold">
    <w:panose1 w:val="00000000000000000000"/>
    <w:charset w:val="00"/>
    <w:family w:val="roman"/>
    <w:notTrueType/>
    <w:pitch w:val="default"/>
    <w:sig w:usb0="00000003" w:usb1="00000000" w:usb2="00000000" w:usb3="00000000" w:csb0="00000001" w:csb1="00000000"/>
  </w:font>
  <w:font w:name="Tahoma">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30DE" w:rsidRDefault="005630DE" w:rsidP="001406DC">
    <w:pPr>
      <w:pStyle w:val="Footer"/>
      <w:tabs>
        <w:tab w:val="clear" w:pos="4680"/>
        <w:tab w:val="clear" w:pos="9360"/>
        <w:tab w:val="right" w:pos="10170"/>
      </w:tabs>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30DE" w:rsidRDefault="005630DE" w:rsidP="00014F48">
    <w:pPr>
      <w:pStyle w:val="Footer"/>
      <w:framePr w:wrap="around" w:vAnchor="text" w:hAnchor="margin" w:xAlign="right" w:y="1"/>
      <w:rPr>
        <w:rStyle w:val="PageNumber"/>
      </w:rPr>
    </w:pPr>
  </w:p>
  <w:p w:rsidR="005630DE" w:rsidRDefault="005630DE" w:rsidP="00014F48">
    <w:pPr>
      <w:pStyle w:val="Footer"/>
      <w:pBdr>
        <w:top w:val="single" w:sz="4" w:space="1" w:color="auto"/>
      </w:pBdr>
      <w:tabs>
        <w:tab w:val="clear" w:pos="4680"/>
        <w:tab w:val="clear" w:pos="9360"/>
        <w:tab w:val="right" w:pos="9000"/>
      </w:tabs>
      <w:rPr>
        <w:sz w:val="20"/>
        <w:lang w:val="pt-BR"/>
      </w:rPr>
    </w:pPr>
    <w:r>
      <w:rPr>
        <w:sz w:val="20"/>
        <w:lang w:val="pt-BR"/>
      </w:rPr>
      <w:t>Disciplina</w:t>
    </w:r>
    <w:r w:rsidRPr="008810CF">
      <w:rPr>
        <w:sz w:val="20"/>
        <w:lang w:val="pt-BR"/>
      </w:rPr>
      <w:t xml:space="preserve"> </w:t>
    </w:r>
    <w:r>
      <w:rPr>
        <w:sz w:val="20"/>
        <w:lang w:val="pt-BR"/>
      </w:rPr>
      <w:t>de Ciência Médicas</w:t>
    </w:r>
  </w:p>
  <w:p w:rsidR="005630DE" w:rsidRPr="00717944" w:rsidRDefault="005630DE" w:rsidP="00717944">
    <w:pPr>
      <w:pStyle w:val="Footer"/>
      <w:pBdr>
        <w:top w:val="single" w:sz="4" w:space="1" w:color="auto"/>
      </w:pBdr>
      <w:tabs>
        <w:tab w:val="clear" w:pos="4680"/>
        <w:tab w:val="clear" w:pos="9360"/>
        <w:tab w:val="right" w:pos="10170"/>
      </w:tabs>
      <w:rPr>
        <w:sz w:val="20"/>
        <w:lang w:val="pt-BR"/>
      </w:rPr>
    </w:pPr>
    <w:r>
      <w:rPr>
        <w:sz w:val="20"/>
        <w:lang w:val="pt-BR"/>
      </w:rPr>
      <w:t>1º Semestre.</w:t>
    </w:r>
    <w:r w:rsidRPr="008810CF">
      <w:rPr>
        <w:sz w:val="20"/>
        <w:lang w:val="pt-BR"/>
      </w:rPr>
      <w:tab/>
    </w:r>
    <w:r w:rsidR="00D73438" w:rsidRPr="008810CF">
      <w:rPr>
        <w:sz w:val="20"/>
        <w:lang w:val="pt-BR"/>
      </w:rPr>
      <w:fldChar w:fldCharType="begin"/>
    </w:r>
    <w:r w:rsidRPr="008810CF">
      <w:rPr>
        <w:sz w:val="20"/>
        <w:lang w:val="pt-BR"/>
      </w:rPr>
      <w:instrText xml:space="preserve"> PAGE   \* MERGEFORMAT </w:instrText>
    </w:r>
    <w:r w:rsidR="00D73438" w:rsidRPr="008810CF">
      <w:rPr>
        <w:sz w:val="20"/>
        <w:lang w:val="pt-BR"/>
      </w:rPr>
      <w:fldChar w:fldCharType="separate"/>
    </w:r>
    <w:r w:rsidR="00151625">
      <w:rPr>
        <w:noProof/>
        <w:sz w:val="20"/>
        <w:lang w:val="pt-BR"/>
      </w:rPr>
      <w:t>236</w:t>
    </w:r>
    <w:r w:rsidR="00D73438" w:rsidRPr="008810CF">
      <w:rPr>
        <w:sz w:val="20"/>
        <w:lang w:val="pt-B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A56D9" w:rsidRDefault="009A56D9" w:rsidP="00ED656B">
      <w:pPr>
        <w:spacing w:after="0" w:line="240" w:lineRule="auto"/>
      </w:pPr>
      <w:r>
        <w:separator/>
      </w:r>
    </w:p>
  </w:footnote>
  <w:footnote w:type="continuationSeparator" w:id="0">
    <w:p w:rsidR="009A56D9" w:rsidRDefault="009A56D9" w:rsidP="00ED656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30DE" w:rsidRDefault="009A56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85340657" o:spid="_x0000_s2050" type="#_x0000_t136" style="position:absolute;margin-left:0;margin-top:0;width:490.5pt;height:109pt;rotation:315;z-index:-251655168;mso-position-horizontal:center;mso-position-horizontal-relative:margin;mso-position-vertical:center;mso-position-vertical-relative:margin" o:allowincell="f" fillcolor="silver" stroked="f">
          <v:fill opacity=".5"/>
          <v:textpath style="font-family:&quot;Arial&quot;;font-size:1pt" string="RASCUNHO"/>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30DE" w:rsidRDefault="009A56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85340656" o:spid="_x0000_s2049" type="#_x0000_t136" style="position:absolute;margin-left:0;margin-top:0;width:490.5pt;height:109pt;rotation:315;z-index:-251656192;mso-position-horizontal:center;mso-position-horizontal-relative:margin;mso-position-vertical:center;mso-position-vertical-relative:margin" o:allowincell="f" fillcolor="silver" stroked="f">
          <v:fill opacity=".5"/>
          <v:textpath style="font-family:&quot;Arial&quot;;font-size:1pt" string="RASCUNHO"/>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C4E19"/>
    <w:multiLevelType w:val="hybridMultilevel"/>
    <w:tmpl w:val="F4C23A96"/>
    <w:lvl w:ilvl="0" w:tplc="08090001">
      <w:start w:val="1"/>
      <w:numFmt w:val="bullet"/>
      <w:lvlText w:val=""/>
      <w:lvlJc w:val="left"/>
      <w:pPr>
        <w:ind w:left="1500" w:hanging="360"/>
      </w:pPr>
      <w:rPr>
        <w:rFonts w:ascii="Symbol" w:hAnsi="Symbol" w:hint="default"/>
      </w:rPr>
    </w:lvl>
    <w:lvl w:ilvl="1" w:tplc="08090003" w:tentative="1">
      <w:start w:val="1"/>
      <w:numFmt w:val="bullet"/>
      <w:lvlText w:val="o"/>
      <w:lvlJc w:val="left"/>
      <w:pPr>
        <w:ind w:left="2220" w:hanging="360"/>
      </w:pPr>
      <w:rPr>
        <w:rFonts w:ascii="Courier New" w:hAnsi="Courier New" w:cs="Courier New" w:hint="default"/>
      </w:rPr>
    </w:lvl>
    <w:lvl w:ilvl="2" w:tplc="08090005" w:tentative="1">
      <w:start w:val="1"/>
      <w:numFmt w:val="bullet"/>
      <w:lvlText w:val=""/>
      <w:lvlJc w:val="left"/>
      <w:pPr>
        <w:ind w:left="2940" w:hanging="360"/>
      </w:pPr>
      <w:rPr>
        <w:rFonts w:ascii="Wingdings" w:hAnsi="Wingdings" w:hint="default"/>
      </w:rPr>
    </w:lvl>
    <w:lvl w:ilvl="3" w:tplc="08090001" w:tentative="1">
      <w:start w:val="1"/>
      <w:numFmt w:val="bullet"/>
      <w:lvlText w:val=""/>
      <w:lvlJc w:val="left"/>
      <w:pPr>
        <w:ind w:left="3660" w:hanging="360"/>
      </w:pPr>
      <w:rPr>
        <w:rFonts w:ascii="Symbol" w:hAnsi="Symbol" w:hint="default"/>
      </w:rPr>
    </w:lvl>
    <w:lvl w:ilvl="4" w:tplc="08090003" w:tentative="1">
      <w:start w:val="1"/>
      <w:numFmt w:val="bullet"/>
      <w:lvlText w:val="o"/>
      <w:lvlJc w:val="left"/>
      <w:pPr>
        <w:ind w:left="4380" w:hanging="360"/>
      </w:pPr>
      <w:rPr>
        <w:rFonts w:ascii="Courier New" w:hAnsi="Courier New" w:cs="Courier New" w:hint="default"/>
      </w:rPr>
    </w:lvl>
    <w:lvl w:ilvl="5" w:tplc="08090005" w:tentative="1">
      <w:start w:val="1"/>
      <w:numFmt w:val="bullet"/>
      <w:lvlText w:val=""/>
      <w:lvlJc w:val="left"/>
      <w:pPr>
        <w:ind w:left="5100" w:hanging="360"/>
      </w:pPr>
      <w:rPr>
        <w:rFonts w:ascii="Wingdings" w:hAnsi="Wingdings" w:hint="default"/>
      </w:rPr>
    </w:lvl>
    <w:lvl w:ilvl="6" w:tplc="08090001" w:tentative="1">
      <w:start w:val="1"/>
      <w:numFmt w:val="bullet"/>
      <w:lvlText w:val=""/>
      <w:lvlJc w:val="left"/>
      <w:pPr>
        <w:ind w:left="5820" w:hanging="360"/>
      </w:pPr>
      <w:rPr>
        <w:rFonts w:ascii="Symbol" w:hAnsi="Symbol" w:hint="default"/>
      </w:rPr>
    </w:lvl>
    <w:lvl w:ilvl="7" w:tplc="08090003" w:tentative="1">
      <w:start w:val="1"/>
      <w:numFmt w:val="bullet"/>
      <w:lvlText w:val="o"/>
      <w:lvlJc w:val="left"/>
      <w:pPr>
        <w:ind w:left="6540" w:hanging="360"/>
      </w:pPr>
      <w:rPr>
        <w:rFonts w:ascii="Courier New" w:hAnsi="Courier New" w:cs="Courier New" w:hint="default"/>
      </w:rPr>
    </w:lvl>
    <w:lvl w:ilvl="8" w:tplc="08090005" w:tentative="1">
      <w:start w:val="1"/>
      <w:numFmt w:val="bullet"/>
      <w:lvlText w:val=""/>
      <w:lvlJc w:val="left"/>
      <w:pPr>
        <w:ind w:left="7260" w:hanging="360"/>
      </w:pPr>
      <w:rPr>
        <w:rFonts w:ascii="Wingdings" w:hAnsi="Wingdings" w:hint="default"/>
      </w:rPr>
    </w:lvl>
  </w:abstractNum>
  <w:abstractNum w:abstractNumId="1">
    <w:nsid w:val="01973E97"/>
    <w:multiLevelType w:val="multilevel"/>
    <w:tmpl w:val="CFAE03C4"/>
    <w:lvl w:ilvl="0">
      <w:start w:val="2"/>
      <w:numFmt w:val="decimal"/>
      <w:lvlText w:val="%1"/>
      <w:lvlJc w:val="left"/>
      <w:pPr>
        <w:ind w:left="360" w:hanging="360"/>
      </w:pPr>
      <w:rPr>
        <w:rFonts w:hint="default"/>
      </w:rPr>
    </w:lvl>
    <w:lvl w:ilvl="1">
      <w:start w:val="1"/>
      <w:numFmt w:val="decimal"/>
      <w:lvlText w:val="%1.%2"/>
      <w:lvlJc w:val="left"/>
      <w:pPr>
        <w:ind w:left="645" w:hanging="360"/>
      </w:pPr>
      <w:rPr>
        <w:rFonts w:hint="default"/>
        <w:b/>
      </w:rPr>
    </w:lvl>
    <w:lvl w:ilvl="2">
      <w:start w:val="1"/>
      <w:numFmt w:val="decimal"/>
      <w:lvlText w:val="%1.%2.%3"/>
      <w:lvlJc w:val="left"/>
      <w:pPr>
        <w:ind w:left="1290" w:hanging="720"/>
      </w:pPr>
      <w:rPr>
        <w:rFonts w:hint="default"/>
        <w:b/>
      </w:rPr>
    </w:lvl>
    <w:lvl w:ilvl="3">
      <w:start w:val="1"/>
      <w:numFmt w:val="decimal"/>
      <w:lvlText w:val="%1.%2.%3.%4"/>
      <w:lvlJc w:val="left"/>
      <w:pPr>
        <w:ind w:left="1575" w:hanging="720"/>
      </w:pPr>
      <w:rPr>
        <w:rFonts w:hint="default"/>
      </w:rPr>
    </w:lvl>
    <w:lvl w:ilvl="4">
      <w:start w:val="1"/>
      <w:numFmt w:val="decimal"/>
      <w:lvlText w:val="%1.%2.%3.%4.%5"/>
      <w:lvlJc w:val="left"/>
      <w:pPr>
        <w:ind w:left="2220" w:hanging="1080"/>
      </w:pPr>
      <w:rPr>
        <w:rFonts w:hint="default"/>
      </w:rPr>
    </w:lvl>
    <w:lvl w:ilvl="5">
      <w:start w:val="1"/>
      <w:numFmt w:val="decimal"/>
      <w:lvlText w:val="%1.%2.%3.%4.%5.%6"/>
      <w:lvlJc w:val="left"/>
      <w:pPr>
        <w:ind w:left="2505" w:hanging="1080"/>
      </w:pPr>
      <w:rPr>
        <w:rFonts w:hint="default"/>
      </w:rPr>
    </w:lvl>
    <w:lvl w:ilvl="6">
      <w:start w:val="1"/>
      <w:numFmt w:val="decimal"/>
      <w:lvlText w:val="%1.%2.%3.%4.%5.%6.%7"/>
      <w:lvlJc w:val="left"/>
      <w:pPr>
        <w:ind w:left="3150" w:hanging="1440"/>
      </w:pPr>
      <w:rPr>
        <w:rFonts w:hint="default"/>
      </w:rPr>
    </w:lvl>
    <w:lvl w:ilvl="7">
      <w:start w:val="1"/>
      <w:numFmt w:val="decimal"/>
      <w:lvlText w:val="%1.%2.%3.%4.%5.%6.%7.%8"/>
      <w:lvlJc w:val="left"/>
      <w:pPr>
        <w:ind w:left="3435" w:hanging="1440"/>
      </w:pPr>
      <w:rPr>
        <w:rFonts w:hint="default"/>
      </w:rPr>
    </w:lvl>
    <w:lvl w:ilvl="8">
      <w:start w:val="1"/>
      <w:numFmt w:val="decimal"/>
      <w:lvlText w:val="%1.%2.%3.%4.%5.%6.%7.%8.%9"/>
      <w:lvlJc w:val="left"/>
      <w:pPr>
        <w:ind w:left="4080" w:hanging="1800"/>
      </w:pPr>
      <w:rPr>
        <w:rFonts w:hint="default"/>
      </w:rPr>
    </w:lvl>
  </w:abstractNum>
  <w:abstractNum w:abstractNumId="2">
    <w:nsid w:val="01FF4492"/>
    <w:multiLevelType w:val="hybridMultilevel"/>
    <w:tmpl w:val="A60E0CA2"/>
    <w:lvl w:ilvl="0" w:tplc="0409000D">
      <w:start w:val="1"/>
      <w:numFmt w:val="bullet"/>
      <w:lvlText w:val=""/>
      <w:lvlJc w:val="left"/>
      <w:pPr>
        <w:ind w:left="1440" w:hanging="360"/>
      </w:pPr>
      <w:rPr>
        <w:rFonts w:ascii="Wingdings" w:hAnsi="Wingdings" w:hint="default"/>
      </w:rPr>
    </w:lvl>
    <w:lvl w:ilvl="1" w:tplc="08160003" w:tentative="1">
      <w:start w:val="1"/>
      <w:numFmt w:val="bullet"/>
      <w:lvlText w:val="o"/>
      <w:lvlJc w:val="left"/>
      <w:pPr>
        <w:ind w:left="2160" w:hanging="360"/>
      </w:pPr>
      <w:rPr>
        <w:rFonts w:ascii="Courier New" w:hAnsi="Courier New" w:cs="Courier New" w:hint="default"/>
      </w:rPr>
    </w:lvl>
    <w:lvl w:ilvl="2" w:tplc="08160005" w:tentative="1">
      <w:start w:val="1"/>
      <w:numFmt w:val="bullet"/>
      <w:lvlText w:val=""/>
      <w:lvlJc w:val="left"/>
      <w:pPr>
        <w:ind w:left="2880" w:hanging="360"/>
      </w:pPr>
      <w:rPr>
        <w:rFonts w:ascii="Wingdings" w:hAnsi="Wingdings" w:hint="default"/>
      </w:rPr>
    </w:lvl>
    <w:lvl w:ilvl="3" w:tplc="08160001" w:tentative="1">
      <w:start w:val="1"/>
      <w:numFmt w:val="bullet"/>
      <w:lvlText w:val=""/>
      <w:lvlJc w:val="left"/>
      <w:pPr>
        <w:ind w:left="3600" w:hanging="360"/>
      </w:pPr>
      <w:rPr>
        <w:rFonts w:ascii="Symbol" w:hAnsi="Symbol" w:hint="default"/>
      </w:rPr>
    </w:lvl>
    <w:lvl w:ilvl="4" w:tplc="08160003" w:tentative="1">
      <w:start w:val="1"/>
      <w:numFmt w:val="bullet"/>
      <w:lvlText w:val="o"/>
      <w:lvlJc w:val="left"/>
      <w:pPr>
        <w:ind w:left="4320" w:hanging="360"/>
      </w:pPr>
      <w:rPr>
        <w:rFonts w:ascii="Courier New" w:hAnsi="Courier New" w:cs="Courier New" w:hint="default"/>
      </w:rPr>
    </w:lvl>
    <w:lvl w:ilvl="5" w:tplc="08160005" w:tentative="1">
      <w:start w:val="1"/>
      <w:numFmt w:val="bullet"/>
      <w:lvlText w:val=""/>
      <w:lvlJc w:val="left"/>
      <w:pPr>
        <w:ind w:left="5040" w:hanging="360"/>
      </w:pPr>
      <w:rPr>
        <w:rFonts w:ascii="Wingdings" w:hAnsi="Wingdings" w:hint="default"/>
      </w:rPr>
    </w:lvl>
    <w:lvl w:ilvl="6" w:tplc="08160001" w:tentative="1">
      <w:start w:val="1"/>
      <w:numFmt w:val="bullet"/>
      <w:lvlText w:val=""/>
      <w:lvlJc w:val="left"/>
      <w:pPr>
        <w:ind w:left="5760" w:hanging="360"/>
      </w:pPr>
      <w:rPr>
        <w:rFonts w:ascii="Symbol" w:hAnsi="Symbol" w:hint="default"/>
      </w:rPr>
    </w:lvl>
    <w:lvl w:ilvl="7" w:tplc="08160003" w:tentative="1">
      <w:start w:val="1"/>
      <w:numFmt w:val="bullet"/>
      <w:lvlText w:val="o"/>
      <w:lvlJc w:val="left"/>
      <w:pPr>
        <w:ind w:left="6480" w:hanging="360"/>
      </w:pPr>
      <w:rPr>
        <w:rFonts w:ascii="Courier New" w:hAnsi="Courier New" w:cs="Courier New" w:hint="default"/>
      </w:rPr>
    </w:lvl>
    <w:lvl w:ilvl="8" w:tplc="08160005" w:tentative="1">
      <w:start w:val="1"/>
      <w:numFmt w:val="bullet"/>
      <w:lvlText w:val=""/>
      <w:lvlJc w:val="left"/>
      <w:pPr>
        <w:ind w:left="7200" w:hanging="360"/>
      </w:pPr>
      <w:rPr>
        <w:rFonts w:ascii="Wingdings" w:hAnsi="Wingdings" w:hint="default"/>
      </w:rPr>
    </w:lvl>
  </w:abstractNum>
  <w:abstractNum w:abstractNumId="3">
    <w:nsid w:val="0352152B"/>
    <w:multiLevelType w:val="multilevel"/>
    <w:tmpl w:val="AC2A64C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050F5054"/>
    <w:multiLevelType w:val="hybridMultilevel"/>
    <w:tmpl w:val="D24C45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053A263F"/>
    <w:multiLevelType w:val="hybridMultilevel"/>
    <w:tmpl w:val="D9CE75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Arial"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Arial"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05A9635C"/>
    <w:multiLevelType w:val="hybridMultilevel"/>
    <w:tmpl w:val="14C418B2"/>
    <w:lvl w:ilvl="0" w:tplc="D8549AF4">
      <w:start w:val="1"/>
      <w:numFmt w:val="decimal"/>
      <w:lvlText w:val="2.%1."/>
      <w:lvlJc w:val="left"/>
      <w:pPr>
        <w:ind w:left="1080" w:hanging="360"/>
      </w:pPr>
      <w:rPr>
        <w:rFonts w:hint="default"/>
      </w:rPr>
    </w:lvl>
    <w:lvl w:ilvl="1" w:tplc="08160019" w:tentative="1">
      <w:start w:val="1"/>
      <w:numFmt w:val="lowerLetter"/>
      <w:lvlText w:val="%2."/>
      <w:lvlJc w:val="left"/>
      <w:pPr>
        <w:ind w:left="1800" w:hanging="360"/>
      </w:pPr>
    </w:lvl>
    <w:lvl w:ilvl="2" w:tplc="0816001B" w:tentative="1">
      <w:start w:val="1"/>
      <w:numFmt w:val="lowerRoman"/>
      <w:lvlText w:val="%3."/>
      <w:lvlJc w:val="right"/>
      <w:pPr>
        <w:ind w:left="2520" w:hanging="180"/>
      </w:pPr>
    </w:lvl>
    <w:lvl w:ilvl="3" w:tplc="0816000F" w:tentative="1">
      <w:start w:val="1"/>
      <w:numFmt w:val="decimal"/>
      <w:lvlText w:val="%4."/>
      <w:lvlJc w:val="left"/>
      <w:pPr>
        <w:ind w:left="3240" w:hanging="360"/>
      </w:pPr>
    </w:lvl>
    <w:lvl w:ilvl="4" w:tplc="08160019" w:tentative="1">
      <w:start w:val="1"/>
      <w:numFmt w:val="lowerLetter"/>
      <w:lvlText w:val="%5."/>
      <w:lvlJc w:val="left"/>
      <w:pPr>
        <w:ind w:left="3960" w:hanging="360"/>
      </w:pPr>
    </w:lvl>
    <w:lvl w:ilvl="5" w:tplc="0816001B" w:tentative="1">
      <w:start w:val="1"/>
      <w:numFmt w:val="lowerRoman"/>
      <w:lvlText w:val="%6."/>
      <w:lvlJc w:val="right"/>
      <w:pPr>
        <w:ind w:left="4680" w:hanging="180"/>
      </w:pPr>
    </w:lvl>
    <w:lvl w:ilvl="6" w:tplc="0816000F" w:tentative="1">
      <w:start w:val="1"/>
      <w:numFmt w:val="decimal"/>
      <w:lvlText w:val="%7."/>
      <w:lvlJc w:val="left"/>
      <w:pPr>
        <w:ind w:left="5400" w:hanging="360"/>
      </w:pPr>
    </w:lvl>
    <w:lvl w:ilvl="7" w:tplc="08160019" w:tentative="1">
      <w:start w:val="1"/>
      <w:numFmt w:val="lowerLetter"/>
      <w:lvlText w:val="%8."/>
      <w:lvlJc w:val="left"/>
      <w:pPr>
        <w:ind w:left="6120" w:hanging="360"/>
      </w:pPr>
    </w:lvl>
    <w:lvl w:ilvl="8" w:tplc="0816001B" w:tentative="1">
      <w:start w:val="1"/>
      <w:numFmt w:val="lowerRoman"/>
      <w:lvlText w:val="%9."/>
      <w:lvlJc w:val="right"/>
      <w:pPr>
        <w:ind w:left="6840" w:hanging="180"/>
      </w:pPr>
    </w:lvl>
  </w:abstractNum>
  <w:abstractNum w:abstractNumId="7">
    <w:nsid w:val="05C2013A"/>
    <w:multiLevelType w:val="hybridMultilevel"/>
    <w:tmpl w:val="6DE0A99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
    <w:nsid w:val="0648223F"/>
    <w:multiLevelType w:val="hybridMultilevel"/>
    <w:tmpl w:val="E4CC1696"/>
    <w:lvl w:ilvl="0" w:tplc="08090001">
      <w:start w:val="1"/>
      <w:numFmt w:val="bullet"/>
      <w:lvlText w:val=""/>
      <w:lvlJc w:val="left"/>
      <w:pPr>
        <w:ind w:left="1204" w:hanging="360"/>
      </w:pPr>
      <w:rPr>
        <w:rFonts w:ascii="Symbol" w:hAnsi="Symbol" w:hint="default"/>
      </w:rPr>
    </w:lvl>
    <w:lvl w:ilvl="1" w:tplc="08090003" w:tentative="1">
      <w:start w:val="1"/>
      <w:numFmt w:val="bullet"/>
      <w:lvlText w:val="o"/>
      <w:lvlJc w:val="left"/>
      <w:pPr>
        <w:ind w:left="1924" w:hanging="360"/>
      </w:pPr>
      <w:rPr>
        <w:rFonts w:ascii="Courier New" w:hAnsi="Courier New" w:cs="Courier New" w:hint="default"/>
      </w:rPr>
    </w:lvl>
    <w:lvl w:ilvl="2" w:tplc="08090005" w:tentative="1">
      <w:start w:val="1"/>
      <w:numFmt w:val="bullet"/>
      <w:lvlText w:val=""/>
      <w:lvlJc w:val="left"/>
      <w:pPr>
        <w:ind w:left="2644" w:hanging="360"/>
      </w:pPr>
      <w:rPr>
        <w:rFonts w:ascii="Wingdings" w:hAnsi="Wingdings" w:hint="default"/>
      </w:rPr>
    </w:lvl>
    <w:lvl w:ilvl="3" w:tplc="08090001" w:tentative="1">
      <w:start w:val="1"/>
      <w:numFmt w:val="bullet"/>
      <w:lvlText w:val=""/>
      <w:lvlJc w:val="left"/>
      <w:pPr>
        <w:ind w:left="3364" w:hanging="360"/>
      </w:pPr>
      <w:rPr>
        <w:rFonts w:ascii="Symbol" w:hAnsi="Symbol" w:hint="default"/>
      </w:rPr>
    </w:lvl>
    <w:lvl w:ilvl="4" w:tplc="08090003" w:tentative="1">
      <w:start w:val="1"/>
      <w:numFmt w:val="bullet"/>
      <w:lvlText w:val="o"/>
      <w:lvlJc w:val="left"/>
      <w:pPr>
        <w:ind w:left="4084" w:hanging="360"/>
      </w:pPr>
      <w:rPr>
        <w:rFonts w:ascii="Courier New" w:hAnsi="Courier New" w:cs="Courier New" w:hint="default"/>
      </w:rPr>
    </w:lvl>
    <w:lvl w:ilvl="5" w:tplc="08090005" w:tentative="1">
      <w:start w:val="1"/>
      <w:numFmt w:val="bullet"/>
      <w:lvlText w:val=""/>
      <w:lvlJc w:val="left"/>
      <w:pPr>
        <w:ind w:left="4804" w:hanging="360"/>
      </w:pPr>
      <w:rPr>
        <w:rFonts w:ascii="Wingdings" w:hAnsi="Wingdings" w:hint="default"/>
      </w:rPr>
    </w:lvl>
    <w:lvl w:ilvl="6" w:tplc="08090001" w:tentative="1">
      <w:start w:val="1"/>
      <w:numFmt w:val="bullet"/>
      <w:lvlText w:val=""/>
      <w:lvlJc w:val="left"/>
      <w:pPr>
        <w:ind w:left="5524" w:hanging="360"/>
      </w:pPr>
      <w:rPr>
        <w:rFonts w:ascii="Symbol" w:hAnsi="Symbol" w:hint="default"/>
      </w:rPr>
    </w:lvl>
    <w:lvl w:ilvl="7" w:tplc="08090003" w:tentative="1">
      <w:start w:val="1"/>
      <w:numFmt w:val="bullet"/>
      <w:lvlText w:val="o"/>
      <w:lvlJc w:val="left"/>
      <w:pPr>
        <w:ind w:left="6244" w:hanging="360"/>
      </w:pPr>
      <w:rPr>
        <w:rFonts w:ascii="Courier New" w:hAnsi="Courier New" w:cs="Courier New" w:hint="default"/>
      </w:rPr>
    </w:lvl>
    <w:lvl w:ilvl="8" w:tplc="08090005" w:tentative="1">
      <w:start w:val="1"/>
      <w:numFmt w:val="bullet"/>
      <w:lvlText w:val=""/>
      <w:lvlJc w:val="left"/>
      <w:pPr>
        <w:ind w:left="6964" w:hanging="360"/>
      </w:pPr>
      <w:rPr>
        <w:rFonts w:ascii="Wingdings" w:hAnsi="Wingdings" w:hint="default"/>
      </w:rPr>
    </w:lvl>
  </w:abstractNum>
  <w:abstractNum w:abstractNumId="9">
    <w:nsid w:val="06644DF3"/>
    <w:multiLevelType w:val="multilevel"/>
    <w:tmpl w:val="64745170"/>
    <w:lvl w:ilvl="0">
      <w:start w:val="3"/>
      <w:numFmt w:val="decimal"/>
      <w:lvlText w:val="%1."/>
      <w:lvlJc w:val="left"/>
      <w:pPr>
        <w:ind w:left="540" w:hanging="540"/>
      </w:pPr>
      <w:rPr>
        <w:rFonts w:hint="default"/>
      </w:rPr>
    </w:lvl>
    <w:lvl w:ilvl="1">
      <w:start w:val="5"/>
      <w:numFmt w:val="decimal"/>
      <w:lvlText w:val="%1.%2."/>
      <w:lvlJc w:val="left"/>
      <w:pPr>
        <w:ind w:left="900"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10">
    <w:nsid w:val="06AF1D6D"/>
    <w:multiLevelType w:val="multilevel"/>
    <w:tmpl w:val="4164F9C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06BB5A72"/>
    <w:multiLevelType w:val="hybridMultilevel"/>
    <w:tmpl w:val="3C223FBE"/>
    <w:lvl w:ilvl="0" w:tplc="0409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12">
    <w:nsid w:val="06BF0A39"/>
    <w:multiLevelType w:val="hybridMultilevel"/>
    <w:tmpl w:val="D30E65BC"/>
    <w:lvl w:ilvl="0" w:tplc="04090001">
      <w:start w:val="1"/>
      <w:numFmt w:val="bullet"/>
      <w:lvlText w:val=""/>
      <w:lvlJc w:val="left"/>
      <w:pPr>
        <w:ind w:left="1620" w:hanging="360"/>
      </w:pPr>
      <w:rPr>
        <w:rFonts w:ascii="Symbol" w:hAnsi="Symbol" w:hint="default"/>
      </w:rPr>
    </w:lvl>
    <w:lvl w:ilvl="1" w:tplc="08160003" w:tentative="1">
      <w:start w:val="1"/>
      <w:numFmt w:val="bullet"/>
      <w:lvlText w:val="o"/>
      <w:lvlJc w:val="left"/>
      <w:pPr>
        <w:ind w:left="2340" w:hanging="360"/>
      </w:pPr>
      <w:rPr>
        <w:rFonts w:ascii="Courier New" w:hAnsi="Courier New" w:cs="Courier New" w:hint="default"/>
      </w:rPr>
    </w:lvl>
    <w:lvl w:ilvl="2" w:tplc="08160005" w:tentative="1">
      <w:start w:val="1"/>
      <w:numFmt w:val="bullet"/>
      <w:lvlText w:val=""/>
      <w:lvlJc w:val="left"/>
      <w:pPr>
        <w:ind w:left="3060" w:hanging="360"/>
      </w:pPr>
      <w:rPr>
        <w:rFonts w:ascii="Wingdings" w:hAnsi="Wingdings" w:hint="default"/>
      </w:rPr>
    </w:lvl>
    <w:lvl w:ilvl="3" w:tplc="08160001" w:tentative="1">
      <w:start w:val="1"/>
      <w:numFmt w:val="bullet"/>
      <w:lvlText w:val=""/>
      <w:lvlJc w:val="left"/>
      <w:pPr>
        <w:ind w:left="3780" w:hanging="360"/>
      </w:pPr>
      <w:rPr>
        <w:rFonts w:ascii="Symbol" w:hAnsi="Symbol" w:hint="default"/>
      </w:rPr>
    </w:lvl>
    <w:lvl w:ilvl="4" w:tplc="08160003" w:tentative="1">
      <w:start w:val="1"/>
      <w:numFmt w:val="bullet"/>
      <w:lvlText w:val="o"/>
      <w:lvlJc w:val="left"/>
      <w:pPr>
        <w:ind w:left="4500" w:hanging="360"/>
      </w:pPr>
      <w:rPr>
        <w:rFonts w:ascii="Courier New" w:hAnsi="Courier New" w:cs="Courier New" w:hint="default"/>
      </w:rPr>
    </w:lvl>
    <w:lvl w:ilvl="5" w:tplc="08160005" w:tentative="1">
      <w:start w:val="1"/>
      <w:numFmt w:val="bullet"/>
      <w:lvlText w:val=""/>
      <w:lvlJc w:val="left"/>
      <w:pPr>
        <w:ind w:left="5220" w:hanging="360"/>
      </w:pPr>
      <w:rPr>
        <w:rFonts w:ascii="Wingdings" w:hAnsi="Wingdings" w:hint="default"/>
      </w:rPr>
    </w:lvl>
    <w:lvl w:ilvl="6" w:tplc="08160001" w:tentative="1">
      <w:start w:val="1"/>
      <w:numFmt w:val="bullet"/>
      <w:lvlText w:val=""/>
      <w:lvlJc w:val="left"/>
      <w:pPr>
        <w:ind w:left="5940" w:hanging="360"/>
      </w:pPr>
      <w:rPr>
        <w:rFonts w:ascii="Symbol" w:hAnsi="Symbol" w:hint="default"/>
      </w:rPr>
    </w:lvl>
    <w:lvl w:ilvl="7" w:tplc="08160003" w:tentative="1">
      <w:start w:val="1"/>
      <w:numFmt w:val="bullet"/>
      <w:lvlText w:val="o"/>
      <w:lvlJc w:val="left"/>
      <w:pPr>
        <w:ind w:left="6660" w:hanging="360"/>
      </w:pPr>
      <w:rPr>
        <w:rFonts w:ascii="Courier New" w:hAnsi="Courier New" w:cs="Courier New" w:hint="default"/>
      </w:rPr>
    </w:lvl>
    <w:lvl w:ilvl="8" w:tplc="08160005" w:tentative="1">
      <w:start w:val="1"/>
      <w:numFmt w:val="bullet"/>
      <w:lvlText w:val=""/>
      <w:lvlJc w:val="left"/>
      <w:pPr>
        <w:ind w:left="7380" w:hanging="360"/>
      </w:pPr>
      <w:rPr>
        <w:rFonts w:ascii="Wingdings" w:hAnsi="Wingdings" w:hint="default"/>
      </w:rPr>
    </w:lvl>
  </w:abstractNum>
  <w:abstractNum w:abstractNumId="13">
    <w:nsid w:val="06D706E4"/>
    <w:multiLevelType w:val="hybridMultilevel"/>
    <w:tmpl w:val="252209F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
    <w:nsid w:val="070E52A6"/>
    <w:multiLevelType w:val="hybridMultilevel"/>
    <w:tmpl w:val="996C4A56"/>
    <w:lvl w:ilvl="0" w:tplc="471C73D2">
      <w:start w:val="1"/>
      <w:numFmt w:val="decimal"/>
      <w:lvlText w:val="2.%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72B3380"/>
    <w:multiLevelType w:val="hybridMultilevel"/>
    <w:tmpl w:val="F990CFCC"/>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
    <w:nsid w:val="078E0998"/>
    <w:multiLevelType w:val="hybridMultilevel"/>
    <w:tmpl w:val="920414BC"/>
    <w:lvl w:ilvl="0" w:tplc="08090001">
      <w:start w:val="1"/>
      <w:numFmt w:val="bullet"/>
      <w:lvlText w:val=""/>
      <w:lvlJc w:val="left"/>
      <w:pPr>
        <w:ind w:left="1530" w:hanging="360"/>
      </w:pPr>
      <w:rPr>
        <w:rFonts w:ascii="Symbol" w:hAnsi="Symbol" w:hint="default"/>
      </w:rPr>
    </w:lvl>
    <w:lvl w:ilvl="1" w:tplc="08090003" w:tentative="1">
      <w:start w:val="1"/>
      <w:numFmt w:val="bullet"/>
      <w:lvlText w:val="o"/>
      <w:lvlJc w:val="left"/>
      <w:pPr>
        <w:ind w:left="2250" w:hanging="360"/>
      </w:pPr>
      <w:rPr>
        <w:rFonts w:ascii="Courier New" w:hAnsi="Courier New" w:cs="Courier New" w:hint="default"/>
      </w:rPr>
    </w:lvl>
    <w:lvl w:ilvl="2" w:tplc="08090005" w:tentative="1">
      <w:start w:val="1"/>
      <w:numFmt w:val="bullet"/>
      <w:lvlText w:val=""/>
      <w:lvlJc w:val="left"/>
      <w:pPr>
        <w:ind w:left="2970" w:hanging="360"/>
      </w:pPr>
      <w:rPr>
        <w:rFonts w:ascii="Wingdings" w:hAnsi="Wingdings" w:hint="default"/>
      </w:rPr>
    </w:lvl>
    <w:lvl w:ilvl="3" w:tplc="08090001" w:tentative="1">
      <w:start w:val="1"/>
      <w:numFmt w:val="bullet"/>
      <w:lvlText w:val=""/>
      <w:lvlJc w:val="left"/>
      <w:pPr>
        <w:ind w:left="3690" w:hanging="360"/>
      </w:pPr>
      <w:rPr>
        <w:rFonts w:ascii="Symbol" w:hAnsi="Symbol" w:hint="default"/>
      </w:rPr>
    </w:lvl>
    <w:lvl w:ilvl="4" w:tplc="08090003" w:tentative="1">
      <w:start w:val="1"/>
      <w:numFmt w:val="bullet"/>
      <w:lvlText w:val="o"/>
      <w:lvlJc w:val="left"/>
      <w:pPr>
        <w:ind w:left="4410" w:hanging="360"/>
      </w:pPr>
      <w:rPr>
        <w:rFonts w:ascii="Courier New" w:hAnsi="Courier New" w:cs="Courier New" w:hint="default"/>
      </w:rPr>
    </w:lvl>
    <w:lvl w:ilvl="5" w:tplc="08090005" w:tentative="1">
      <w:start w:val="1"/>
      <w:numFmt w:val="bullet"/>
      <w:lvlText w:val=""/>
      <w:lvlJc w:val="left"/>
      <w:pPr>
        <w:ind w:left="5130" w:hanging="360"/>
      </w:pPr>
      <w:rPr>
        <w:rFonts w:ascii="Wingdings" w:hAnsi="Wingdings" w:hint="default"/>
      </w:rPr>
    </w:lvl>
    <w:lvl w:ilvl="6" w:tplc="08090001" w:tentative="1">
      <w:start w:val="1"/>
      <w:numFmt w:val="bullet"/>
      <w:lvlText w:val=""/>
      <w:lvlJc w:val="left"/>
      <w:pPr>
        <w:ind w:left="5850" w:hanging="360"/>
      </w:pPr>
      <w:rPr>
        <w:rFonts w:ascii="Symbol" w:hAnsi="Symbol" w:hint="default"/>
      </w:rPr>
    </w:lvl>
    <w:lvl w:ilvl="7" w:tplc="08090003" w:tentative="1">
      <w:start w:val="1"/>
      <w:numFmt w:val="bullet"/>
      <w:lvlText w:val="o"/>
      <w:lvlJc w:val="left"/>
      <w:pPr>
        <w:ind w:left="6570" w:hanging="360"/>
      </w:pPr>
      <w:rPr>
        <w:rFonts w:ascii="Courier New" w:hAnsi="Courier New" w:cs="Courier New" w:hint="default"/>
      </w:rPr>
    </w:lvl>
    <w:lvl w:ilvl="8" w:tplc="08090005" w:tentative="1">
      <w:start w:val="1"/>
      <w:numFmt w:val="bullet"/>
      <w:lvlText w:val=""/>
      <w:lvlJc w:val="left"/>
      <w:pPr>
        <w:ind w:left="7290" w:hanging="360"/>
      </w:pPr>
      <w:rPr>
        <w:rFonts w:ascii="Wingdings" w:hAnsi="Wingdings" w:hint="default"/>
      </w:rPr>
    </w:lvl>
  </w:abstractNum>
  <w:abstractNum w:abstractNumId="17">
    <w:nsid w:val="08E30D31"/>
    <w:multiLevelType w:val="hybridMultilevel"/>
    <w:tmpl w:val="A0FA3D90"/>
    <w:lvl w:ilvl="0" w:tplc="04090001">
      <w:start w:val="1"/>
      <w:numFmt w:val="bullet"/>
      <w:lvlText w:val=""/>
      <w:lvlJc w:val="left"/>
      <w:pPr>
        <w:ind w:left="1170" w:hanging="360"/>
      </w:pPr>
      <w:rPr>
        <w:rFonts w:ascii="Symbol" w:hAnsi="Symbol" w:hint="default"/>
      </w:rPr>
    </w:lvl>
    <w:lvl w:ilvl="1" w:tplc="08160003" w:tentative="1">
      <w:start w:val="1"/>
      <w:numFmt w:val="bullet"/>
      <w:lvlText w:val="o"/>
      <w:lvlJc w:val="left"/>
      <w:pPr>
        <w:ind w:left="1890" w:hanging="360"/>
      </w:pPr>
      <w:rPr>
        <w:rFonts w:ascii="Courier New" w:hAnsi="Courier New" w:cs="Courier New" w:hint="default"/>
      </w:rPr>
    </w:lvl>
    <w:lvl w:ilvl="2" w:tplc="08160005" w:tentative="1">
      <w:start w:val="1"/>
      <w:numFmt w:val="bullet"/>
      <w:lvlText w:val=""/>
      <w:lvlJc w:val="left"/>
      <w:pPr>
        <w:ind w:left="2610" w:hanging="360"/>
      </w:pPr>
      <w:rPr>
        <w:rFonts w:ascii="Wingdings" w:hAnsi="Wingdings" w:hint="default"/>
      </w:rPr>
    </w:lvl>
    <w:lvl w:ilvl="3" w:tplc="08160001" w:tentative="1">
      <w:start w:val="1"/>
      <w:numFmt w:val="bullet"/>
      <w:lvlText w:val=""/>
      <w:lvlJc w:val="left"/>
      <w:pPr>
        <w:ind w:left="3330" w:hanging="360"/>
      </w:pPr>
      <w:rPr>
        <w:rFonts w:ascii="Symbol" w:hAnsi="Symbol" w:hint="default"/>
      </w:rPr>
    </w:lvl>
    <w:lvl w:ilvl="4" w:tplc="08160003" w:tentative="1">
      <w:start w:val="1"/>
      <w:numFmt w:val="bullet"/>
      <w:lvlText w:val="o"/>
      <w:lvlJc w:val="left"/>
      <w:pPr>
        <w:ind w:left="4050" w:hanging="360"/>
      </w:pPr>
      <w:rPr>
        <w:rFonts w:ascii="Courier New" w:hAnsi="Courier New" w:cs="Courier New" w:hint="default"/>
      </w:rPr>
    </w:lvl>
    <w:lvl w:ilvl="5" w:tplc="08160005" w:tentative="1">
      <w:start w:val="1"/>
      <w:numFmt w:val="bullet"/>
      <w:lvlText w:val=""/>
      <w:lvlJc w:val="left"/>
      <w:pPr>
        <w:ind w:left="4770" w:hanging="360"/>
      </w:pPr>
      <w:rPr>
        <w:rFonts w:ascii="Wingdings" w:hAnsi="Wingdings" w:hint="default"/>
      </w:rPr>
    </w:lvl>
    <w:lvl w:ilvl="6" w:tplc="08160001" w:tentative="1">
      <w:start w:val="1"/>
      <w:numFmt w:val="bullet"/>
      <w:lvlText w:val=""/>
      <w:lvlJc w:val="left"/>
      <w:pPr>
        <w:ind w:left="5490" w:hanging="360"/>
      </w:pPr>
      <w:rPr>
        <w:rFonts w:ascii="Symbol" w:hAnsi="Symbol" w:hint="default"/>
      </w:rPr>
    </w:lvl>
    <w:lvl w:ilvl="7" w:tplc="08160003" w:tentative="1">
      <w:start w:val="1"/>
      <w:numFmt w:val="bullet"/>
      <w:lvlText w:val="o"/>
      <w:lvlJc w:val="left"/>
      <w:pPr>
        <w:ind w:left="6210" w:hanging="360"/>
      </w:pPr>
      <w:rPr>
        <w:rFonts w:ascii="Courier New" w:hAnsi="Courier New" w:cs="Courier New" w:hint="default"/>
      </w:rPr>
    </w:lvl>
    <w:lvl w:ilvl="8" w:tplc="08160005" w:tentative="1">
      <w:start w:val="1"/>
      <w:numFmt w:val="bullet"/>
      <w:lvlText w:val=""/>
      <w:lvlJc w:val="left"/>
      <w:pPr>
        <w:ind w:left="6930" w:hanging="360"/>
      </w:pPr>
      <w:rPr>
        <w:rFonts w:ascii="Wingdings" w:hAnsi="Wingdings" w:hint="default"/>
      </w:rPr>
    </w:lvl>
  </w:abstractNum>
  <w:abstractNum w:abstractNumId="18">
    <w:nsid w:val="08EC6C51"/>
    <w:multiLevelType w:val="hybridMultilevel"/>
    <w:tmpl w:val="31E0D088"/>
    <w:lvl w:ilvl="0" w:tplc="6B0C2402">
      <w:start w:val="1"/>
      <w:numFmt w:val="decimal"/>
      <w:lvlText w:val="2.%1."/>
      <w:lvlJc w:val="left"/>
      <w:pPr>
        <w:ind w:left="72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0A2D2446"/>
    <w:multiLevelType w:val="hybridMultilevel"/>
    <w:tmpl w:val="79427470"/>
    <w:lvl w:ilvl="0" w:tplc="08090001">
      <w:start w:val="1"/>
      <w:numFmt w:val="bullet"/>
      <w:lvlText w:val=""/>
      <w:lvlJc w:val="left"/>
      <w:pPr>
        <w:ind w:left="1485" w:hanging="360"/>
      </w:pPr>
      <w:rPr>
        <w:rFonts w:ascii="Symbol" w:hAnsi="Symbol" w:hint="default"/>
      </w:rPr>
    </w:lvl>
    <w:lvl w:ilvl="1" w:tplc="08090003" w:tentative="1">
      <w:start w:val="1"/>
      <w:numFmt w:val="bullet"/>
      <w:lvlText w:val="o"/>
      <w:lvlJc w:val="left"/>
      <w:pPr>
        <w:ind w:left="2205" w:hanging="360"/>
      </w:pPr>
      <w:rPr>
        <w:rFonts w:ascii="Courier New" w:hAnsi="Courier New" w:cs="Courier New" w:hint="default"/>
      </w:rPr>
    </w:lvl>
    <w:lvl w:ilvl="2" w:tplc="08090005" w:tentative="1">
      <w:start w:val="1"/>
      <w:numFmt w:val="bullet"/>
      <w:lvlText w:val=""/>
      <w:lvlJc w:val="left"/>
      <w:pPr>
        <w:ind w:left="2925" w:hanging="360"/>
      </w:pPr>
      <w:rPr>
        <w:rFonts w:ascii="Wingdings" w:hAnsi="Wingdings" w:hint="default"/>
      </w:rPr>
    </w:lvl>
    <w:lvl w:ilvl="3" w:tplc="08090001" w:tentative="1">
      <w:start w:val="1"/>
      <w:numFmt w:val="bullet"/>
      <w:lvlText w:val=""/>
      <w:lvlJc w:val="left"/>
      <w:pPr>
        <w:ind w:left="3645" w:hanging="360"/>
      </w:pPr>
      <w:rPr>
        <w:rFonts w:ascii="Symbol" w:hAnsi="Symbol" w:hint="default"/>
      </w:rPr>
    </w:lvl>
    <w:lvl w:ilvl="4" w:tplc="08090003" w:tentative="1">
      <w:start w:val="1"/>
      <w:numFmt w:val="bullet"/>
      <w:lvlText w:val="o"/>
      <w:lvlJc w:val="left"/>
      <w:pPr>
        <w:ind w:left="4365" w:hanging="360"/>
      </w:pPr>
      <w:rPr>
        <w:rFonts w:ascii="Courier New" w:hAnsi="Courier New" w:cs="Courier New" w:hint="default"/>
      </w:rPr>
    </w:lvl>
    <w:lvl w:ilvl="5" w:tplc="08090005" w:tentative="1">
      <w:start w:val="1"/>
      <w:numFmt w:val="bullet"/>
      <w:lvlText w:val=""/>
      <w:lvlJc w:val="left"/>
      <w:pPr>
        <w:ind w:left="5085" w:hanging="360"/>
      </w:pPr>
      <w:rPr>
        <w:rFonts w:ascii="Wingdings" w:hAnsi="Wingdings" w:hint="default"/>
      </w:rPr>
    </w:lvl>
    <w:lvl w:ilvl="6" w:tplc="08090001" w:tentative="1">
      <w:start w:val="1"/>
      <w:numFmt w:val="bullet"/>
      <w:lvlText w:val=""/>
      <w:lvlJc w:val="left"/>
      <w:pPr>
        <w:ind w:left="5805" w:hanging="360"/>
      </w:pPr>
      <w:rPr>
        <w:rFonts w:ascii="Symbol" w:hAnsi="Symbol" w:hint="default"/>
      </w:rPr>
    </w:lvl>
    <w:lvl w:ilvl="7" w:tplc="08090003" w:tentative="1">
      <w:start w:val="1"/>
      <w:numFmt w:val="bullet"/>
      <w:lvlText w:val="o"/>
      <w:lvlJc w:val="left"/>
      <w:pPr>
        <w:ind w:left="6525" w:hanging="360"/>
      </w:pPr>
      <w:rPr>
        <w:rFonts w:ascii="Courier New" w:hAnsi="Courier New" w:cs="Courier New" w:hint="default"/>
      </w:rPr>
    </w:lvl>
    <w:lvl w:ilvl="8" w:tplc="08090005" w:tentative="1">
      <w:start w:val="1"/>
      <w:numFmt w:val="bullet"/>
      <w:lvlText w:val=""/>
      <w:lvlJc w:val="left"/>
      <w:pPr>
        <w:ind w:left="7245" w:hanging="360"/>
      </w:pPr>
      <w:rPr>
        <w:rFonts w:ascii="Wingdings" w:hAnsi="Wingdings" w:hint="default"/>
      </w:rPr>
    </w:lvl>
  </w:abstractNum>
  <w:abstractNum w:abstractNumId="20">
    <w:nsid w:val="0A8F408D"/>
    <w:multiLevelType w:val="hybridMultilevel"/>
    <w:tmpl w:val="E60279C8"/>
    <w:lvl w:ilvl="0" w:tplc="6244223E">
      <w:start w:val="1"/>
      <w:numFmt w:val="decimal"/>
      <w:lvlText w:val="6.%1."/>
      <w:lvlJc w:val="left"/>
      <w:pPr>
        <w:tabs>
          <w:tab w:val="num" w:pos="720"/>
        </w:tabs>
        <w:ind w:left="720" w:hanging="360"/>
      </w:pPr>
      <w:rPr>
        <w:rFonts w:ascii="Arial" w:hAnsi="Arial" w:cs="Arial"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21">
    <w:nsid w:val="0B0E374E"/>
    <w:multiLevelType w:val="hybridMultilevel"/>
    <w:tmpl w:val="C658C1D2"/>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2">
    <w:nsid w:val="0B1C6D35"/>
    <w:multiLevelType w:val="multilevel"/>
    <w:tmpl w:val="93082A7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nsid w:val="0B1F635E"/>
    <w:multiLevelType w:val="multilevel"/>
    <w:tmpl w:val="8C9237F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nsid w:val="0B39286F"/>
    <w:multiLevelType w:val="hybridMultilevel"/>
    <w:tmpl w:val="D53AD0B2"/>
    <w:lvl w:ilvl="0" w:tplc="04090001">
      <w:start w:val="1"/>
      <w:numFmt w:val="bullet"/>
      <w:lvlText w:val=""/>
      <w:lvlJc w:val="left"/>
      <w:pPr>
        <w:tabs>
          <w:tab w:val="num" w:pos="720"/>
        </w:tabs>
        <w:ind w:left="720" w:hanging="360"/>
      </w:pPr>
      <w:rPr>
        <w:rFonts w:ascii="Symbol" w:hAnsi="Symbol" w:hint="default"/>
        <w:b w:val="0"/>
        <w:i w:val="0"/>
      </w:rPr>
    </w:lvl>
    <w:lvl w:ilvl="1" w:tplc="0C0A0003">
      <w:start w:val="1"/>
      <w:numFmt w:val="bullet"/>
      <w:lvlText w:val="o"/>
      <w:lvlJc w:val="left"/>
      <w:pPr>
        <w:tabs>
          <w:tab w:val="num" w:pos="1440"/>
        </w:tabs>
        <w:ind w:left="1440" w:hanging="360"/>
      </w:pPr>
      <w:rPr>
        <w:rFonts w:ascii="Courier New" w:hAnsi="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25">
    <w:nsid w:val="0BA56F48"/>
    <w:multiLevelType w:val="multilevel"/>
    <w:tmpl w:val="E91A1672"/>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nsid w:val="0C8B6C33"/>
    <w:multiLevelType w:val="multilevel"/>
    <w:tmpl w:val="42D8E57C"/>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nsid w:val="0CAE2A36"/>
    <w:multiLevelType w:val="multilevel"/>
    <w:tmpl w:val="3FAACCC8"/>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nsid w:val="0D0A5A56"/>
    <w:multiLevelType w:val="multilevel"/>
    <w:tmpl w:val="649E92C2"/>
    <w:lvl w:ilvl="0">
      <w:start w:val="5"/>
      <w:numFmt w:val="decimal"/>
      <w:lvlText w:val="%1"/>
      <w:lvlJc w:val="left"/>
      <w:pPr>
        <w:ind w:left="480" w:hanging="480"/>
      </w:pPr>
      <w:rPr>
        <w:rFonts w:hint="default"/>
      </w:rPr>
    </w:lvl>
    <w:lvl w:ilvl="1">
      <w:start w:val="2"/>
      <w:numFmt w:val="decimal"/>
      <w:lvlText w:val="%1.%2"/>
      <w:lvlJc w:val="left"/>
      <w:pPr>
        <w:ind w:left="1200" w:hanging="48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9">
    <w:nsid w:val="0DC56308"/>
    <w:multiLevelType w:val="hybridMultilevel"/>
    <w:tmpl w:val="59569268"/>
    <w:lvl w:ilvl="0" w:tplc="36B4DFEE">
      <w:start w:val="1"/>
      <w:numFmt w:val="decimal"/>
      <w:lvlText w:val="3.%1."/>
      <w:lvlJc w:val="left"/>
      <w:pPr>
        <w:ind w:left="720" w:hanging="360"/>
      </w:pPr>
      <w:rPr>
        <w:rFonts w:hint="default"/>
        <w:b/>
        <w:lang w:val="pt-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0DD728BE"/>
    <w:multiLevelType w:val="hybridMultilevel"/>
    <w:tmpl w:val="77CA14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0DD96116"/>
    <w:multiLevelType w:val="multilevel"/>
    <w:tmpl w:val="8B444692"/>
    <w:lvl w:ilvl="0">
      <w:start w:val="5"/>
      <w:numFmt w:val="decimal"/>
      <w:lvlText w:val="%1"/>
      <w:lvlJc w:val="left"/>
      <w:pPr>
        <w:ind w:left="480" w:hanging="480"/>
      </w:pPr>
      <w:rPr>
        <w:rFonts w:hint="default"/>
        <w:b/>
      </w:rPr>
    </w:lvl>
    <w:lvl w:ilvl="1">
      <w:start w:val="8"/>
      <w:numFmt w:val="decimal"/>
      <w:lvlText w:val="%1.%2"/>
      <w:lvlJc w:val="left"/>
      <w:pPr>
        <w:ind w:left="480" w:hanging="48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2">
    <w:nsid w:val="0E2839D8"/>
    <w:multiLevelType w:val="hybridMultilevel"/>
    <w:tmpl w:val="AB042B78"/>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3">
    <w:nsid w:val="0E6E5543"/>
    <w:multiLevelType w:val="hybridMultilevel"/>
    <w:tmpl w:val="73982F48"/>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nsid w:val="0EA222A4"/>
    <w:multiLevelType w:val="hybridMultilevel"/>
    <w:tmpl w:val="2EEC932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5">
    <w:nsid w:val="0EE04E8A"/>
    <w:multiLevelType w:val="hybridMultilevel"/>
    <w:tmpl w:val="93C80934"/>
    <w:lvl w:ilvl="0" w:tplc="0409000D">
      <w:start w:val="1"/>
      <w:numFmt w:val="bullet"/>
      <w:lvlText w:val=""/>
      <w:lvlJc w:val="left"/>
      <w:pPr>
        <w:ind w:left="1440" w:hanging="360"/>
      </w:pPr>
      <w:rPr>
        <w:rFonts w:ascii="Wingdings" w:hAnsi="Wingdings" w:hint="default"/>
      </w:rPr>
    </w:lvl>
    <w:lvl w:ilvl="1" w:tplc="08160003" w:tentative="1">
      <w:start w:val="1"/>
      <w:numFmt w:val="bullet"/>
      <w:lvlText w:val="o"/>
      <w:lvlJc w:val="left"/>
      <w:pPr>
        <w:ind w:left="2160" w:hanging="360"/>
      </w:pPr>
      <w:rPr>
        <w:rFonts w:ascii="Courier New" w:hAnsi="Courier New" w:cs="Courier New" w:hint="default"/>
      </w:rPr>
    </w:lvl>
    <w:lvl w:ilvl="2" w:tplc="08160005" w:tentative="1">
      <w:start w:val="1"/>
      <w:numFmt w:val="bullet"/>
      <w:lvlText w:val=""/>
      <w:lvlJc w:val="left"/>
      <w:pPr>
        <w:ind w:left="2880" w:hanging="360"/>
      </w:pPr>
      <w:rPr>
        <w:rFonts w:ascii="Wingdings" w:hAnsi="Wingdings" w:hint="default"/>
      </w:rPr>
    </w:lvl>
    <w:lvl w:ilvl="3" w:tplc="08160001" w:tentative="1">
      <w:start w:val="1"/>
      <w:numFmt w:val="bullet"/>
      <w:lvlText w:val=""/>
      <w:lvlJc w:val="left"/>
      <w:pPr>
        <w:ind w:left="3600" w:hanging="360"/>
      </w:pPr>
      <w:rPr>
        <w:rFonts w:ascii="Symbol" w:hAnsi="Symbol" w:hint="default"/>
      </w:rPr>
    </w:lvl>
    <w:lvl w:ilvl="4" w:tplc="08160003" w:tentative="1">
      <w:start w:val="1"/>
      <w:numFmt w:val="bullet"/>
      <w:lvlText w:val="o"/>
      <w:lvlJc w:val="left"/>
      <w:pPr>
        <w:ind w:left="4320" w:hanging="360"/>
      </w:pPr>
      <w:rPr>
        <w:rFonts w:ascii="Courier New" w:hAnsi="Courier New" w:cs="Courier New" w:hint="default"/>
      </w:rPr>
    </w:lvl>
    <w:lvl w:ilvl="5" w:tplc="08160005" w:tentative="1">
      <w:start w:val="1"/>
      <w:numFmt w:val="bullet"/>
      <w:lvlText w:val=""/>
      <w:lvlJc w:val="left"/>
      <w:pPr>
        <w:ind w:left="5040" w:hanging="360"/>
      </w:pPr>
      <w:rPr>
        <w:rFonts w:ascii="Wingdings" w:hAnsi="Wingdings" w:hint="default"/>
      </w:rPr>
    </w:lvl>
    <w:lvl w:ilvl="6" w:tplc="08160001" w:tentative="1">
      <w:start w:val="1"/>
      <w:numFmt w:val="bullet"/>
      <w:lvlText w:val=""/>
      <w:lvlJc w:val="left"/>
      <w:pPr>
        <w:ind w:left="5760" w:hanging="360"/>
      </w:pPr>
      <w:rPr>
        <w:rFonts w:ascii="Symbol" w:hAnsi="Symbol" w:hint="default"/>
      </w:rPr>
    </w:lvl>
    <w:lvl w:ilvl="7" w:tplc="08160003" w:tentative="1">
      <w:start w:val="1"/>
      <w:numFmt w:val="bullet"/>
      <w:lvlText w:val="o"/>
      <w:lvlJc w:val="left"/>
      <w:pPr>
        <w:ind w:left="6480" w:hanging="360"/>
      </w:pPr>
      <w:rPr>
        <w:rFonts w:ascii="Courier New" w:hAnsi="Courier New" w:cs="Courier New" w:hint="default"/>
      </w:rPr>
    </w:lvl>
    <w:lvl w:ilvl="8" w:tplc="08160005" w:tentative="1">
      <w:start w:val="1"/>
      <w:numFmt w:val="bullet"/>
      <w:lvlText w:val=""/>
      <w:lvlJc w:val="left"/>
      <w:pPr>
        <w:ind w:left="7200" w:hanging="360"/>
      </w:pPr>
      <w:rPr>
        <w:rFonts w:ascii="Wingdings" w:hAnsi="Wingdings" w:hint="default"/>
      </w:rPr>
    </w:lvl>
  </w:abstractNum>
  <w:abstractNum w:abstractNumId="36">
    <w:nsid w:val="0EE35E03"/>
    <w:multiLevelType w:val="hybridMultilevel"/>
    <w:tmpl w:val="ED0ED9EA"/>
    <w:lvl w:ilvl="0" w:tplc="116E2676">
      <w:start w:val="1"/>
      <w:numFmt w:val="decimal"/>
      <w:lvlText w:val="6.%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0FDC2494"/>
    <w:multiLevelType w:val="hybridMultilevel"/>
    <w:tmpl w:val="CBBC9456"/>
    <w:lvl w:ilvl="0" w:tplc="08090001">
      <w:start w:val="1"/>
      <w:numFmt w:val="bullet"/>
      <w:lvlText w:val=""/>
      <w:lvlJc w:val="left"/>
      <w:pPr>
        <w:ind w:left="1170" w:hanging="360"/>
      </w:pPr>
      <w:rPr>
        <w:rFonts w:ascii="Symbol" w:hAnsi="Symbol" w:hint="default"/>
      </w:rPr>
    </w:lvl>
    <w:lvl w:ilvl="1" w:tplc="08090003">
      <w:start w:val="1"/>
      <w:numFmt w:val="bullet"/>
      <w:lvlText w:val="o"/>
      <w:lvlJc w:val="left"/>
      <w:pPr>
        <w:ind w:left="1890" w:hanging="360"/>
      </w:pPr>
      <w:rPr>
        <w:rFonts w:ascii="Courier New" w:hAnsi="Courier New" w:cs="Courier New" w:hint="default"/>
      </w:rPr>
    </w:lvl>
    <w:lvl w:ilvl="2" w:tplc="08090005" w:tentative="1">
      <w:start w:val="1"/>
      <w:numFmt w:val="bullet"/>
      <w:lvlText w:val=""/>
      <w:lvlJc w:val="left"/>
      <w:pPr>
        <w:ind w:left="2610" w:hanging="360"/>
      </w:pPr>
      <w:rPr>
        <w:rFonts w:ascii="Wingdings" w:hAnsi="Wingdings" w:hint="default"/>
      </w:rPr>
    </w:lvl>
    <w:lvl w:ilvl="3" w:tplc="08090001" w:tentative="1">
      <w:start w:val="1"/>
      <w:numFmt w:val="bullet"/>
      <w:lvlText w:val=""/>
      <w:lvlJc w:val="left"/>
      <w:pPr>
        <w:ind w:left="3330" w:hanging="360"/>
      </w:pPr>
      <w:rPr>
        <w:rFonts w:ascii="Symbol" w:hAnsi="Symbol" w:hint="default"/>
      </w:rPr>
    </w:lvl>
    <w:lvl w:ilvl="4" w:tplc="08090003" w:tentative="1">
      <w:start w:val="1"/>
      <w:numFmt w:val="bullet"/>
      <w:lvlText w:val="o"/>
      <w:lvlJc w:val="left"/>
      <w:pPr>
        <w:ind w:left="4050" w:hanging="360"/>
      </w:pPr>
      <w:rPr>
        <w:rFonts w:ascii="Courier New" w:hAnsi="Courier New" w:cs="Courier New" w:hint="default"/>
      </w:rPr>
    </w:lvl>
    <w:lvl w:ilvl="5" w:tplc="08090005" w:tentative="1">
      <w:start w:val="1"/>
      <w:numFmt w:val="bullet"/>
      <w:lvlText w:val=""/>
      <w:lvlJc w:val="left"/>
      <w:pPr>
        <w:ind w:left="4770" w:hanging="360"/>
      </w:pPr>
      <w:rPr>
        <w:rFonts w:ascii="Wingdings" w:hAnsi="Wingdings" w:hint="default"/>
      </w:rPr>
    </w:lvl>
    <w:lvl w:ilvl="6" w:tplc="08090001" w:tentative="1">
      <w:start w:val="1"/>
      <w:numFmt w:val="bullet"/>
      <w:lvlText w:val=""/>
      <w:lvlJc w:val="left"/>
      <w:pPr>
        <w:ind w:left="5490" w:hanging="360"/>
      </w:pPr>
      <w:rPr>
        <w:rFonts w:ascii="Symbol" w:hAnsi="Symbol" w:hint="default"/>
      </w:rPr>
    </w:lvl>
    <w:lvl w:ilvl="7" w:tplc="08090003" w:tentative="1">
      <w:start w:val="1"/>
      <w:numFmt w:val="bullet"/>
      <w:lvlText w:val="o"/>
      <w:lvlJc w:val="left"/>
      <w:pPr>
        <w:ind w:left="6210" w:hanging="360"/>
      </w:pPr>
      <w:rPr>
        <w:rFonts w:ascii="Courier New" w:hAnsi="Courier New" w:cs="Courier New" w:hint="default"/>
      </w:rPr>
    </w:lvl>
    <w:lvl w:ilvl="8" w:tplc="08090005" w:tentative="1">
      <w:start w:val="1"/>
      <w:numFmt w:val="bullet"/>
      <w:lvlText w:val=""/>
      <w:lvlJc w:val="left"/>
      <w:pPr>
        <w:ind w:left="6930" w:hanging="360"/>
      </w:pPr>
      <w:rPr>
        <w:rFonts w:ascii="Wingdings" w:hAnsi="Wingdings" w:hint="default"/>
      </w:rPr>
    </w:lvl>
  </w:abstractNum>
  <w:abstractNum w:abstractNumId="38">
    <w:nsid w:val="0FF96532"/>
    <w:multiLevelType w:val="hybridMultilevel"/>
    <w:tmpl w:val="ED80006A"/>
    <w:lvl w:ilvl="0" w:tplc="0409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39">
    <w:nsid w:val="0FFD18A2"/>
    <w:multiLevelType w:val="multilevel"/>
    <w:tmpl w:val="A26A3C26"/>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0">
    <w:nsid w:val="10D20130"/>
    <w:multiLevelType w:val="hybridMultilevel"/>
    <w:tmpl w:val="EDD23852"/>
    <w:lvl w:ilvl="0" w:tplc="08090001">
      <w:start w:val="1"/>
      <w:numFmt w:val="bullet"/>
      <w:lvlText w:val=""/>
      <w:lvlJc w:val="left"/>
      <w:pPr>
        <w:ind w:left="1170" w:hanging="360"/>
      </w:pPr>
      <w:rPr>
        <w:rFonts w:ascii="Symbol" w:hAnsi="Symbol" w:hint="default"/>
      </w:rPr>
    </w:lvl>
    <w:lvl w:ilvl="1" w:tplc="08090003" w:tentative="1">
      <w:start w:val="1"/>
      <w:numFmt w:val="bullet"/>
      <w:lvlText w:val="o"/>
      <w:lvlJc w:val="left"/>
      <w:pPr>
        <w:ind w:left="1890" w:hanging="360"/>
      </w:pPr>
      <w:rPr>
        <w:rFonts w:ascii="Courier New" w:hAnsi="Courier New" w:cs="Courier New" w:hint="default"/>
      </w:rPr>
    </w:lvl>
    <w:lvl w:ilvl="2" w:tplc="08090005" w:tentative="1">
      <w:start w:val="1"/>
      <w:numFmt w:val="bullet"/>
      <w:lvlText w:val=""/>
      <w:lvlJc w:val="left"/>
      <w:pPr>
        <w:ind w:left="2610" w:hanging="360"/>
      </w:pPr>
      <w:rPr>
        <w:rFonts w:ascii="Wingdings" w:hAnsi="Wingdings" w:hint="default"/>
      </w:rPr>
    </w:lvl>
    <w:lvl w:ilvl="3" w:tplc="08090001" w:tentative="1">
      <w:start w:val="1"/>
      <w:numFmt w:val="bullet"/>
      <w:lvlText w:val=""/>
      <w:lvlJc w:val="left"/>
      <w:pPr>
        <w:ind w:left="3330" w:hanging="360"/>
      </w:pPr>
      <w:rPr>
        <w:rFonts w:ascii="Symbol" w:hAnsi="Symbol" w:hint="default"/>
      </w:rPr>
    </w:lvl>
    <w:lvl w:ilvl="4" w:tplc="08090003" w:tentative="1">
      <w:start w:val="1"/>
      <w:numFmt w:val="bullet"/>
      <w:lvlText w:val="o"/>
      <w:lvlJc w:val="left"/>
      <w:pPr>
        <w:ind w:left="4050" w:hanging="360"/>
      </w:pPr>
      <w:rPr>
        <w:rFonts w:ascii="Courier New" w:hAnsi="Courier New" w:cs="Courier New" w:hint="default"/>
      </w:rPr>
    </w:lvl>
    <w:lvl w:ilvl="5" w:tplc="08090005" w:tentative="1">
      <w:start w:val="1"/>
      <w:numFmt w:val="bullet"/>
      <w:lvlText w:val=""/>
      <w:lvlJc w:val="left"/>
      <w:pPr>
        <w:ind w:left="4770" w:hanging="360"/>
      </w:pPr>
      <w:rPr>
        <w:rFonts w:ascii="Wingdings" w:hAnsi="Wingdings" w:hint="default"/>
      </w:rPr>
    </w:lvl>
    <w:lvl w:ilvl="6" w:tplc="08090001" w:tentative="1">
      <w:start w:val="1"/>
      <w:numFmt w:val="bullet"/>
      <w:lvlText w:val=""/>
      <w:lvlJc w:val="left"/>
      <w:pPr>
        <w:ind w:left="5490" w:hanging="360"/>
      </w:pPr>
      <w:rPr>
        <w:rFonts w:ascii="Symbol" w:hAnsi="Symbol" w:hint="default"/>
      </w:rPr>
    </w:lvl>
    <w:lvl w:ilvl="7" w:tplc="08090003" w:tentative="1">
      <w:start w:val="1"/>
      <w:numFmt w:val="bullet"/>
      <w:lvlText w:val="o"/>
      <w:lvlJc w:val="left"/>
      <w:pPr>
        <w:ind w:left="6210" w:hanging="360"/>
      </w:pPr>
      <w:rPr>
        <w:rFonts w:ascii="Courier New" w:hAnsi="Courier New" w:cs="Courier New" w:hint="default"/>
      </w:rPr>
    </w:lvl>
    <w:lvl w:ilvl="8" w:tplc="08090005" w:tentative="1">
      <w:start w:val="1"/>
      <w:numFmt w:val="bullet"/>
      <w:lvlText w:val=""/>
      <w:lvlJc w:val="left"/>
      <w:pPr>
        <w:ind w:left="6930" w:hanging="360"/>
      </w:pPr>
      <w:rPr>
        <w:rFonts w:ascii="Wingdings" w:hAnsi="Wingdings" w:hint="default"/>
      </w:rPr>
    </w:lvl>
  </w:abstractNum>
  <w:abstractNum w:abstractNumId="41">
    <w:nsid w:val="126B37EB"/>
    <w:multiLevelType w:val="hybridMultilevel"/>
    <w:tmpl w:val="DB283D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12904236"/>
    <w:multiLevelType w:val="hybridMultilevel"/>
    <w:tmpl w:val="B90EFD6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
    <w:nsid w:val="1290598B"/>
    <w:multiLevelType w:val="multilevel"/>
    <w:tmpl w:val="95763906"/>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nsid w:val="12A6214E"/>
    <w:multiLevelType w:val="hybridMultilevel"/>
    <w:tmpl w:val="E40402F8"/>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45">
    <w:nsid w:val="13607CEA"/>
    <w:multiLevelType w:val="hybridMultilevel"/>
    <w:tmpl w:val="C76618F2"/>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46">
    <w:nsid w:val="137E77F0"/>
    <w:multiLevelType w:val="hybridMultilevel"/>
    <w:tmpl w:val="ABB83BBE"/>
    <w:lvl w:ilvl="0" w:tplc="76D43674">
      <w:start w:val="1"/>
      <w:numFmt w:val="decimal"/>
      <w:lvlText w:val="2.3.%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138227DB"/>
    <w:multiLevelType w:val="hybridMultilevel"/>
    <w:tmpl w:val="9568599C"/>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48">
    <w:nsid w:val="13903A07"/>
    <w:multiLevelType w:val="multilevel"/>
    <w:tmpl w:val="308CDC56"/>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9">
    <w:nsid w:val="151F6DF5"/>
    <w:multiLevelType w:val="multilevel"/>
    <w:tmpl w:val="C3A2C53E"/>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0">
    <w:nsid w:val="166733A8"/>
    <w:multiLevelType w:val="hybridMultilevel"/>
    <w:tmpl w:val="833E858E"/>
    <w:lvl w:ilvl="0" w:tplc="2CF64056">
      <w:start w:val="1"/>
      <w:numFmt w:val="decimal"/>
      <w:lvlText w:val="2.5.%1."/>
      <w:lvlJc w:val="left"/>
      <w:pPr>
        <w:ind w:left="750" w:hanging="360"/>
      </w:pPr>
      <w:rPr>
        <w:rFonts w:hint="default"/>
        <w:b/>
      </w:rPr>
    </w:lvl>
    <w:lvl w:ilvl="1" w:tplc="04090019" w:tentative="1">
      <w:start w:val="1"/>
      <w:numFmt w:val="lowerLetter"/>
      <w:lvlText w:val="%2."/>
      <w:lvlJc w:val="left"/>
      <w:pPr>
        <w:ind w:left="1470" w:hanging="360"/>
      </w:pPr>
    </w:lvl>
    <w:lvl w:ilvl="2" w:tplc="0409001B" w:tentative="1">
      <w:start w:val="1"/>
      <w:numFmt w:val="lowerRoman"/>
      <w:lvlText w:val="%3."/>
      <w:lvlJc w:val="right"/>
      <w:pPr>
        <w:ind w:left="2190" w:hanging="180"/>
      </w:pPr>
    </w:lvl>
    <w:lvl w:ilvl="3" w:tplc="0409000F" w:tentative="1">
      <w:start w:val="1"/>
      <w:numFmt w:val="decimal"/>
      <w:lvlText w:val="%4."/>
      <w:lvlJc w:val="left"/>
      <w:pPr>
        <w:ind w:left="2910" w:hanging="360"/>
      </w:pPr>
    </w:lvl>
    <w:lvl w:ilvl="4" w:tplc="04090019" w:tentative="1">
      <w:start w:val="1"/>
      <w:numFmt w:val="lowerLetter"/>
      <w:lvlText w:val="%5."/>
      <w:lvlJc w:val="left"/>
      <w:pPr>
        <w:ind w:left="3630" w:hanging="360"/>
      </w:pPr>
    </w:lvl>
    <w:lvl w:ilvl="5" w:tplc="0409001B" w:tentative="1">
      <w:start w:val="1"/>
      <w:numFmt w:val="lowerRoman"/>
      <w:lvlText w:val="%6."/>
      <w:lvlJc w:val="right"/>
      <w:pPr>
        <w:ind w:left="4350" w:hanging="180"/>
      </w:pPr>
    </w:lvl>
    <w:lvl w:ilvl="6" w:tplc="0409000F" w:tentative="1">
      <w:start w:val="1"/>
      <w:numFmt w:val="decimal"/>
      <w:lvlText w:val="%7."/>
      <w:lvlJc w:val="left"/>
      <w:pPr>
        <w:ind w:left="5070" w:hanging="360"/>
      </w:pPr>
    </w:lvl>
    <w:lvl w:ilvl="7" w:tplc="04090019" w:tentative="1">
      <w:start w:val="1"/>
      <w:numFmt w:val="lowerLetter"/>
      <w:lvlText w:val="%8."/>
      <w:lvlJc w:val="left"/>
      <w:pPr>
        <w:ind w:left="5790" w:hanging="360"/>
      </w:pPr>
    </w:lvl>
    <w:lvl w:ilvl="8" w:tplc="0409001B" w:tentative="1">
      <w:start w:val="1"/>
      <w:numFmt w:val="lowerRoman"/>
      <w:lvlText w:val="%9."/>
      <w:lvlJc w:val="right"/>
      <w:pPr>
        <w:ind w:left="6510" w:hanging="180"/>
      </w:pPr>
    </w:lvl>
  </w:abstractNum>
  <w:abstractNum w:abstractNumId="51">
    <w:nsid w:val="17042F56"/>
    <w:multiLevelType w:val="multilevel"/>
    <w:tmpl w:val="5CA472BE"/>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2">
    <w:nsid w:val="1800795C"/>
    <w:multiLevelType w:val="hybridMultilevel"/>
    <w:tmpl w:val="0A1AC29E"/>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3">
    <w:nsid w:val="180D6E18"/>
    <w:multiLevelType w:val="hybridMultilevel"/>
    <w:tmpl w:val="51EC3D16"/>
    <w:lvl w:ilvl="0" w:tplc="E1841256">
      <w:start w:val="1"/>
      <w:numFmt w:val="decimal"/>
      <w:lvlText w:val="4.4.%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18A6506F"/>
    <w:multiLevelType w:val="hybridMultilevel"/>
    <w:tmpl w:val="E87EBF60"/>
    <w:lvl w:ilvl="0" w:tplc="04090001">
      <w:start w:val="1"/>
      <w:numFmt w:val="bullet"/>
      <w:lvlText w:val=""/>
      <w:lvlJc w:val="left"/>
      <w:pPr>
        <w:ind w:left="1800" w:hanging="360"/>
      </w:pPr>
      <w:rPr>
        <w:rFonts w:ascii="Symbol" w:hAnsi="Symbol" w:hint="default"/>
      </w:rPr>
    </w:lvl>
    <w:lvl w:ilvl="1" w:tplc="08160003" w:tentative="1">
      <w:start w:val="1"/>
      <w:numFmt w:val="bullet"/>
      <w:lvlText w:val="o"/>
      <w:lvlJc w:val="left"/>
      <w:pPr>
        <w:ind w:left="2520" w:hanging="360"/>
      </w:pPr>
      <w:rPr>
        <w:rFonts w:ascii="Courier New" w:hAnsi="Courier New" w:cs="Courier New" w:hint="default"/>
      </w:rPr>
    </w:lvl>
    <w:lvl w:ilvl="2" w:tplc="08160005" w:tentative="1">
      <w:start w:val="1"/>
      <w:numFmt w:val="bullet"/>
      <w:lvlText w:val=""/>
      <w:lvlJc w:val="left"/>
      <w:pPr>
        <w:ind w:left="3240" w:hanging="360"/>
      </w:pPr>
      <w:rPr>
        <w:rFonts w:ascii="Wingdings" w:hAnsi="Wingdings" w:hint="default"/>
      </w:rPr>
    </w:lvl>
    <w:lvl w:ilvl="3" w:tplc="08160001" w:tentative="1">
      <w:start w:val="1"/>
      <w:numFmt w:val="bullet"/>
      <w:lvlText w:val=""/>
      <w:lvlJc w:val="left"/>
      <w:pPr>
        <w:ind w:left="3960" w:hanging="360"/>
      </w:pPr>
      <w:rPr>
        <w:rFonts w:ascii="Symbol" w:hAnsi="Symbol" w:hint="default"/>
      </w:rPr>
    </w:lvl>
    <w:lvl w:ilvl="4" w:tplc="08160003" w:tentative="1">
      <w:start w:val="1"/>
      <w:numFmt w:val="bullet"/>
      <w:lvlText w:val="o"/>
      <w:lvlJc w:val="left"/>
      <w:pPr>
        <w:ind w:left="4680" w:hanging="360"/>
      </w:pPr>
      <w:rPr>
        <w:rFonts w:ascii="Courier New" w:hAnsi="Courier New" w:cs="Courier New" w:hint="default"/>
      </w:rPr>
    </w:lvl>
    <w:lvl w:ilvl="5" w:tplc="08160005" w:tentative="1">
      <w:start w:val="1"/>
      <w:numFmt w:val="bullet"/>
      <w:lvlText w:val=""/>
      <w:lvlJc w:val="left"/>
      <w:pPr>
        <w:ind w:left="5400" w:hanging="360"/>
      </w:pPr>
      <w:rPr>
        <w:rFonts w:ascii="Wingdings" w:hAnsi="Wingdings" w:hint="default"/>
      </w:rPr>
    </w:lvl>
    <w:lvl w:ilvl="6" w:tplc="08160001" w:tentative="1">
      <w:start w:val="1"/>
      <w:numFmt w:val="bullet"/>
      <w:lvlText w:val=""/>
      <w:lvlJc w:val="left"/>
      <w:pPr>
        <w:ind w:left="6120" w:hanging="360"/>
      </w:pPr>
      <w:rPr>
        <w:rFonts w:ascii="Symbol" w:hAnsi="Symbol" w:hint="default"/>
      </w:rPr>
    </w:lvl>
    <w:lvl w:ilvl="7" w:tplc="08160003" w:tentative="1">
      <w:start w:val="1"/>
      <w:numFmt w:val="bullet"/>
      <w:lvlText w:val="o"/>
      <w:lvlJc w:val="left"/>
      <w:pPr>
        <w:ind w:left="6840" w:hanging="360"/>
      </w:pPr>
      <w:rPr>
        <w:rFonts w:ascii="Courier New" w:hAnsi="Courier New" w:cs="Courier New" w:hint="default"/>
      </w:rPr>
    </w:lvl>
    <w:lvl w:ilvl="8" w:tplc="08160005" w:tentative="1">
      <w:start w:val="1"/>
      <w:numFmt w:val="bullet"/>
      <w:lvlText w:val=""/>
      <w:lvlJc w:val="left"/>
      <w:pPr>
        <w:ind w:left="7560" w:hanging="360"/>
      </w:pPr>
      <w:rPr>
        <w:rFonts w:ascii="Wingdings" w:hAnsi="Wingdings" w:hint="default"/>
      </w:rPr>
    </w:lvl>
  </w:abstractNum>
  <w:abstractNum w:abstractNumId="55">
    <w:nsid w:val="19616645"/>
    <w:multiLevelType w:val="hybridMultilevel"/>
    <w:tmpl w:val="D414874A"/>
    <w:lvl w:ilvl="0" w:tplc="CAFE2114">
      <w:start w:val="1"/>
      <w:numFmt w:val="decimal"/>
      <w:lvlText w:val="4.%1."/>
      <w:lvlJc w:val="left"/>
      <w:pPr>
        <w:ind w:left="72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1A4A4A83"/>
    <w:multiLevelType w:val="hybridMultilevel"/>
    <w:tmpl w:val="9BE05EAE"/>
    <w:lvl w:ilvl="0" w:tplc="0409000F">
      <w:start w:val="1"/>
      <w:numFmt w:val="decimal"/>
      <w:lvlText w:val="%1."/>
      <w:lvlJc w:val="left"/>
      <w:pPr>
        <w:ind w:left="1080" w:hanging="360"/>
      </w:pPr>
      <w:rPr>
        <w:rFonts w:cs="Times New Roman" w:hint="default"/>
        <w:color w:val="auto"/>
      </w:rPr>
    </w:lvl>
    <w:lvl w:ilvl="1" w:tplc="04090019">
      <w:start w:val="1"/>
      <w:numFmt w:val="lowerLetter"/>
      <w:lvlText w:val="%2."/>
      <w:lvlJc w:val="left"/>
      <w:pPr>
        <w:ind w:left="1800" w:hanging="360"/>
      </w:pPr>
      <w:rPr>
        <w:rFonts w:cs="Times New Roman"/>
      </w:rPr>
    </w:lvl>
    <w:lvl w:ilvl="2" w:tplc="0409001B">
      <w:start w:val="1"/>
      <w:numFmt w:val="lowerRoman"/>
      <w:lvlText w:val="%3."/>
      <w:lvlJc w:val="right"/>
      <w:pPr>
        <w:ind w:left="2520" w:hanging="180"/>
      </w:pPr>
      <w:rPr>
        <w:rFonts w:cs="Times New Roman"/>
      </w:rPr>
    </w:lvl>
    <w:lvl w:ilvl="3" w:tplc="0409000F">
      <w:start w:val="1"/>
      <w:numFmt w:val="decimal"/>
      <w:lvlText w:val="%4."/>
      <w:lvlJc w:val="left"/>
      <w:pPr>
        <w:ind w:left="3240" w:hanging="360"/>
      </w:pPr>
      <w:rPr>
        <w:rFonts w:cs="Times New Roman"/>
      </w:rPr>
    </w:lvl>
    <w:lvl w:ilvl="4" w:tplc="04090019">
      <w:start w:val="1"/>
      <w:numFmt w:val="lowerLetter"/>
      <w:lvlText w:val="%5."/>
      <w:lvlJc w:val="left"/>
      <w:pPr>
        <w:ind w:left="3960" w:hanging="360"/>
      </w:pPr>
      <w:rPr>
        <w:rFonts w:cs="Times New Roman"/>
      </w:rPr>
    </w:lvl>
    <w:lvl w:ilvl="5" w:tplc="0409001B">
      <w:start w:val="1"/>
      <w:numFmt w:val="lowerRoman"/>
      <w:lvlText w:val="%6."/>
      <w:lvlJc w:val="right"/>
      <w:pPr>
        <w:ind w:left="4680" w:hanging="180"/>
      </w:pPr>
      <w:rPr>
        <w:rFonts w:cs="Times New Roman"/>
      </w:rPr>
    </w:lvl>
    <w:lvl w:ilvl="6" w:tplc="0409000F">
      <w:start w:val="1"/>
      <w:numFmt w:val="decimal"/>
      <w:lvlText w:val="%7."/>
      <w:lvlJc w:val="left"/>
      <w:pPr>
        <w:ind w:left="5400" w:hanging="360"/>
      </w:pPr>
      <w:rPr>
        <w:rFonts w:cs="Times New Roman"/>
      </w:rPr>
    </w:lvl>
    <w:lvl w:ilvl="7" w:tplc="04090019">
      <w:start w:val="1"/>
      <w:numFmt w:val="lowerLetter"/>
      <w:lvlText w:val="%8."/>
      <w:lvlJc w:val="left"/>
      <w:pPr>
        <w:ind w:left="6120" w:hanging="360"/>
      </w:pPr>
      <w:rPr>
        <w:rFonts w:cs="Times New Roman"/>
      </w:rPr>
    </w:lvl>
    <w:lvl w:ilvl="8" w:tplc="0409001B">
      <w:start w:val="1"/>
      <w:numFmt w:val="lowerRoman"/>
      <w:lvlText w:val="%9."/>
      <w:lvlJc w:val="right"/>
      <w:pPr>
        <w:ind w:left="6840" w:hanging="180"/>
      </w:pPr>
      <w:rPr>
        <w:rFonts w:cs="Times New Roman"/>
      </w:rPr>
    </w:lvl>
  </w:abstractNum>
  <w:abstractNum w:abstractNumId="57">
    <w:nsid w:val="1A60136E"/>
    <w:multiLevelType w:val="multilevel"/>
    <w:tmpl w:val="D7BE53E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8">
    <w:nsid w:val="1B414D0C"/>
    <w:multiLevelType w:val="multilevel"/>
    <w:tmpl w:val="5C4655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9">
    <w:nsid w:val="1BA002E4"/>
    <w:multiLevelType w:val="hybridMultilevel"/>
    <w:tmpl w:val="F148076E"/>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nsid w:val="1BCD3745"/>
    <w:multiLevelType w:val="multilevel"/>
    <w:tmpl w:val="35FE9EC0"/>
    <w:lvl w:ilvl="0">
      <w:start w:val="3"/>
      <w:numFmt w:val="decimal"/>
      <w:lvlText w:val="%1"/>
      <w:lvlJc w:val="left"/>
      <w:pPr>
        <w:ind w:left="360" w:hanging="360"/>
      </w:pPr>
      <w:rPr>
        <w:rFonts w:hint="default"/>
        <w:b w:val="0"/>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61">
    <w:nsid w:val="1BD32451"/>
    <w:multiLevelType w:val="hybridMultilevel"/>
    <w:tmpl w:val="EC2CEFB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2">
    <w:nsid w:val="1BDF7614"/>
    <w:multiLevelType w:val="multilevel"/>
    <w:tmpl w:val="656A0C9C"/>
    <w:lvl w:ilvl="0">
      <w:start w:val="5"/>
      <w:numFmt w:val="decimal"/>
      <w:lvlText w:val="%1"/>
      <w:lvlJc w:val="left"/>
      <w:pPr>
        <w:ind w:left="360" w:hanging="360"/>
      </w:pPr>
      <w:rPr>
        <w:rFonts w:hint="default"/>
      </w:rPr>
    </w:lvl>
    <w:lvl w:ilvl="1">
      <w:start w:val="1"/>
      <w:numFmt w:val="decimal"/>
      <w:lvlText w:val="%1.%2"/>
      <w:lvlJc w:val="left"/>
      <w:pPr>
        <w:ind w:left="1076" w:hanging="360"/>
      </w:pPr>
      <w:rPr>
        <w:rFonts w:hint="default"/>
      </w:rPr>
    </w:lvl>
    <w:lvl w:ilvl="2">
      <w:start w:val="1"/>
      <w:numFmt w:val="decimal"/>
      <w:lvlText w:val="%1.%2.%3"/>
      <w:lvlJc w:val="left"/>
      <w:pPr>
        <w:ind w:left="2152" w:hanging="720"/>
      </w:pPr>
      <w:rPr>
        <w:rFonts w:hint="default"/>
      </w:rPr>
    </w:lvl>
    <w:lvl w:ilvl="3">
      <w:start w:val="1"/>
      <w:numFmt w:val="decimal"/>
      <w:lvlText w:val="%1.%2.%3.%4"/>
      <w:lvlJc w:val="left"/>
      <w:pPr>
        <w:ind w:left="2868" w:hanging="720"/>
      </w:pPr>
      <w:rPr>
        <w:rFonts w:hint="default"/>
      </w:rPr>
    </w:lvl>
    <w:lvl w:ilvl="4">
      <w:start w:val="1"/>
      <w:numFmt w:val="decimal"/>
      <w:lvlText w:val="%1.%2.%3.%4.%5"/>
      <w:lvlJc w:val="left"/>
      <w:pPr>
        <w:ind w:left="3944" w:hanging="1080"/>
      </w:pPr>
      <w:rPr>
        <w:rFonts w:hint="default"/>
      </w:rPr>
    </w:lvl>
    <w:lvl w:ilvl="5">
      <w:start w:val="1"/>
      <w:numFmt w:val="decimal"/>
      <w:lvlText w:val="%1.%2.%3.%4.%5.%6"/>
      <w:lvlJc w:val="left"/>
      <w:pPr>
        <w:ind w:left="4660" w:hanging="1080"/>
      </w:pPr>
      <w:rPr>
        <w:rFonts w:hint="default"/>
      </w:rPr>
    </w:lvl>
    <w:lvl w:ilvl="6">
      <w:start w:val="1"/>
      <w:numFmt w:val="decimal"/>
      <w:lvlText w:val="%1.%2.%3.%4.%5.%6.%7"/>
      <w:lvlJc w:val="left"/>
      <w:pPr>
        <w:ind w:left="5736" w:hanging="1440"/>
      </w:pPr>
      <w:rPr>
        <w:rFonts w:hint="default"/>
      </w:rPr>
    </w:lvl>
    <w:lvl w:ilvl="7">
      <w:start w:val="1"/>
      <w:numFmt w:val="decimal"/>
      <w:lvlText w:val="%1.%2.%3.%4.%5.%6.%7.%8"/>
      <w:lvlJc w:val="left"/>
      <w:pPr>
        <w:ind w:left="6452" w:hanging="1440"/>
      </w:pPr>
      <w:rPr>
        <w:rFonts w:hint="default"/>
      </w:rPr>
    </w:lvl>
    <w:lvl w:ilvl="8">
      <w:start w:val="1"/>
      <w:numFmt w:val="decimal"/>
      <w:lvlText w:val="%1.%2.%3.%4.%5.%6.%7.%8.%9"/>
      <w:lvlJc w:val="left"/>
      <w:pPr>
        <w:ind w:left="7528" w:hanging="1800"/>
      </w:pPr>
      <w:rPr>
        <w:rFonts w:hint="default"/>
      </w:rPr>
    </w:lvl>
  </w:abstractNum>
  <w:abstractNum w:abstractNumId="63">
    <w:nsid w:val="1C133936"/>
    <w:multiLevelType w:val="multilevel"/>
    <w:tmpl w:val="06426BE0"/>
    <w:lvl w:ilvl="0">
      <w:start w:val="5"/>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4">
    <w:nsid w:val="1CFF1212"/>
    <w:multiLevelType w:val="multilevel"/>
    <w:tmpl w:val="D0E6B938"/>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5">
    <w:nsid w:val="1D502BAE"/>
    <w:multiLevelType w:val="hybridMultilevel"/>
    <w:tmpl w:val="D222FBC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6">
    <w:nsid w:val="1D516EA1"/>
    <w:multiLevelType w:val="hybridMultilevel"/>
    <w:tmpl w:val="D9E6D2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nsid w:val="1F675D11"/>
    <w:multiLevelType w:val="multilevel"/>
    <w:tmpl w:val="1A4ACB72"/>
    <w:lvl w:ilvl="0">
      <w:start w:val="2"/>
      <w:numFmt w:val="decimal"/>
      <w:lvlText w:val="%1"/>
      <w:lvlJc w:val="left"/>
      <w:pPr>
        <w:ind w:left="360" w:hanging="360"/>
      </w:pPr>
      <w:rPr>
        <w:rFonts w:hint="default"/>
      </w:rPr>
    </w:lvl>
    <w:lvl w:ilvl="1">
      <w:start w:val="4"/>
      <w:numFmt w:val="decimal"/>
      <w:lvlText w:val="%1.%2"/>
      <w:lvlJc w:val="left"/>
      <w:pPr>
        <w:ind w:left="810" w:hanging="360"/>
      </w:pPr>
      <w:rPr>
        <w:rFonts w:hint="default"/>
      </w:rPr>
    </w:lvl>
    <w:lvl w:ilvl="2">
      <w:start w:val="1"/>
      <w:numFmt w:val="decimal"/>
      <w:lvlText w:val="%1.%2.%3"/>
      <w:lvlJc w:val="left"/>
      <w:pPr>
        <w:ind w:left="1620" w:hanging="720"/>
      </w:pPr>
      <w:rPr>
        <w:rFonts w:hint="default"/>
      </w:rPr>
    </w:lvl>
    <w:lvl w:ilvl="3">
      <w:start w:val="1"/>
      <w:numFmt w:val="decimal"/>
      <w:lvlText w:val="%1.%2.%3.%4"/>
      <w:lvlJc w:val="left"/>
      <w:pPr>
        <w:ind w:left="2070" w:hanging="720"/>
      </w:pPr>
      <w:rPr>
        <w:rFonts w:hint="default"/>
      </w:rPr>
    </w:lvl>
    <w:lvl w:ilvl="4">
      <w:start w:val="1"/>
      <w:numFmt w:val="decimal"/>
      <w:lvlText w:val="%1.%2.%3.%4.%5"/>
      <w:lvlJc w:val="left"/>
      <w:pPr>
        <w:ind w:left="2880" w:hanging="1080"/>
      </w:pPr>
      <w:rPr>
        <w:rFonts w:hint="default"/>
      </w:rPr>
    </w:lvl>
    <w:lvl w:ilvl="5">
      <w:start w:val="1"/>
      <w:numFmt w:val="decimal"/>
      <w:lvlText w:val="%1.%2.%3.%4.%5.%6"/>
      <w:lvlJc w:val="left"/>
      <w:pPr>
        <w:ind w:left="3330" w:hanging="1080"/>
      </w:pPr>
      <w:rPr>
        <w:rFonts w:hint="default"/>
      </w:rPr>
    </w:lvl>
    <w:lvl w:ilvl="6">
      <w:start w:val="1"/>
      <w:numFmt w:val="decimal"/>
      <w:lvlText w:val="%1.%2.%3.%4.%5.%6.%7"/>
      <w:lvlJc w:val="left"/>
      <w:pPr>
        <w:ind w:left="4140" w:hanging="1440"/>
      </w:pPr>
      <w:rPr>
        <w:rFonts w:hint="default"/>
      </w:rPr>
    </w:lvl>
    <w:lvl w:ilvl="7">
      <w:start w:val="1"/>
      <w:numFmt w:val="decimal"/>
      <w:lvlText w:val="%1.%2.%3.%4.%5.%6.%7.%8"/>
      <w:lvlJc w:val="left"/>
      <w:pPr>
        <w:ind w:left="4590" w:hanging="1440"/>
      </w:pPr>
      <w:rPr>
        <w:rFonts w:hint="default"/>
      </w:rPr>
    </w:lvl>
    <w:lvl w:ilvl="8">
      <w:start w:val="1"/>
      <w:numFmt w:val="decimal"/>
      <w:lvlText w:val="%1.%2.%3.%4.%5.%6.%7.%8.%9"/>
      <w:lvlJc w:val="left"/>
      <w:pPr>
        <w:ind w:left="5400" w:hanging="1800"/>
      </w:pPr>
      <w:rPr>
        <w:rFonts w:hint="default"/>
      </w:rPr>
    </w:lvl>
  </w:abstractNum>
  <w:abstractNum w:abstractNumId="68">
    <w:nsid w:val="1F677458"/>
    <w:multiLevelType w:val="multilevel"/>
    <w:tmpl w:val="A99A0F54"/>
    <w:lvl w:ilvl="0">
      <w:start w:val="1"/>
      <w:numFmt w:val="decimal"/>
      <w:lvlText w:val="%1."/>
      <w:lvlJc w:val="left"/>
      <w:pPr>
        <w:tabs>
          <w:tab w:val="num" w:pos="617"/>
        </w:tabs>
        <w:ind w:left="617" w:hanging="437"/>
      </w:pPr>
      <w:rPr>
        <w:rFonts w:hint="default"/>
        <w:b w:val="0"/>
        <w:bCs w:val="0"/>
        <w:i w:val="0"/>
        <w:iCs w:val="0"/>
        <w:caps w:val="0"/>
        <w:strike w:val="0"/>
        <w:dstrike w:val="0"/>
        <w:outline w:val="0"/>
        <w:shadow w:val="0"/>
        <w:emboss w:val="0"/>
        <w:imprint w:val="0"/>
        <w:vanish w:val="0"/>
        <w:sz w:val="22"/>
        <w:szCs w:val="22"/>
        <w:vertAlign w:val="baseline"/>
      </w:rPr>
    </w:lvl>
    <w:lvl w:ilvl="1">
      <w:start w:val="3"/>
      <w:numFmt w:val="decimal"/>
      <w:lvlText w:val="%2."/>
      <w:lvlJc w:val="left"/>
      <w:pPr>
        <w:tabs>
          <w:tab w:val="num" w:pos="792"/>
        </w:tabs>
        <w:ind w:left="792" w:hanging="432"/>
      </w:pPr>
      <w:rPr>
        <w:rFonts w:ascii="Arial" w:hAnsi="Arial" w:cs="Calibri" w:hint="default"/>
        <w:b w:val="0"/>
        <w:bCs w:val="0"/>
        <w:i/>
        <w:iCs w:val="0"/>
        <w:caps w:val="0"/>
        <w:strike w:val="0"/>
        <w:dstrike w:val="0"/>
        <w:shadow w:val="0"/>
        <w:emboss w:val="0"/>
        <w:imprint w:val="0"/>
        <w:vanish w:val="0"/>
        <w:sz w:val="22"/>
        <w:szCs w:val="22"/>
        <w:vertAlign w:val="baseline"/>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69">
    <w:nsid w:val="1FD854B5"/>
    <w:multiLevelType w:val="hybridMultilevel"/>
    <w:tmpl w:val="C6D6B0C8"/>
    <w:lvl w:ilvl="0" w:tplc="08090001">
      <w:start w:val="1"/>
      <w:numFmt w:val="bullet"/>
      <w:lvlText w:val=""/>
      <w:lvlJc w:val="left"/>
      <w:pPr>
        <w:ind w:left="1170" w:hanging="360"/>
      </w:pPr>
      <w:rPr>
        <w:rFonts w:ascii="Symbol" w:hAnsi="Symbol" w:hint="default"/>
      </w:rPr>
    </w:lvl>
    <w:lvl w:ilvl="1" w:tplc="08090003" w:tentative="1">
      <w:start w:val="1"/>
      <w:numFmt w:val="bullet"/>
      <w:lvlText w:val="o"/>
      <w:lvlJc w:val="left"/>
      <w:pPr>
        <w:ind w:left="1890" w:hanging="360"/>
      </w:pPr>
      <w:rPr>
        <w:rFonts w:ascii="Courier New" w:hAnsi="Courier New" w:cs="Courier New" w:hint="default"/>
      </w:rPr>
    </w:lvl>
    <w:lvl w:ilvl="2" w:tplc="08090005" w:tentative="1">
      <w:start w:val="1"/>
      <w:numFmt w:val="bullet"/>
      <w:lvlText w:val=""/>
      <w:lvlJc w:val="left"/>
      <w:pPr>
        <w:ind w:left="2610" w:hanging="360"/>
      </w:pPr>
      <w:rPr>
        <w:rFonts w:ascii="Wingdings" w:hAnsi="Wingdings" w:hint="default"/>
      </w:rPr>
    </w:lvl>
    <w:lvl w:ilvl="3" w:tplc="08090001" w:tentative="1">
      <w:start w:val="1"/>
      <w:numFmt w:val="bullet"/>
      <w:lvlText w:val=""/>
      <w:lvlJc w:val="left"/>
      <w:pPr>
        <w:ind w:left="3330" w:hanging="360"/>
      </w:pPr>
      <w:rPr>
        <w:rFonts w:ascii="Symbol" w:hAnsi="Symbol" w:hint="default"/>
      </w:rPr>
    </w:lvl>
    <w:lvl w:ilvl="4" w:tplc="08090003" w:tentative="1">
      <w:start w:val="1"/>
      <w:numFmt w:val="bullet"/>
      <w:lvlText w:val="o"/>
      <w:lvlJc w:val="left"/>
      <w:pPr>
        <w:ind w:left="4050" w:hanging="360"/>
      </w:pPr>
      <w:rPr>
        <w:rFonts w:ascii="Courier New" w:hAnsi="Courier New" w:cs="Courier New" w:hint="default"/>
      </w:rPr>
    </w:lvl>
    <w:lvl w:ilvl="5" w:tplc="08090005" w:tentative="1">
      <w:start w:val="1"/>
      <w:numFmt w:val="bullet"/>
      <w:lvlText w:val=""/>
      <w:lvlJc w:val="left"/>
      <w:pPr>
        <w:ind w:left="4770" w:hanging="360"/>
      </w:pPr>
      <w:rPr>
        <w:rFonts w:ascii="Wingdings" w:hAnsi="Wingdings" w:hint="default"/>
      </w:rPr>
    </w:lvl>
    <w:lvl w:ilvl="6" w:tplc="08090001" w:tentative="1">
      <w:start w:val="1"/>
      <w:numFmt w:val="bullet"/>
      <w:lvlText w:val=""/>
      <w:lvlJc w:val="left"/>
      <w:pPr>
        <w:ind w:left="5490" w:hanging="360"/>
      </w:pPr>
      <w:rPr>
        <w:rFonts w:ascii="Symbol" w:hAnsi="Symbol" w:hint="default"/>
      </w:rPr>
    </w:lvl>
    <w:lvl w:ilvl="7" w:tplc="08090003" w:tentative="1">
      <w:start w:val="1"/>
      <w:numFmt w:val="bullet"/>
      <w:lvlText w:val="o"/>
      <w:lvlJc w:val="left"/>
      <w:pPr>
        <w:ind w:left="6210" w:hanging="360"/>
      </w:pPr>
      <w:rPr>
        <w:rFonts w:ascii="Courier New" w:hAnsi="Courier New" w:cs="Courier New" w:hint="default"/>
      </w:rPr>
    </w:lvl>
    <w:lvl w:ilvl="8" w:tplc="08090005" w:tentative="1">
      <w:start w:val="1"/>
      <w:numFmt w:val="bullet"/>
      <w:lvlText w:val=""/>
      <w:lvlJc w:val="left"/>
      <w:pPr>
        <w:ind w:left="6930" w:hanging="360"/>
      </w:pPr>
      <w:rPr>
        <w:rFonts w:ascii="Wingdings" w:hAnsi="Wingdings" w:hint="default"/>
      </w:rPr>
    </w:lvl>
  </w:abstractNum>
  <w:abstractNum w:abstractNumId="70">
    <w:nsid w:val="202F75BE"/>
    <w:multiLevelType w:val="multilevel"/>
    <w:tmpl w:val="AE72CA10"/>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71">
    <w:nsid w:val="20800EE5"/>
    <w:multiLevelType w:val="multilevel"/>
    <w:tmpl w:val="EBE0B12E"/>
    <w:lvl w:ilvl="0">
      <w:start w:val="1"/>
      <w:numFmt w:val="decimal"/>
      <w:lvlText w:val="%1."/>
      <w:lvlJc w:val="left"/>
      <w:pPr>
        <w:ind w:left="360" w:hanging="360"/>
      </w:pPr>
      <w:rPr>
        <w:rFonts w:hint="default"/>
      </w:rPr>
    </w:lvl>
    <w:lvl w:ilvl="1">
      <w:start w:val="1"/>
      <w:numFmt w:val="decimal"/>
      <w:lvlText w:val="5.%2."/>
      <w:lvlJc w:val="left"/>
      <w:pPr>
        <w:ind w:left="720" w:hanging="720"/>
      </w:pPr>
      <w:rPr>
        <w:rFonts w:hint="default"/>
        <w:b/>
        <w:lang w:val="en-US"/>
      </w:rPr>
    </w:lvl>
    <w:lvl w:ilvl="2">
      <w:start w:val="1"/>
      <w:numFmt w:val="decimal"/>
      <w:lvlText w:val="5.%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2">
    <w:nsid w:val="20AB7122"/>
    <w:multiLevelType w:val="hybridMultilevel"/>
    <w:tmpl w:val="E8104CF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3">
    <w:nsid w:val="219B7C1A"/>
    <w:multiLevelType w:val="hybridMultilevel"/>
    <w:tmpl w:val="6CCE803A"/>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74">
    <w:nsid w:val="22223AF5"/>
    <w:multiLevelType w:val="multilevel"/>
    <w:tmpl w:val="65E2E594"/>
    <w:lvl w:ilvl="0">
      <w:start w:val="6"/>
      <w:numFmt w:val="decimal"/>
      <w:lvlText w:val="%1"/>
      <w:lvlJc w:val="left"/>
      <w:pPr>
        <w:ind w:left="360" w:hanging="360"/>
      </w:pPr>
      <w:rPr>
        <w:rFonts w:hint="default"/>
      </w:rPr>
    </w:lvl>
    <w:lvl w:ilvl="1">
      <w:start w:val="1"/>
      <w:numFmt w:val="decimal"/>
      <w:lvlText w:val="%1.%2"/>
      <w:lvlJc w:val="left"/>
      <w:pPr>
        <w:ind w:left="907" w:hanging="360"/>
      </w:pPr>
      <w:rPr>
        <w:rFonts w:hint="default"/>
      </w:rPr>
    </w:lvl>
    <w:lvl w:ilvl="2">
      <w:start w:val="1"/>
      <w:numFmt w:val="decimal"/>
      <w:lvlText w:val="%1.%2.%3"/>
      <w:lvlJc w:val="left"/>
      <w:pPr>
        <w:ind w:left="1814" w:hanging="720"/>
      </w:pPr>
      <w:rPr>
        <w:rFonts w:hint="default"/>
      </w:rPr>
    </w:lvl>
    <w:lvl w:ilvl="3">
      <w:start w:val="1"/>
      <w:numFmt w:val="decimal"/>
      <w:lvlText w:val="%1.%2.%3.%4"/>
      <w:lvlJc w:val="left"/>
      <w:pPr>
        <w:ind w:left="2361" w:hanging="720"/>
      </w:pPr>
      <w:rPr>
        <w:rFonts w:hint="default"/>
      </w:rPr>
    </w:lvl>
    <w:lvl w:ilvl="4">
      <w:start w:val="1"/>
      <w:numFmt w:val="decimal"/>
      <w:lvlText w:val="%1.%2.%3.%4.%5"/>
      <w:lvlJc w:val="left"/>
      <w:pPr>
        <w:ind w:left="3268" w:hanging="1080"/>
      </w:pPr>
      <w:rPr>
        <w:rFonts w:hint="default"/>
      </w:rPr>
    </w:lvl>
    <w:lvl w:ilvl="5">
      <w:start w:val="1"/>
      <w:numFmt w:val="decimal"/>
      <w:lvlText w:val="%1.%2.%3.%4.%5.%6"/>
      <w:lvlJc w:val="left"/>
      <w:pPr>
        <w:ind w:left="3815" w:hanging="1080"/>
      </w:pPr>
      <w:rPr>
        <w:rFonts w:hint="default"/>
      </w:rPr>
    </w:lvl>
    <w:lvl w:ilvl="6">
      <w:start w:val="1"/>
      <w:numFmt w:val="decimal"/>
      <w:lvlText w:val="%1.%2.%3.%4.%5.%6.%7"/>
      <w:lvlJc w:val="left"/>
      <w:pPr>
        <w:ind w:left="4722" w:hanging="1440"/>
      </w:pPr>
      <w:rPr>
        <w:rFonts w:hint="default"/>
      </w:rPr>
    </w:lvl>
    <w:lvl w:ilvl="7">
      <w:start w:val="1"/>
      <w:numFmt w:val="decimal"/>
      <w:lvlText w:val="%1.%2.%3.%4.%5.%6.%7.%8"/>
      <w:lvlJc w:val="left"/>
      <w:pPr>
        <w:ind w:left="5269" w:hanging="1440"/>
      </w:pPr>
      <w:rPr>
        <w:rFonts w:hint="default"/>
      </w:rPr>
    </w:lvl>
    <w:lvl w:ilvl="8">
      <w:start w:val="1"/>
      <w:numFmt w:val="decimal"/>
      <w:lvlText w:val="%1.%2.%3.%4.%5.%6.%7.%8.%9"/>
      <w:lvlJc w:val="left"/>
      <w:pPr>
        <w:ind w:left="6176" w:hanging="1800"/>
      </w:pPr>
      <w:rPr>
        <w:rFonts w:hint="default"/>
      </w:rPr>
    </w:lvl>
  </w:abstractNum>
  <w:abstractNum w:abstractNumId="75">
    <w:nsid w:val="224D1DFA"/>
    <w:multiLevelType w:val="multilevel"/>
    <w:tmpl w:val="9096535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6">
    <w:nsid w:val="233A13AD"/>
    <w:multiLevelType w:val="multilevel"/>
    <w:tmpl w:val="5B38D418"/>
    <w:lvl w:ilvl="0">
      <w:start w:val="3"/>
      <w:numFmt w:val="decimal"/>
      <w:lvlText w:val="%1"/>
      <w:lvlJc w:val="left"/>
      <w:pPr>
        <w:ind w:left="360" w:hanging="360"/>
      </w:pPr>
      <w:rPr>
        <w:rFonts w:hint="default"/>
      </w:rPr>
    </w:lvl>
    <w:lvl w:ilvl="1">
      <w:start w:val="1"/>
      <w:numFmt w:val="decimal"/>
      <w:lvlText w:val="%1.%2"/>
      <w:lvlJc w:val="left"/>
      <w:pPr>
        <w:ind w:left="645" w:hanging="360"/>
      </w:pPr>
      <w:rPr>
        <w:rFonts w:hint="default"/>
        <w:b/>
      </w:rPr>
    </w:lvl>
    <w:lvl w:ilvl="2">
      <w:start w:val="1"/>
      <w:numFmt w:val="decimal"/>
      <w:lvlText w:val="%1.%2.%3"/>
      <w:lvlJc w:val="left"/>
      <w:pPr>
        <w:ind w:left="1290" w:hanging="720"/>
      </w:pPr>
      <w:rPr>
        <w:rFonts w:hint="default"/>
        <w:b/>
      </w:rPr>
    </w:lvl>
    <w:lvl w:ilvl="3">
      <w:start w:val="1"/>
      <w:numFmt w:val="decimal"/>
      <w:lvlText w:val="%1.%2.%3.%4"/>
      <w:lvlJc w:val="left"/>
      <w:pPr>
        <w:ind w:left="1575" w:hanging="720"/>
      </w:pPr>
      <w:rPr>
        <w:rFonts w:hint="default"/>
      </w:rPr>
    </w:lvl>
    <w:lvl w:ilvl="4">
      <w:start w:val="1"/>
      <w:numFmt w:val="decimal"/>
      <w:lvlText w:val="%1.%2.%3.%4.%5"/>
      <w:lvlJc w:val="left"/>
      <w:pPr>
        <w:ind w:left="2220" w:hanging="1080"/>
      </w:pPr>
      <w:rPr>
        <w:rFonts w:hint="default"/>
      </w:rPr>
    </w:lvl>
    <w:lvl w:ilvl="5">
      <w:start w:val="1"/>
      <w:numFmt w:val="decimal"/>
      <w:lvlText w:val="%1.%2.%3.%4.%5.%6"/>
      <w:lvlJc w:val="left"/>
      <w:pPr>
        <w:ind w:left="2505" w:hanging="1080"/>
      </w:pPr>
      <w:rPr>
        <w:rFonts w:hint="default"/>
      </w:rPr>
    </w:lvl>
    <w:lvl w:ilvl="6">
      <w:start w:val="1"/>
      <w:numFmt w:val="decimal"/>
      <w:lvlText w:val="%1.%2.%3.%4.%5.%6.%7"/>
      <w:lvlJc w:val="left"/>
      <w:pPr>
        <w:ind w:left="3150" w:hanging="1440"/>
      </w:pPr>
      <w:rPr>
        <w:rFonts w:hint="default"/>
      </w:rPr>
    </w:lvl>
    <w:lvl w:ilvl="7">
      <w:start w:val="1"/>
      <w:numFmt w:val="decimal"/>
      <w:lvlText w:val="%1.%2.%3.%4.%5.%6.%7.%8"/>
      <w:lvlJc w:val="left"/>
      <w:pPr>
        <w:ind w:left="3435" w:hanging="1440"/>
      </w:pPr>
      <w:rPr>
        <w:rFonts w:hint="default"/>
      </w:rPr>
    </w:lvl>
    <w:lvl w:ilvl="8">
      <w:start w:val="1"/>
      <w:numFmt w:val="decimal"/>
      <w:lvlText w:val="%1.%2.%3.%4.%5.%6.%7.%8.%9"/>
      <w:lvlJc w:val="left"/>
      <w:pPr>
        <w:ind w:left="4080" w:hanging="1800"/>
      </w:pPr>
      <w:rPr>
        <w:rFonts w:hint="default"/>
      </w:rPr>
    </w:lvl>
  </w:abstractNum>
  <w:abstractNum w:abstractNumId="77">
    <w:nsid w:val="23716912"/>
    <w:multiLevelType w:val="multilevel"/>
    <w:tmpl w:val="B556330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8">
    <w:nsid w:val="24B27378"/>
    <w:multiLevelType w:val="hybridMultilevel"/>
    <w:tmpl w:val="01B6EC7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79">
    <w:nsid w:val="24C603ED"/>
    <w:multiLevelType w:val="hybridMultilevel"/>
    <w:tmpl w:val="5D2E0B1A"/>
    <w:lvl w:ilvl="0" w:tplc="3050E3D0">
      <w:start w:val="1"/>
      <w:numFmt w:val="decimal"/>
      <w:lvlText w:val="3.%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25607C99"/>
    <w:multiLevelType w:val="hybridMultilevel"/>
    <w:tmpl w:val="416E62C8"/>
    <w:lvl w:ilvl="0" w:tplc="04090001">
      <w:start w:val="1"/>
      <w:numFmt w:val="bullet"/>
      <w:lvlText w:val=""/>
      <w:lvlJc w:val="left"/>
      <w:pPr>
        <w:ind w:left="1170" w:hanging="360"/>
      </w:pPr>
      <w:rPr>
        <w:rFonts w:ascii="Symbol" w:hAnsi="Symbol" w:hint="default"/>
      </w:rPr>
    </w:lvl>
    <w:lvl w:ilvl="1" w:tplc="08160003" w:tentative="1">
      <w:start w:val="1"/>
      <w:numFmt w:val="bullet"/>
      <w:lvlText w:val="o"/>
      <w:lvlJc w:val="left"/>
      <w:pPr>
        <w:ind w:left="1890" w:hanging="360"/>
      </w:pPr>
      <w:rPr>
        <w:rFonts w:ascii="Courier New" w:hAnsi="Courier New" w:cs="Courier New" w:hint="default"/>
      </w:rPr>
    </w:lvl>
    <w:lvl w:ilvl="2" w:tplc="08160005" w:tentative="1">
      <w:start w:val="1"/>
      <w:numFmt w:val="bullet"/>
      <w:lvlText w:val=""/>
      <w:lvlJc w:val="left"/>
      <w:pPr>
        <w:ind w:left="2610" w:hanging="360"/>
      </w:pPr>
      <w:rPr>
        <w:rFonts w:ascii="Wingdings" w:hAnsi="Wingdings" w:hint="default"/>
      </w:rPr>
    </w:lvl>
    <w:lvl w:ilvl="3" w:tplc="08160001" w:tentative="1">
      <w:start w:val="1"/>
      <w:numFmt w:val="bullet"/>
      <w:lvlText w:val=""/>
      <w:lvlJc w:val="left"/>
      <w:pPr>
        <w:ind w:left="3330" w:hanging="360"/>
      </w:pPr>
      <w:rPr>
        <w:rFonts w:ascii="Symbol" w:hAnsi="Symbol" w:hint="default"/>
      </w:rPr>
    </w:lvl>
    <w:lvl w:ilvl="4" w:tplc="08160003" w:tentative="1">
      <w:start w:val="1"/>
      <w:numFmt w:val="bullet"/>
      <w:lvlText w:val="o"/>
      <w:lvlJc w:val="left"/>
      <w:pPr>
        <w:ind w:left="4050" w:hanging="360"/>
      </w:pPr>
      <w:rPr>
        <w:rFonts w:ascii="Courier New" w:hAnsi="Courier New" w:cs="Courier New" w:hint="default"/>
      </w:rPr>
    </w:lvl>
    <w:lvl w:ilvl="5" w:tplc="08160005" w:tentative="1">
      <w:start w:val="1"/>
      <w:numFmt w:val="bullet"/>
      <w:lvlText w:val=""/>
      <w:lvlJc w:val="left"/>
      <w:pPr>
        <w:ind w:left="4770" w:hanging="360"/>
      </w:pPr>
      <w:rPr>
        <w:rFonts w:ascii="Wingdings" w:hAnsi="Wingdings" w:hint="default"/>
      </w:rPr>
    </w:lvl>
    <w:lvl w:ilvl="6" w:tplc="08160001" w:tentative="1">
      <w:start w:val="1"/>
      <w:numFmt w:val="bullet"/>
      <w:lvlText w:val=""/>
      <w:lvlJc w:val="left"/>
      <w:pPr>
        <w:ind w:left="5490" w:hanging="360"/>
      </w:pPr>
      <w:rPr>
        <w:rFonts w:ascii="Symbol" w:hAnsi="Symbol" w:hint="default"/>
      </w:rPr>
    </w:lvl>
    <w:lvl w:ilvl="7" w:tplc="08160003" w:tentative="1">
      <w:start w:val="1"/>
      <w:numFmt w:val="bullet"/>
      <w:lvlText w:val="o"/>
      <w:lvlJc w:val="left"/>
      <w:pPr>
        <w:ind w:left="6210" w:hanging="360"/>
      </w:pPr>
      <w:rPr>
        <w:rFonts w:ascii="Courier New" w:hAnsi="Courier New" w:cs="Courier New" w:hint="default"/>
      </w:rPr>
    </w:lvl>
    <w:lvl w:ilvl="8" w:tplc="08160005" w:tentative="1">
      <w:start w:val="1"/>
      <w:numFmt w:val="bullet"/>
      <w:lvlText w:val=""/>
      <w:lvlJc w:val="left"/>
      <w:pPr>
        <w:ind w:left="6930" w:hanging="360"/>
      </w:pPr>
      <w:rPr>
        <w:rFonts w:ascii="Wingdings" w:hAnsi="Wingdings" w:hint="default"/>
      </w:rPr>
    </w:lvl>
  </w:abstractNum>
  <w:abstractNum w:abstractNumId="81">
    <w:nsid w:val="26472C6D"/>
    <w:multiLevelType w:val="hybridMultilevel"/>
    <w:tmpl w:val="345ACC62"/>
    <w:lvl w:ilvl="0" w:tplc="04090001">
      <w:start w:val="1"/>
      <w:numFmt w:val="bullet"/>
      <w:lvlText w:val=""/>
      <w:lvlJc w:val="left"/>
      <w:pPr>
        <w:ind w:left="1996" w:hanging="360"/>
      </w:pPr>
      <w:rPr>
        <w:rFonts w:ascii="Symbol" w:hAnsi="Symbol" w:hint="default"/>
      </w:rPr>
    </w:lvl>
    <w:lvl w:ilvl="1" w:tplc="04090003" w:tentative="1">
      <w:start w:val="1"/>
      <w:numFmt w:val="bullet"/>
      <w:lvlText w:val="o"/>
      <w:lvlJc w:val="left"/>
      <w:pPr>
        <w:ind w:left="2716" w:hanging="360"/>
      </w:pPr>
      <w:rPr>
        <w:rFonts w:ascii="Courier New" w:hAnsi="Courier New" w:cs="Courier New" w:hint="default"/>
      </w:rPr>
    </w:lvl>
    <w:lvl w:ilvl="2" w:tplc="04090005" w:tentative="1">
      <w:start w:val="1"/>
      <w:numFmt w:val="bullet"/>
      <w:lvlText w:val=""/>
      <w:lvlJc w:val="left"/>
      <w:pPr>
        <w:ind w:left="3436" w:hanging="360"/>
      </w:pPr>
      <w:rPr>
        <w:rFonts w:ascii="Wingdings" w:hAnsi="Wingdings" w:hint="default"/>
      </w:rPr>
    </w:lvl>
    <w:lvl w:ilvl="3" w:tplc="04090001" w:tentative="1">
      <w:start w:val="1"/>
      <w:numFmt w:val="bullet"/>
      <w:lvlText w:val=""/>
      <w:lvlJc w:val="left"/>
      <w:pPr>
        <w:ind w:left="4156" w:hanging="360"/>
      </w:pPr>
      <w:rPr>
        <w:rFonts w:ascii="Symbol" w:hAnsi="Symbol" w:hint="default"/>
      </w:rPr>
    </w:lvl>
    <w:lvl w:ilvl="4" w:tplc="04090003" w:tentative="1">
      <w:start w:val="1"/>
      <w:numFmt w:val="bullet"/>
      <w:lvlText w:val="o"/>
      <w:lvlJc w:val="left"/>
      <w:pPr>
        <w:ind w:left="4876" w:hanging="360"/>
      </w:pPr>
      <w:rPr>
        <w:rFonts w:ascii="Courier New" w:hAnsi="Courier New" w:cs="Courier New" w:hint="default"/>
      </w:rPr>
    </w:lvl>
    <w:lvl w:ilvl="5" w:tplc="04090005" w:tentative="1">
      <w:start w:val="1"/>
      <w:numFmt w:val="bullet"/>
      <w:lvlText w:val=""/>
      <w:lvlJc w:val="left"/>
      <w:pPr>
        <w:ind w:left="5596" w:hanging="360"/>
      </w:pPr>
      <w:rPr>
        <w:rFonts w:ascii="Wingdings" w:hAnsi="Wingdings" w:hint="default"/>
      </w:rPr>
    </w:lvl>
    <w:lvl w:ilvl="6" w:tplc="04090001" w:tentative="1">
      <w:start w:val="1"/>
      <w:numFmt w:val="bullet"/>
      <w:lvlText w:val=""/>
      <w:lvlJc w:val="left"/>
      <w:pPr>
        <w:ind w:left="6316" w:hanging="360"/>
      </w:pPr>
      <w:rPr>
        <w:rFonts w:ascii="Symbol" w:hAnsi="Symbol" w:hint="default"/>
      </w:rPr>
    </w:lvl>
    <w:lvl w:ilvl="7" w:tplc="04090003" w:tentative="1">
      <w:start w:val="1"/>
      <w:numFmt w:val="bullet"/>
      <w:lvlText w:val="o"/>
      <w:lvlJc w:val="left"/>
      <w:pPr>
        <w:ind w:left="7036" w:hanging="360"/>
      </w:pPr>
      <w:rPr>
        <w:rFonts w:ascii="Courier New" w:hAnsi="Courier New" w:cs="Courier New" w:hint="default"/>
      </w:rPr>
    </w:lvl>
    <w:lvl w:ilvl="8" w:tplc="04090005" w:tentative="1">
      <w:start w:val="1"/>
      <w:numFmt w:val="bullet"/>
      <w:lvlText w:val=""/>
      <w:lvlJc w:val="left"/>
      <w:pPr>
        <w:ind w:left="7756" w:hanging="360"/>
      </w:pPr>
      <w:rPr>
        <w:rFonts w:ascii="Wingdings" w:hAnsi="Wingdings" w:hint="default"/>
      </w:rPr>
    </w:lvl>
  </w:abstractNum>
  <w:abstractNum w:abstractNumId="82">
    <w:nsid w:val="269B3600"/>
    <w:multiLevelType w:val="hybridMultilevel"/>
    <w:tmpl w:val="ECB45330"/>
    <w:lvl w:ilvl="0" w:tplc="D7126ADE">
      <w:start w:val="1"/>
      <w:numFmt w:val="decimal"/>
      <w:lvlText w:val="4.%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26CF1031"/>
    <w:multiLevelType w:val="multilevel"/>
    <w:tmpl w:val="696A8616"/>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4">
    <w:nsid w:val="26F1129B"/>
    <w:multiLevelType w:val="multilevel"/>
    <w:tmpl w:val="03E6D136"/>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5">
    <w:nsid w:val="270C230F"/>
    <w:multiLevelType w:val="hybridMultilevel"/>
    <w:tmpl w:val="ACD05400"/>
    <w:lvl w:ilvl="0" w:tplc="0409000F">
      <w:start w:val="1"/>
      <w:numFmt w:val="decimal"/>
      <w:lvlText w:val="%1."/>
      <w:lvlJc w:val="left"/>
      <w:pPr>
        <w:ind w:left="720" w:hanging="360"/>
      </w:pPr>
      <w:rPr>
        <w:rFonts w:cs="Times New Roman"/>
      </w:rPr>
    </w:lvl>
    <w:lvl w:ilvl="1" w:tplc="155839A4">
      <w:start w:val="1"/>
      <w:numFmt w:val="lowerLetter"/>
      <w:lvlText w:val="%2."/>
      <w:lvlJc w:val="left"/>
      <w:pPr>
        <w:tabs>
          <w:tab w:val="num" w:pos="1440"/>
        </w:tabs>
        <w:ind w:left="1440" w:hanging="360"/>
      </w:pPr>
      <w:rPr>
        <w:rFonts w:hint="default"/>
        <w:i w:val="0"/>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6">
    <w:nsid w:val="27471880"/>
    <w:multiLevelType w:val="hybridMultilevel"/>
    <w:tmpl w:val="16AE8B26"/>
    <w:lvl w:ilvl="0" w:tplc="0409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87">
    <w:nsid w:val="282439A6"/>
    <w:multiLevelType w:val="hybridMultilevel"/>
    <w:tmpl w:val="AC3E46E2"/>
    <w:lvl w:ilvl="0" w:tplc="AB2418A6">
      <w:start w:val="1"/>
      <w:numFmt w:val="decimal"/>
      <w:lvlText w:val="4.5.%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289A5B92"/>
    <w:multiLevelType w:val="multilevel"/>
    <w:tmpl w:val="2176176E"/>
    <w:lvl w:ilvl="0">
      <w:start w:val="2"/>
      <w:numFmt w:val="decimal"/>
      <w:lvlText w:val="%1"/>
      <w:lvlJc w:val="left"/>
      <w:pPr>
        <w:ind w:left="360" w:hanging="360"/>
      </w:pPr>
      <w:rPr>
        <w:rFonts w:hint="default"/>
        <w:b w:val="0"/>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89">
    <w:nsid w:val="28B31EA2"/>
    <w:multiLevelType w:val="hybridMultilevel"/>
    <w:tmpl w:val="E9A4DCA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90">
    <w:nsid w:val="28B322EB"/>
    <w:multiLevelType w:val="multilevel"/>
    <w:tmpl w:val="8AE63FB0"/>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1">
    <w:nsid w:val="2A3C7EAD"/>
    <w:multiLevelType w:val="hybridMultilevel"/>
    <w:tmpl w:val="61F8E200"/>
    <w:lvl w:ilvl="0" w:tplc="AB743160">
      <w:start w:val="1"/>
      <w:numFmt w:val="decimal"/>
      <w:lvlText w:val="2.3.%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2A401703"/>
    <w:multiLevelType w:val="multilevel"/>
    <w:tmpl w:val="0B34110A"/>
    <w:lvl w:ilvl="0">
      <w:start w:val="5"/>
      <w:numFmt w:val="decimal"/>
      <w:lvlText w:val="%1"/>
      <w:lvlJc w:val="left"/>
      <w:pPr>
        <w:ind w:left="360" w:hanging="360"/>
      </w:pPr>
      <w:rPr>
        <w:rFonts w:hint="default"/>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93">
    <w:nsid w:val="2A640575"/>
    <w:multiLevelType w:val="multilevel"/>
    <w:tmpl w:val="38405B28"/>
    <w:lvl w:ilvl="0">
      <w:start w:val="5"/>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94">
    <w:nsid w:val="2AE12397"/>
    <w:multiLevelType w:val="hybridMultilevel"/>
    <w:tmpl w:val="C0F87AE0"/>
    <w:lvl w:ilvl="0" w:tplc="7188FB24">
      <w:start w:val="1"/>
      <w:numFmt w:val="decimal"/>
      <w:lvlText w:val="2.%1."/>
      <w:lvlJc w:val="left"/>
      <w:pPr>
        <w:ind w:left="72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nsid w:val="2B1503E1"/>
    <w:multiLevelType w:val="multilevel"/>
    <w:tmpl w:val="2268329E"/>
    <w:lvl w:ilvl="0">
      <w:start w:val="2"/>
      <w:numFmt w:val="decimal"/>
      <w:lvlText w:val="%1."/>
      <w:lvlJc w:val="left"/>
      <w:pPr>
        <w:tabs>
          <w:tab w:val="num" w:pos="357"/>
        </w:tabs>
        <w:ind w:left="357" w:hanging="357"/>
      </w:pPr>
      <w:rPr>
        <w:rFonts w:ascii="Arial" w:hAnsi="Arial" w:cs="Calibri" w:hint="default"/>
        <w:b w:val="0"/>
        <w:bCs w:val="0"/>
        <w:i w:val="0"/>
        <w:iCs w:val="0"/>
        <w:caps w:val="0"/>
        <w:strike w:val="0"/>
        <w:dstrike w:val="0"/>
        <w:outline w:val="0"/>
        <w:shadow w:val="0"/>
        <w:emboss w:val="0"/>
        <w:imprint w:val="0"/>
        <w:vanish w:val="0"/>
        <w:sz w:val="22"/>
        <w:szCs w:val="22"/>
        <w:vertAlign w:val="baseline"/>
      </w:rPr>
    </w:lvl>
    <w:lvl w:ilvl="1">
      <w:start w:val="1"/>
      <w:numFmt w:val="decimal"/>
      <w:lvlText w:val="%2."/>
      <w:lvlJc w:val="left"/>
      <w:pPr>
        <w:tabs>
          <w:tab w:val="num" w:pos="612"/>
        </w:tabs>
        <w:ind w:left="612" w:hanging="432"/>
      </w:pPr>
      <w:rPr>
        <w:rFonts w:hint="default"/>
        <w:b w:val="0"/>
        <w:bCs w:val="0"/>
        <w:i w:val="0"/>
        <w:iCs w:val="0"/>
        <w:caps w:val="0"/>
        <w:strike w:val="0"/>
        <w:dstrike w:val="0"/>
        <w:shadow w:val="0"/>
        <w:emboss w:val="0"/>
        <w:imprint w:val="0"/>
        <w:vanish w:val="0"/>
        <w:sz w:val="22"/>
        <w:szCs w:val="22"/>
        <w:vertAlign w:val="baseline"/>
      </w:rPr>
    </w:lvl>
    <w:lvl w:ilvl="2">
      <w:start w:val="1"/>
      <w:numFmt w:val="decimal"/>
      <w:lvlText w:val="%1.%2.%3."/>
      <w:lvlJc w:val="left"/>
      <w:pPr>
        <w:tabs>
          <w:tab w:val="num" w:pos="1440"/>
        </w:tabs>
        <w:ind w:left="1224" w:hanging="504"/>
      </w:pPr>
      <w:rPr>
        <w:rFonts w:cs="Times New Roman Bold" w:hint="default"/>
      </w:rPr>
    </w:lvl>
    <w:lvl w:ilvl="3">
      <w:start w:val="1"/>
      <w:numFmt w:val="decimal"/>
      <w:lvlText w:val="%1.%2.%3.%4."/>
      <w:lvlJc w:val="left"/>
      <w:pPr>
        <w:tabs>
          <w:tab w:val="num" w:pos="2160"/>
        </w:tabs>
        <w:ind w:left="1728" w:hanging="648"/>
      </w:pPr>
      <w:rPr>
        <w:rFonts w:cs="Times New Roman Bold" w:hint="default"/>
      </w:rPr>
    </w:lvl>
    <w:lvl w:ilvl="4">
      <w:start w:val="1"/>
      <w:numFmt w:val="decimal"/>
      <w:lvlText w:val="%1.%2.%3.%4.%5."/>
      <w:lvlJc w:val="left"/>
      <w:pPr>
        <w:tabs>
          <w:tab w:val="num" w:pos="2520"/>
        </w:tabs>
        <w:ind w:left="2232" w:hanging="792"/>
      </w:pPr>
      <w:rPr>
        <w:rFonts w:cs="Times New Roman Bold" w:hint="default"/>
      </w:rPr>
    </w:lvl>
    <w:lvl w:ilvl="5">
      <w:start w:val="1"/>
      <w:numFmt w:val="decimal"/>
      <w:lvlText w:val="%1.%2.%3.%4.%5.%6."/>
      <w:lvlJc w:val="left"/>
      <w:pPr>
        <w:tabs>
          <w:tab w:val="num" w:pos="3240"/>
        </w:tabs>
        <w:ind w:left="2736" w:hanging="936"/>
      </w:pPr>
      <w:rPr>
        <w:rFonts w:cs="Times New Roman Bold" w:hint="default"/>
      </w:rPr>
    </w:lvl>
    <w:lvl w:ilvl="6">
      <w:start w:val="1"/>
      <w:numFmt w:val="decimal"/>
      <w:lvlText w:val="%1.%2.%3.%4.%5.%6.%7."/>
      <w:lvlJc w:val="left"/>
      <w:pPr>
        <w:tabs>
          <w:tab w:val="num" w:pos="3600"/>
        </w:tabs>
        <w:ind w:left="3240" w:hanging="1080"/>
      </w:pPr>
      <w:rPr>
        <w:rFonts w:cs="Times New Roman Bold" w:hint="default"/>
      </w:rPr>
    </w:lvl>
    <w:lvl w:ilvl="7">
      <w:start w:val="1"/>
      <w:numFmt w:val="decimal"/>
      <w:lvlText w:val="%1.%2.%3.%4.%5.%6.%7.%8."/>
      <w:lvlJc w:val="left"/>
      <w:pPr>
        <w:tabs>
          <w:tab w:val="num" w:pos="4320"/>
        </w:tabs>
        <w:ind w:left="3744" w:hanging="1224"/>
      </w:pPr>
      <w:rPr>
        <w:rFonts w:cs="Times New Roman Bold" w:hint="default"/>
      </w:rPr>
    </w:lvl>
    <w:lvl w:ilvl="8">
      <w:start w:val="1"/>
      <w:numFmt w:val="decimal"/>
      <w:lvlText w:val="%1.%2.%3.%4.%5.%6.%7.%8.%9."/>
      <w:lvlJc w:val="left"/>
      <w:pPr>
        <w:tabs>
          <w:tab w:val="num" w:pos="5040"/>
        </w:tabs>
        <w:ind w:left="4320" w:hanging="1440"/>
      </w:pPr>
      <w:rPr>
        <w:rFonts w:cs="Times New Roman Bold" w:hint="default"/>
      </w:rPr>
    </w:lvl>
  </w:abstractNum>
  <w:abstractNum w:abstractNumId="96">
    <w:nsid w:val="2B727954"/>
    <w:multiLevelType w:val="multilevel"/>
    <w:tmpl w:val="C90ECDA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7">
    <w:nsid w:val="2B9D7368"/>
    <w:multiLevelType w:val="hybridMultilevel"/>
    <w:tmpl w:val="0AD4DFFA"/>
    <w:lvl w:ilvl="0" w:tplc="FC9A2820">
      <w:start w:val="1"/>
      <w:numFmt w:val="decimal"/>
      <w:lvlText w:val="4.3.%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2B9E1746"/>
    <w:multiLevelType w:val="hybridMultilevel"/>
    <w:tmpl w:val="12886638"/>
    <w:lvl w:ilvl="0" w:tplc="0409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hint="default"/>
      </w:rPr>
    </w:lvl>
    <w:lvl w:ilvl="2" w:tplc="08090003">
      <w:start w:val="1"/>
      <w:numFmt w:val="bullet"/>
      <w:lvlText w:val="o"/>
      <w:lvlJc w:val="left"/>
      <w:pPr>
        <w:tabs>
          <w:tab w:val="num" w:pos="2160"/>
        </w:tabs>
        <w:ind w:left="2160" w:hanging="360"/>
      </w:pPr>
      <w:rPr>
        <w:rFonts w:ascii="Courier New" w:hAnsi="Courier New" w:cs="Courier New"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99">
    <w:nsid w:val="2CD4787A"/>
    <w:multiLevelType w:val="hybridMultilevel"/>
    <w:tmpl w:val="438CBF4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100">
    <w:nsid w:val="2DC22BB6"/>
    <w:multiLevelType w:val="multilevel"/>
    <w:tmpl w:val="0D3C052E"/>
    <w:lvl w:ilvl="0">
      <w:start w:val="4"/>
      <w:numFmt w:val="decimal"/>
      <w:lvlText w:val="%1"/>
      <w:lvlJc w:val="left"/>
      <w:pPr>
        <w:ind w:left="360" w:hanging="360"/>
      </w:pPr>
      <w:rPr>
        <w:rFonts w:hint="default"/>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01">
    <w:nsid w:val="2E0105E3"/>
    <w:multiLevelType w:val="multilevel"/>
    <w:tmpl w:val="26562034"/>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2">
    <w:nsid w:val="2E426432"/>
    <w:multiLevelType w:val="multilevel"/>
    <w:tmpl w:val="2B92FABA"/>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3">
    <w:nsid w:val="2E633A38"/>
    <w:multiLevelType w:val="multilevel"/>
    <w:tmpl w:val="60F06B74"/>
    <w:lvl w:ilvl="0">
      <w:start w:val="7"/>
      <w:numFmt w:val="decimal"/>
      <w:lvlText w:val="%1"/>
      <w:lvlJc w:val="left"/>
      <w:pPr>
        <w:ind w:left="360" w:hanging="360"/>
      </w:pPr>
      <w:rPr>
        <w:rFonts w:hint="default"/>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04">
    <w:nsid w:val="2EAB091C"/>
    <w:multiLevelType w:val="hybridMultilevel"/>
    <w:tmpl w:val="4ADC346A"/>
    <w:lvl w:ilvl="0" w:tplc="08090001">
      <w:start w:val="1"/>
      <w:numFmt w:val="bullet"/>
      <w:lvlText w:val=""/>
      <w:lvlJc w:val="left"/>
      <w:pPr>
        <w:ind w:left="1485" w:hanging="360"/>
      </w:pPr>
      <w:rPr>
        <w:rFonts w:ascii="Symbol" w:hAnsi="Symbol" w:hint="default"/>
      </w:rPr>
    </w:lvl>
    <w:lvl w:ilvl="1" w:tplc="08090003" w:tentative="1">
      <w:start w:val="1"/>
      <w:numFmt w:val="bullet"/>
      <w:lvlText w:val="o"/>
      <w:lvlJc w:val="left"/>
      <w:pPr>
        <w:ind w:left="2205" w:hanging="360"/>
      </w:pPr>
      <w:rPr>
        <w:rFonts w:ascii="Courier New" w:hAnsi="Courier New" w:cs="Courier New" w:hint="default"/>
      </w:rPr>
    </w:lvl>
    <w:lvl w:ilvl="2" w:tplc="08090005" w:tentative="1">
      <w:start w:val="1"/>
      <w:numFmt w:val="bullet"/>
      <w:lvlText w:val=""/>
      <w:lvlJc w:val="left"/>
      <w:pPr>
        <w:ind w:left="2925" w:hanging="360"/>
      </w:pPr>
      <w:rPr>
        <w:rFonts w:ascii="Wingdings" w:hAnsi="Wingdings" w:hint="default"/>
      </w:rPr>
    </w:lvl>
    <w:lvl w:ilvl="3" w:tplc="08090001" w:tentative="1">
      <w:start w:val="1"/>
      <w:numFmt w:val="bullet"/>
      <w:lvlText w:val=""/>
      <w:lvlJc w:val="left"/>
      <w:pPr>
        <w:ind w:left="3645" w:hanging="360"/>
      </w:pPr>
      <w:rPr>
        <w:rFonts w:ascii="Symbol" w:hAnsi="Symbol" w:hint="default"/>
      </w:rPr>
    </w:lvl>
    <w:lvl w:ilvl="4" w:tplc="08090003" w:tentative="1">
      <w:start w:val="1"/>
      <w:numFmt w:val="bullet"/>
      <w:lvlText w:val="o"/>
      <w:lvlJc w:val="left"/>
      <w:pPr>
        <w:ind w:left="4365" w:hanging="360"/>
      </w:pPr>
      <w:rPr>
        <w:rFonts w:ascii="Courier New" w:hAnsi="Courier New" w:cs="Courier New" w:hint="default"/>
      </w:rPr>
    </w:lvl>
    <w:lvl w:ilvl="5" w:tplc="08090005" w:tentative="1">
      <w:start w:val="1"/>
      <w:numFmt w:val="bullet"/>
      <w:lvlText w:val=""/>
      <w:lvlJc w:val="left"/>
      <w:pPr>
        <w:ind w:left="5085" w:hanging="360"/>
      </w:pPr>
      <w:rPr>
        <w:rFonts w:ascii="Wingdings" w:hAnsi="Wingdings" w:hint="default"/>
      </w:rPr>
    </w:lvl>
    <w:lvl w:ilvl="6" w:tplc="08090001" w:tentative="1">
      <w:start w:val="1"/>
      <w:numFmt w:val="bullet"/>
      <w:lvlText w:val=""/>
      <w:lvlJc w:val="left"/>
      <w:pPr>
        <w:ind w:left="5805" w:hanging="360"/>
      </w:pPr>
      <w:rPr>
        <w:rFonts w:ascii="Symbol" w:hAnsi="Symbol" w:hint="default"/>
      </w:rPr>
    </w:lvl>
    <w:lvl w:ilvl="7" w:tplc="08090003" w:tentative="1">
      <w:start w:val="1"/>
      <w:numFmt w:val="bullet"/>
      <w:lvlText w:val="o"/>
      <w:lvlJc w:val="left"/>
      <w:pPr>
        <w:ind w:left="6525" w:hanging="360"/>
      </w:pPr>
      <w:rPr>
        <w:rFonts w:ascii="Courier New" w:hAnsi="Courier New" w:cs="Courier New" w:hint="default"/>
      </w:rPr>
    </w:lvl>
    <w:lvl w:ilvl="8" w:tplc="08090005" w:tentative="1">
      <w:start w:val="1"/>
      <w:numFmt w:val="bullet"/>
      <w:lvlText w:val=""/>
      <w:lvlJc w:val="left"/>
      <w:pPr>
        <w:ind w:left="7245" w:hanging="360"/>
      </w:pPr>
      <w:rPr>
        <w:rFonts w:ascii="Wingdings" w:hAnsi="Wingdings" w:hint="default"/>
      </w:rPr>
    </w:lvl>
  </w:abstractNum>
  <w:abstractNum w:abstractNumId="105">
    <w:nsid w:val="2EDD1642"/>
    <w:multiLevelType w:val="hybridMultilevel"/>
    <w:tmpl w:val="E834A026"/>
    <w:lvl w:ilvl="0" w:tplc="04090001">
      <w:start w:val="1"/>
      <w:numFmt w:val="bullet"/>
      <w:lvlText w:val=""/>
      <w:lvlJc w:val="left"/>
      <w:pPr>
        <w:ind w:left="720" w:hanging="360"/>
      </w:pPr>
      <w:rPr>
        <w:rFonts w:ascii="Symbol" w:hAnsi="Symbol" w:hint="default"/>
        <w:i w:val="0"/>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06">
    <w:nsid w:val="2EFF3656"/>
    <w:multiLevelType w:val="hybridMultilevel"/>
    <w:tmpl w:val="6C82259E"/>
    <w:lvl w:ilvl="0" w:tplc="04090001">
      <w:start w:val="1"/>
      <w:numFmt w:val="bullet"/>
      <w:lvlText w:val=""/>
      <w:lvlJc w:val="left"/>
      <w:pPr>
        <w:ind w:left="2160" w:hanging="360"/>
      </w:pPr>
      <w:rPr>
        <w:rFonts w:ascii="Symbol" w:hAnsi="Symbol" w:hint="default"/>
      </w:rPr>
    </w:lvl>
    <w:lvl w:ilvl="1" w:tplc="08160003" w:tentative="1">
      <w:start w:val="1"/>
      <w:numFmt w:val="bullet"/>
      <w:lvlText w:val="o"/>
      <w:lvlJc w:val="left"/>
      <w:pPr>
        <w:ind w:left="2880" w:hanging="360"/>
      </w:pPr>
      <w:rPr>
        <w:rFonts w:ascii="Courier New" w:hAnsi="Courier New" w:cs="Courier New" w:hint="default"/>
      </w:rPr>
    </w:lvl>
    <w:lvl w:ilvl="2" w:tplc="08160005" w:tentative="1">
      <w:start w:val="1"/>
      <w:numFmt w:val="bullet"/>
      <w:lvlText w:val=""/>
      <w:lvlJc w:val="left"/>
      <w:pPr>
        <w:ind w:left="3600" w:hanging="360"/>
      </w:pPr>
      <w:rPr>
        <w:rFonts w:ascii="Wingdings" w:hAnsi="Wingdings" w:hint="default"/>
      </w:rPr>
    </w:lvl>
    <w:lvl w:ilvl="3" w:tplc="08160001" w:tentative="1">
      <w:start w:val="1"/>
      <w:numFmt w:val="bullet"/>
      <w:lvlText w:val=""/>
      <w:lvlJc w:val="left"/>
      <w:pPr>
        <w:ind w:left="4320" w:hanging="360"/>
      </w:pPr>
      <w:rPr>
        <w:rFonts w:ascii="Symbol" w:hAnsi="Symbol" w:hint="default"/>
      </w:rPr>
    </w:lvl>
    <w:lvl w:ilvl="4" w:tplc="08160003" w:tentative="1">
      <w:start w:val="1"/>
      <w:numFmt w:val="bullet"/>
      <w:lvlText w:val="o"/>
      <w:lvlJc w:val="left"/>
      <w:pPr>
        <w:ind w:left="5040" w:hanging="360"/>
      </w:pPr>
      <w:rPr>
        <w:rFonts w:ascii="Courier New" w:hAnsi="Courier New" w:cs="Courier New" w:hint="default"/>
      </w:rPr>
    </w:lvl>
    <w:lvl w:ilvl="5" w:tplc="08160005" w:tentative="1">
      <w:start w:val="1"/>
      <w:numFmt w:val="bullet"/>
      <w:lvlText w:val=""/>
      <w:lvlJc w:val="left"/>
      <w:pPr>
        <w:ind w:left="5760" w:hanging="360"/>
      </w:pPr>
      <w:rPr>
        <w:rFonts w:ascii="Wingdings" w:hAnsi="Wingdings" w:hint="default"/>
      </w:rPr>
    </w:lvl>
    <w:lvl w:ilvl="6" w:tplc="08160001" w:tentative="1">
      <w:start w:val="1"/>
      <w:numFmt w:val="bullet"/>
      <w:lvlText w:val=""/>
      <w:lvlJc w:val="left"/>
      <w:pPr>
        <w:ind w:left="6480" w:hanging="360"/>
      </w:pPr>
      <w:rPr>
        <w:rFonts w:ascii="Symbol" w:hAnsi="Symbol" w:hint="default"/>
      </w:rPr>
    </w:lvl>
    <w:lvl w:ilvl="7" w:tplc="08160003" w:tentative="1">
      <w:start w:val="1"/>
      <w:numFmt w:val="bullet"/>
      <w:lvlText w:val="o"/>
      <w:lvlJc w:val="left"/>
      <w:pPr>
        <w:ind w:left="7200" w:hanging="360"/>
      </w:pPr>
      <w:rPr>
        <w:rFonts w:ascii="Courier New" w:hAnsi="Courier New" w:cs="Courier New" w:hint="default"/>
      </w:rPr>
    </w:lvl>
    <w:lvl w:ilvl="8" w:tplc="08160005" w:tentative="1">
      <w:start w:val="1"/>
      <w:numFmt w:val="bullet"/>
      <w:lvlText w:val=""/>
      <w:lvlJc w:val="left"/>
      <w:pPr>
        <w:ind w:left="7920" w:hanging="360"/>
      </w:pPr>
      <w:rPr>
        <w:rFonts w:ascii="Wingdings" w:hAnsi="Wingdings" w:hint="default"/>
      </w:rPr>
    </w:lvl>
  </w:abstractNum>
  <w:abstractNum w:abstractNumId="107">
    <w:nsid w:val="2F481AE1"/>
    <w:multiLevelType w:val="hybridMultilevel"/>
    <w:tmpl w:val="DE32E946"/>
    <w:lvl w:ilvl="0" w:tplc="04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8">
    <w:nsid w:val="2F7E26DA"/>
    <w:multiLevelType w:val="multilevel"/>
    <w:tmpl w:val="4DFAC782"/>
    <w:lvl w:ilvl="0">
      <w:start w:val="3"/>
      <w:numFmt w:val="decimal"/>
      <w:lvlText w:val="%1"/>
      <w:lvlJc w:val="left"/>
      <w:pPr>
        <w:ind w:left="435" w:hanging="435"/>
      </w:pPr>
      <w:rPr>
        <w:rFonts w:hint="default"/>
        <w:i w:val="0"/>
        <w:u w:val="none"/>
      </w:rPr>
    </w:lvl>
    <w:lvl w:ilvl="1">
      <w:start w:val="1"/>
      <w:numFmt w:val="decimal"/>
      <w:lvlText w:val="%1.%2"/>
      <w:lvlJc w:val="left"/>
      <w:pPr>
        <w:ind w:left="795" w:hanging="435"/>
      </w:pPr>
      <w:rPr>
        <w:rFonts w:hint="default"/>
        <w:i w:val="0"/>
        <w:u w:val="none"/>
      </w:rPr>
    </w:lvl>
    <w:lvl w:ilvl="2">
      <w:start w:val="2"/>
      <w:numFmt w:val="decimal"/>
      <w:lvlText w:val="%1.%2.%3"/>
      <w:lvlJc w:val="left"/>
      <w:pPr>
        <w:ind w:left="1440" w:hanging="720"/>
      </w:pPr>
      <w:rPr>
        <w:rFonts w:hint="default"/>
        <w:b/>
        <w:i w:val="0"/>
        <w:u w:val="none"/>
      </w:rPr>
    </w:lvl>
    <w:lvl w:ilvl="3">
      <w:start w:val="1"/>
      <w:numFmt w:val="decimal"/>
      <w:lvlText w:val="%1.%2.%3.%4"/>
      <w:lvlJc w:val="left"/>
      <w:pPr>
        <w:ind w:left="1800" w:hanging="720"/>
      </w:pPr>
      <w:rPr>
        <w:rFonts w:hint="default"/>
        <w:i w:val="0"/>
        <w:u w:val="none"/>
      </w:rPr>
    </w:lvl>
    <w:lvl w:ilvl="4">
      <w:start w:val="1"/>
      <w:numFmt w:val="decimal"/>
      <w:lvlText w:val="%1.%2.%3.%4.%5"/>
      <w:lvlJc w:val="left"/>
      <w:pPr>
        <w:ind w:left="2520" w:hanging="1080"/>
      </w:pPr>
      <w:rPr>
        <w:rFonts w:hint="default"/>
        <w:i w:val="0"/>
        <w:u w:val="none"/>
      </w:rPr>
    </w:lvl>
    <w:lvl w:ilvl="5">
      <w:start w:val="1"/>
      <w:numFmt w:val="decimal"/>
      <w:lvlText w:val="%1.%2.%3.%4.%5.%6"/>
      <w:lvlJc w:val="left"/>
      <w:pPr>
        <w:ind w:left="2880" w:hanging="1080"/>
      </w:pPr>
      <w:rPr>
        <w:rFonts w:hint="default"/>
        <w:i w:val="0"/>
        <w:u w:val="none"/>
      </w:rPr>
    </w:lvl>
    <w:lvl w:ilvl="6">
      <w:start w:val="1"/>
      <w:numFmt w:val="decimal"/>
      <w:lvlText w:val="%1.%2.%3.%4.%5.%6.%7"/>
      <w:lvlJc w:val="left"/>
      <w:pPr>
        <w:ind w:left="3600" w:hanging="1440"/>
      </w:pPr>
      <w:rPr>
        <w:rFonts w:hint="default"/>
        <w:i w:val="0"/>
        <w:u w:val="none"/>
      </w:rPr>
    </w:lvl>
    <w:lvl w:ilvl="7">
      <w:start w:val="1"/>
      <w:numFmt w:val="decimal"/>
      <w:lvlText w:val="%1.%2.%3.%4.%5.%6.%7.%8"/>
      <w:lvlJc w:val="left"/>
      <w:pPr>
        <w:ind w:left="3960" w:hanging="1440"/>
      </w:pPr>
      <w:rPr>
        <w:rFonts w:hint="default"/>
        <w:i w:val="0"/>
        <w:u w:val="none"/>
      </w:rPr>
    </w:lvl>
    <w:lvl w:ilvl="8">
      <w:start w:val="1"/>
      <w:numFmt w:val="decimal"/>
      <w:lvlText w:val="%1.%2.%3.%4.%5.%6.%7.%8.%9"/>
      <w:lvlJc w:val="left"/>
      <w:pPr>
        <w:ind w:left="4320" w:hanging="1440"/>
      </w:pPr>
      <w:rPr>
        <w:rFonts w:hint="default"/>
        <w:i w:val="0"/>
        <w:u w:val="none"/>
      </w:rPr>
    </w:lvl>
  </w:abstractNum>
  <w:abstractNum w:abstractNumId="109">
    <w:nsid w:val="30166FB6"/>
    <w:multiLevelType w:val="hybridMultilevel"/>
    <w:tmpl w:val="BE9E40A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10">
    <w:nsid w:val="302D799A"/>
    <w:multiLevelType w:val="hybridMultilevel"/>
    <w:tmpl w:val="CB74C098"/>
    <w:lvl w:ilvl="0" w:tplc="08090001">
      <w:start w:val="1"/>
      <w:numFmt w:val="bullet"/>
      <w:lvlText w:val=""/>
      <w:lvlJc w:val="left"/>
      <w:pPr>
        <w:ind w:left="1800" w:hanging="360"/>
      </w:pPr>
      <w:rPr>
        <w:rFonts w:ascii="Symbol" w:hAnsi="Symbol" w:hint="default"/>
      </w:rPr>
    </w:lvl>
    <w:lvl w:ilvl="1" w:tplc="08090003">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111">
    <w:nsid w:val="306F5183"/>
    <w:multiLevelType w:val="hybridMultilevel"/>
    <w:tmpl w:val="A97C68F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2">
    <w:nsid w:val="30D5152E"/>
    <w:multiLevelType w:val="hybridMultilevel"/>
    <w:tmpl w:val="D6AE6354"/>
    <w:lvl w:ilvl="0" w:tplc="FC366EB0">
      <w:start w:val="1"/>
      <w:numFmt w:val="decimal"/>
      <w:lvlText w:val="3.4.%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nsid w:val="310244B9"/>
    <w:multiLevelType w:val="hybridMultilevel"/>
    <w:tmpl w:val="6ECE5F9E"/>
    <w:lvl w:ilvl="0" w:tplc="08090001">
      <w:start w:val="1"/>
      <w:numFmt w:val="bullet"/>
      <w:lvlText w:val=""/>
      <w:lvlJc w:val="left"/>
      <w:pPr>
        <w:ind w:left="2220" w:hanging="360"/>
      </w:pPr>
      <w:rPr>
        <w:rFonts w:ascii="Symbol" w:hAnsi="Symbol" w:hint="default"/>
      </w:rPr>
    </w:lvl>
    <w:lvl w:ilvl="1" w:tplc="08090003" w:tentative="1">
      <w:start w:val="1"/>
      <w:numFmt w:val="bullet"/>
      <w:lvlText w:val="o"/>
      <w:lvlJc w:val="left"/>
      <w:pPr>
        <w:ind w:left="2940" w:hanging="360"/>
      </w:pPr>
      <w:rPr>
        <w:rFonts w:ascii="Courier New" w:hAnsi="Courier New" w:cs="Courier New" w:hint="default"/>
      </w:rPr>
    </w:lvl>
    <w:lvl w:ilvl="2" w:tplc="08090005" w:tentative="1">
      <w:start w:val="1"/>
      <w:numFmt w:val="bullet"/>
      <w:lvlText w:val=""/>
      <w:lvlJc w:val="left"/>
      <w:pPr>
        <w:ind w:left="3660" w:hanging="360"/>
      </w:pPr>
      <w:rPr>
        <w:rFonts w:ascii="Wingdings" w:hAnsi="Wingdings" w:hint="default"/>
      </w:rPr>
    </w:lvl>
    <w:lvl w:ilvl="3" w:tplc="08090001" w:tentative="1">
      <w:start w:val="1"/>
      <w:numFmt w:val="bullet"/>
      <w:lvlText w:val=""/>
      <w:lvlJc w:val="left"/>
      <w:pPr>
        <w:ind w:left="4380" w:hanging="360"/>
      </w:pPr>
      <w:rPr>
        <w:rFonts w:ascii="Symbol" w:hAnsi="Symbol" w:hint="default"/>
      </w:rPr>
    </w:lvl>
    <w:lvl w:ilvl="4" w:tplc="08090003" w:tentative="1">
      <w:start w:val="1"/>
      <w:numFmt w:val="bullet"/>
      <w:lvlText w:val="o"/>
      <w:lvlJc w:val="left"/>
      <w:pPr>
        <w:ind w:left="5100" w:hanging="360"/>
      </w:pPr>
      <w:rPr>
        <w:rFonts w:ascii="Courier New" w:hAnsi="Courier New" w:cs="Courier New" w:hint="default"/>
      </w:rPr>
    </w:lvl>
    <w:lvl w:ilvl="5" w:tplc="08090005" w:tentative="1">
      <w:start w:val="1"/>
      <w:numFmt w:val="bullet"/>
      <w:lvlText w:val=""/>
      <w:lvlJc w:val="left"/>
      <w:pPr>
        <w:ind w:left="5820" w:hanging="360"/>
      </w:pPr>
      <w:rPr>
        <w:rFonts w:ascii="Wingdings" w:hAnsi="Wingdings" w:hint="default"/>
      </w:rPr>
    </w:lvl>
    <w:lvl w:ilvl="6" w:tplc="08090001" w:tentative="1">
      <w:start w:val="1"/>
      <w:numFmt w:val="bullet"/>
      <w:lvlText w:val=""/>
      <w:lvlJc w:val="left"/>
      <w:pPr>
        <w:ind w:left="6540" w:hanging="360"/>
      </w:pPr>
      <w:rPr>
        <w:rFonts w:ascii="Symbol" w:hAnsi="Symbol" w:hint="default"/>
      </w:rPr>
    </w:lvl>
    <w:lvl w:ilvl="7" w:tplc="08090003" w:tentative="1">
      <w:start w:val="1"/>
      <w:numFmt w:val="bullet"/>
      <w:lvlText w:val="o"/>
      <w:lvlJc w:val="left"/>
      <w:pPr>
        <w:ind w:left="7260" w:hanging="360"/>
      </w:pPr>
      <w:rPr>
        <w:rFonts w:ascii="Courier New" w:hAnsi="Courier New" w:cs="Courier New" w:hint="default"/>
      </w:rPr>
    </w:lvl>
    <w:lvl w:ilvl="8" w:tplc="08090005" w:tentative="1">
      <w:start w:val="1"/>
      <w:numFmt w:val="bullet"/>
      <w:lvlText w:val=""/>
      <w:lvlJc w:val="left"/>
      <w:pPr>
        <w:ind w:left="7980" w:hanging="360"/>
      </w:pPr>
      <w:rPr>
        <w:rFonts w:ascii="Wingdings" w:hAnsi="Wingdings" w:hint="default"/>
      </w:rPr>
    </w:lvl>
  </w:abstractNum>
  <w:abstractNum w:abstractNumId="114">
    <w:nsid w:val="316F22A2"/>
    <w:multiLevelType w:val="hybridMultilevel"/>
    <w:tmpl w:val="54FCB19C"/>
    <w:lvl w:ilvl="0" w:tplc="5AE68330">
      <w:start w:val="1"/>
      <w:numFmt w:val="decimal"/>
      <w:lvlText w:val="4.3.%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31D9184E"/>
    <w:multiLevelType w:val="multilevel"/>
    <w:tmpl w:val="E4229B1A"/>
    <w:lvl w:ilvl="0">
      <w:start w:val="1"/>
      <w:numFmt w:val="decimal"/>
      <w:lvlText w:val="1.%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6">
    <w:nsid w:val="323305B3"/>
    <w:multiLevelType w:val="hybridMultilevel"/>
    <w:tmpl w:val="852C6CEE"/>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117">
    <w:nsid w:val="326625DB"/>
    <w:multiLevelType w:val="multilevel"/>
    <w:tmpl w:val="7F88ED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8">
    <w:nsid w:val="338540C1"/>
    <w:multiLevelType w:val="multilevel"/>
    <w:tmpl w:val="E542A798"/>
    <w:lvl w:ilvl="0">
      <w:start w:val="3"/>
      <w:numFmt w:val="decimal"/>
      <w:lvlText w:val="%1"/>
      <w:lvlJc w:val="left"/>
      <w:pPr>
        <w:ind w:left="360" w:hanging="360"/>
      </w:pPr>
      <w:rPr>
        <w:rFonts w:hint="default"/>
      </w:rPr>
    </w:lvl>
    <w:lvl w:ilvl="1">
      <w:start w:val="1"/>
      <w:numFmt w:val="decimal"/>
      <w:lvlText w:val="%1.%2"/>
      <w:lvlJc w:val="left"/>
      <w:pPr>
        <w:ind w:left="645" w:hanging="360"/>
      </w:pPr>
      <w:rPr>
        <w:rFonts w:hint="default"/>
        <w:b/>
      </w:rPr>
    </w:lvl>
    <w:lvl w:ilvl="2">
      <w:start w:val="1"/>
      <w:numFmt w:val="decimal"/>
      <w:lvlText w:val="%1.%2.%3"/>
      <w:lvlJc w:val="left"/>
      <w:pPr>
        <w:ind w:left="1290" w:hanging="720"/>
      </w:pPr>
      <w:rPr>
        <w:rFonts w:hint="default"/>
        <w:b/>
      </w:rPr>
    </w:lvl>
    <w:lvl w:ilvl="3">
      <w:start w:val="1"/>
      <w:numFmt w:val="decimal"/>
      <w:lvlText w:val="%1.%2.%3.%4"/>
      <w:lvlJc w:val="left"/>
      <w:pPr>
        <w:ind w:left="1575" w:hanging="720"/>
      </w:pPr>
      <w:rPr>
        <w:rFonts w:hint="default"/>
      </w:rPr>
    </w:lvl>
    <w:lvl w:ilvl="4">
      <w:start w:val="1"/>
      <w:numFmt w:val="decimal"/>
      <w:lvlText w:val="%1.%2.%3.%4.%5"/>
      <w:lvlJc w:val="left"/>
      <w:pPr>
        <w:ind w:left="2220" w:hanging="1080"/>
      </w:pPr>
      <w:rPr>
        <w:rFonts w:hint="default"/>
      </w:rPr>
    </w:lvl>
    <w:lvl w:ilvl="5">
      <w:start w:val="1"/>
      <w:numFmt w:val="decimal"/>
      <w:lvlText w:val="%1.%2.%3.%4.%5.%6"/>
      <w:lvlJc w:val="left"/>
      <w:pPr>
        <w:ind w:left="2505" w:hanging="1080"/>
      </w:pPr>
      <w:rPr>
        <w:rFonts w:hint="default"/>
      </w:rPr>
    </w:lvl>
    <w:lvl w:ilvl="6">
      <w:start w:val="1"/>
      <w:numFmt w:val="decimal"/>
      <w:lvlText w:val="%1.%2.%3.%4.%5.%6.%7"/>
      <w:lvlJc w:val="left"/>
      <w:pPr>
        <w:ind w:left="3150" w:hanging="1440"/>
      </w:pPr>
      <w:rPr>
        <w:rFonts w:hint="default"/>
      </w:rPr>
    </w:lvl>
    <w:lvl w:ilvl="7">
      <w:start w:val="1"/>
      <w:numFmt w:val="decimal"/>
      <w:lvlText w:val="%1.%2.%3.%4.%5.%6.%7.%8"/>
      <w:lvlJc w:val="left"/>
      <w:pPr>
        <w:ind w:left="3435" w:hanging="1440"/>
      </w:pPr>
      <w:rPr>
        <w:rFonts w:hint="default"/>
      </w:rPr>
    </w:lvl>
    <w:lvl w:ilvl="8">
      <w:start w:val="1"/>
      <w:numFmt w:val="decimal"/>
      <w:lvlText w:val="%1.%2.%3.%4.%5.%6.%7.%8.%9"/>
      <w:lvlJc w:val="left"/>
      <w:pPr>
        <w:ind w:left="4080" w:hanging="1800"/>
      </w:pPr>
      <w:rPr>
        <w:rFonts w:hint="default"/>
      </w:rPr>
    </w:lvl>
  </w:abstractNum>
  <w:abstractNum w:abstractNumId="119">
    <w:nsid w:val="3399402C"/>
    <w:multiLevelType w:val="hybridMultilevel"/>
    <w:tmpl w:val="FE5CCE48"/>
    <w:lvl w:ilvl="0" w:tplc="572A7F5C">
      <w:start w:val="1"/>
      <w:numFmt w:val="decimal"/>
      <w:lvlText w:val="3.%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33DC3428"/>
    <w:multiLevelType w:val="multilevel"/>
    <w:tmpl w:val="CF1289E8"/>
    <w:lvl w:ilvl="0">
      <w:start w:val="5"/>
      <w:numFmt w:val="decimal"/>
      <w:lvlText w:val="%1"/>
      <w:lvlJc w:val="left"/>
      <w:pPr>
        <w:ind w:left="360" w:hanging="360"/>
      </w:pPr>
      <w:rPr>
        <w:rFonts w:eastAsia="Calibri" w:hint="default"/>
      </w:rPr>
    </w:lvl>
    <w:lvl w:ilvl="1">
      <w:start w:val="1"/>
      <w:numFmt w:val="decimal"/>
      <w:lvlText w:val="%1.%2"/>
      <w:lvlJc w:val="left"/>
      <w:pPr>
        <w:ind w:left="1080" w:hanging="360"/>
      </w:pPr>
      <w:rPr>
        <w:rFonts w:eastAsia="Calibri" w:hint="default"/>
        <w:b/>
      </w:rPr>
    </w:lvl>
    <w:lvl w:ilvl="2">
      <w:start w:val="1"/>
      <w:numFmt w:val="decimal"/>
      <w:lvlText w:val="%1.%2.%3"/>
      <w:lvlJc w:val="left"/>
      <w:pPr>
        <w:ind w:left="2160" w:hanging="720"/>
      </w:pPr>
      <w:rPr>
        <w:rFonts w:eastAsia="Calibri" w:hint="default"/>
        <w:b/>
      </w:rPr>
    </w:lvl>
    <w:lvl w:ilvl="3">
      <w:start w:val="1"/>
      <w:numFmt w:val="decimal"/>
      <w:lvlText w:val="%1.%2.%3.%4"/>
      <w:lvlJc w:val="left"/>
      <w:pPr>
        <w:ind w:left="2880" w:hanging="720"/>
      </w:pPr>
      <w:rPr>
        <w:rFonts w:eastAsia="Calibri" w:hint="default"/>
      </w:rPr>
    </w:lvl>
    <w:lvl w:ilvl="4">
      <w:start w:val="1"/>
      <w:numFmt w:val="decimal"/>
      <w:lvlText w:val="%1.%2.%3.%4.%5"/>
      <w:lvlJc w:val="left"/>
      <w:pPr>
        <w:ind w:left="3960" w:hanging="1080"/>
      </w:pPr>
      <w:rPr>
        <w:rFonts w:eastAsia="Calibri" w:hint="default"/>
      </w:rPr>
    </w:lvl>
    <w:lvl w:ilvl="5">
      <w:start w:val="1"/>
      <w:numFmt w:val="decimal"/>
      <w:lvlText w:val="%1.%2.%3.%4.%5.%6"/>
      <w:lvlJc w:val="left"/>
      <w:pPr>
        <w:ind w:left="4680" w:hanging="1080"/>
      </w:pPr>
      <w:rPr>
        <w:rFonts w:eastAsia="Calibri" w:hint="default"/>
      </w:rPr>
    </w:lvl>
    <w:lvl w:ilvl="6">
      <w:start w:val="1"/>
      <w:numFmt w:val="decimal"/>
      <w:lvlText w:val="%1.%2.%3.%4.%5.%6.%7"/>
      <w:lvlJc w:val="left"/>
      <w:pPr>
        <w:ind w:left="5760" w:hanging="1440"/>
      </w:pPr>
      <w:rPr>
        <w:rFonts w:eastAsia="Calibri" w:hint="default"/>
      </w:rPr>
    </w:lvl>
    <w:lvl w:ilvl="7">
      <w:start w:val="1"/>
      <w:numFmt w:val="decimal"/>
      <w:lvlText w:val="%1.%2.%3.%4.%5.%6.%7.%8"/>
      <w:lvlJc w:val="left"/>
      <w:pPr>
        <w:ind w:left="6480" w:hanging="1440"/>
      </w:pPr>
      <w:rPr>
        <w:rFonts w:eastAsia="Calibri" w:hint="default"/>
      </w:rPr>
    </w:lvl>
    <w:lvl w:ilvl="8">
      <w:start w:val="1"/>
      <w:numFmt w:val="decimal"/>
      <w:lvlText w:val="%1.%2.%3.%4.%5.%6.%7.%8.%9"/>
      <w:lvlJc w:val="left"/>
      <w:pPr>
        <w:ind w:left="7560" w:hanging="1800"/>
      </w:pPr>
      <w:rPr>
        <w:rFonts w:eastAsia="Calibri" w:hint="default"/>
      </w:rPr>
    </w:lvl>
  </w:abstractNum>
  <w:abstractNum w:abstractNumId="121">
    <w:nsid w:val="33F03F33"/>
    <w:multiLevelType w:val="multilevel"/>
    <w:tmpl w:val="211486FE"/>
    <w:lvl w:ilvl="0">
      <w:start w:val="3"/>
      <w:numFmt w:val="decimal"/>
      <w:lvlText w:val="%1"/>
      <w:lvlJc w:val="left"/>
      <w:pPr>
        <w:ind w:left="480" w:hanging="480"/>
      </w:pPr>
      <w:rPr>
        <w:rFonts w:hint="default"/>
      </w:rPr>
    </w:lvl>
    <w:lvl w:ilvl="1">
      <w:start w:val="8"/>
      <w:numFmt w:val="decimal"/>
      <w:lvlText w:val="%1.%2"/>
      <w:lvlJc w:val="left"/>
      <w:pPr>
        <w:ind w:left="480" w:hanging="480"/>
      </w:pPr>
      <w:rPr>
        <w:rFonts w:hint="default"/>
        <w:b/>
      </w:rPr>
    </w:lvl>
    <w:lvl w:ilvl="2">
      <w:start w:val="1"/>
      <w:numFmt w:val="decimal"/>
      <w:lvlText w:val="%1.%2.%3"/>
      <w:lvlJc w:val="left"/>
      <w:pPr>
        <w:ind w:left="117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2">
    <w:nsid w:val="36213F1F"/>
    <w:multiLevelType w:val="hybridMultilevel"/>
    <w:tmpl w:val="8A2C50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nsid w:val="36D84536"/>
    <w:multiLevelType w:val="multilevel"/>
    <w:tmpl w:val="DD42ACE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4">
    <w:nsid w:val="3868340B"/>
    <w:multiLevelType w:val="hybridMultilevel"/>
    <w:tmpl w:val="83FE3B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nsid w:val="3882107F"/>
    <w:multiLevelType w:val="hybridMultilevel"/>
    <w:tmpl w:val="2310850E"/>
    <w:lvl w:ilvl="0" w:tplc="89C027BE">
      <w:start w:val="1"/>
      <w:numFmt w:val="bullet"/>
      <w:lvlText w:val=""/>
      <w:lvlJc w:val="left"/>
      <w:pPr>
        <w:tabs>
          <w:tab w:val="num" w:pos="720"/>
        </w:tabs>
        <w:ind w:left="720" w:hanging="360"/>
      </w:pPr>
      <w:rPr>
        <w:rFonts w:ascii="Symbol" w:hAnsi="Symbol" w:hint="default"/>
        <w:lang w:val="pt-BR"/>
      </w:rPr>
    </w:lvl>
    <w:lvl w:ilvl="1" w:tplc="89C027BE">
      <w:start w:val="1"/>
      <w:numFmt w:val="bullet"/>
      <w:lvlText w:val=""/>
      <w:lvlJc w:val="left"/>
      <w:pPr>
        <w:tabs>
          <w:tab w:val="num" w:pos="1440"/>
        </w:tabs>
        <w:ind w:left="1440" w:hanging="360"/>
      </w:pPr>
      <w:rPr>
        <w:rFonts w:ascii="Symbol" w:hAnsi="Symbol" w:hint="default"/>
        <w:lang w:val="pt-BR"/>
      </w:rPr>
    </w:lvl>
    <w:lvl w:ilvl="2" w:tplc="08090003">
      <w:start w:val="1"/>
      <w:numFmt w:val="bullet"/>
      <w:lvlText w:val="o"/>
      <w:lvlJc w:val="left"/>
      <w:pPr>
        <w:tabs>
          <w:tab w:val="num" w:pos="2160"/>
        </w:tabs>
        <w:ind w:left="2160" w:hanging="360"/>
      </w:pPr>
      <w:rPr>
        <w:rFonts w:ascii="Courier New" w:hAnsi="Courier New" w:cs="Courier New"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126">
    <w:nsid w:val="38D3393E"/>
    <w:multiLevelType w:val="multilevel"/>
    <w:tmpl w:val="90C094A6"/>
    <w:lvl w:ilvl="0">
      <w:start w:val="1"/>
      <w:numFmt w:val="upperLetter"/>
      <w:lvlText w:val="%1."/>
      <w:lvlJc w:val="left"/>
      <w:pPr>
        <w:tabs>
          <w:tab w:val="num" w:pos="357"/>
        </w:tabs>
        <w:ind w:left="357" w:hanging="357"/>
      </w:pPr>
      <w:rPr>
        <w:rFonts w:hint="default"/>
        <w:b w:val="0"/>
        <w:bCs w:val="0"/>
        <w:i w:val="0"/>
        <w:iCs w:val="0"/>
        <w:caps w:val="0"/>
        <w:strike w:val="0"/>
        <w:dstrike w:val="0"/>
        <w:outline w:val="0"/>
        <w:shadow w:val="0"/>
        <w:emboss w:val="0"/>
        <w:imprint w:val="0"/>
        <w:vanish w:val="0"/>
        <w:sz w:val="22"/>
        <w:szCs w:val="22"/>
        <w:vertAlign w:val="baseline"/>
      </w:rPr>
    </w:lvl>
    <w:lvl w:ilvl="1">
      <w:start w:val="1"/>
      <w:numFmt w:val="decimal"/>
      <w:lvlText w:val="%2."/>
      <w:lvlJc w:val="left"/>
      <w:pPr>
        <w:tabs>
          <w:tab w:val="num" w:pos="792"/>
        </w:tabs>
        <w:ind w:left="792" w:hanging="432"/>
      </w:pPr>
      <w:rPr>
        <w:rFonts w:ascii="Arial" w:hAnsi="Arial" w:cs="Calibri" w:hint="default"/>
        <w:b w:val="0"/>
        <w:bCs w:val="0"/>
        <w:i/>
        <w:iCs w:val="0"/>
        <w:caps w:val="0"/>
        <w:strike w:val="0"/>
        <w:dstrike w:val="0"/>
        <w:shadow w:val="0"/>
        <w:emboss w:val="0"/>
        <w:imprint w:val="0"/>
        <w:vanish w:val="0"/>
        <w:sz w:val="22"/>
        <w:szCs w:val="22"/>
        <w:vertAlign w:val="baseline"/>
      </w:rPr>
    </w:lvl>
    <w:lvl w:ilvl="2">
      <w:start w:val="1"/>
      <w:numFmt w:val="decimal"/>
      <w:lvlText w:val="%1.%2.%3."/>
      <w:lvlJc w:val="left"/>
      <w:pPr>
        <w:tabs>
          <w:tab w:val="num" w:pos="1440"/>
        </w:tabs>
        <w:ind w:left="1224" w:hanging="504"/>
      </w:pPr>
      <w:rPr>
        <w:rFonts w:cs="Times New Roman Bold" w:hint="default"/>
      </w:rPr>
    </w:lvl>
    <w:lvl w:ilvl="3">
      <w:start w:val="1"/>
      <w:numFmt w:val="decimal"/>
      <w:lvlText w:val="%1.%2.%3.%4."/>
      <w:lvlJc w:val="left"/>
      <w:pPr>
        <w:tabs>
          <w:tab w:val="num" w:pos="2160"/>
        </w:tabs>
        <w:ind w:left="1728" w:hanging="648"/>
      </w:pPr>
      <w:rPr>
        <w:rFonts w:cs="Times New Roman Bold" w:hint="default"/>
      </w:rPr>
    </w:lvl>
    <w:lvl w:ilvl="4">
      <w:start w:val="1"/>
      <w:numFmt w:val="decimal"/>
      <w:lvlText w:val="%1.%2.%3.%4.%5."/>
      <w:lvlJc w:val="left"/>
      <w:pPr>
        <w:tabs>
          <w:tab w:val="num" w:pos="2520"/>
        </w:tabs>
        <w:ind w:left="2232" w:hanging="792"/>
      </w:pPr>
      <w:rPr>
        <w:rFonts w:cs="Times New Roman Bold" w:hint="default"/>
      </w:rPr>
    </w:lvl>
    <w:lvl w:ilvl="5">
      <w:start w:val="1"/>
      <w:numFmt w:val="decimal"/>
      <w:lvlText w:val="%1.%2.%3.%4.%5.%6."/>
      <w:lvlJc w:val="left"/>
      <w:pPr>
        <w:tabs>
          <w:tab w:val="num" w:pos="3240"/>
        </w:tabs>
        <w:ind w:left="2736" w:hanging="936"/>
      </w:pPr>
      <w:rPr>
        <w:rFonts w:cs="Times New Roman Bold" w:hint="default"/>
      </w:rPr>
    </w:lvl>
    <w:lvl w:ilvl="6">
      <w:start w:val="1"/>
      <w:numFmt w:val="decimal"/>
      <w:lvlText w:val="%1.%2.%3.%4.%5.%6.%7."/>
      <w:lvlJc w:val="left"/>
      <w:pPr>
        <w:tabs>
          <w:tab w:val="num" w:pos="3600"/>
        </w:tabs>
        <w:ind w:left="3240" w:hanging="1080"/>
      </w:pPr>
      <w:rPr>
        <w:rFonts w:cs="Times New Roman Bold" w:hint="default"/>
      </w:rPr>
    </w:lvl>
    <w:lvl w:ilvl="7">
      <w:start w:val="1"/>
      <w:numFmt w:val="decimal"/>
      <w:lvlText w:val="%1.%2.%3.%4.%5.%6.%7.%8."/>
      <w:lvlJc w:val="left"/>
      <w:pPr>
        <w:tabs>
          <w:tab w:val="num" w:pos="4320"/>
        </w:tabs>
        <w:ind w:left="3744" w:hanging="1224"/>
      </w:pPr>
      <w:rPr>
        <w:rFonts w:cs="Times New Roman Bold" w:hint="default"/>
      </w:rPr>
    </w:lvl>
    <w:lvl w:ilvl="8">
      <w:start w:val="1"/>
      <w:numFmt w:val="decimal"/>
      <w:lvlText w:val="%1.%2.%3.%4.%5.%6.%7.%8.%9."/>
      <w:lvlJc w:val="left"/>
      <w:pPr>
        <w:tabs>
          <w:tab w:val="num" w:pos="5040"/>
        </w:tabs>
        <w:ind w:left="4320" w:hanging="1440"/>
      </w:pPr>
      <w:rPr>
        <w:rFonts w:cs="Times New Roman Bold" w:hint="default"/>
      </w:rPr>
    </w:lvl>
  </w:abstractNum>
  <w:abstractNum w:abstractNumId="127">
    <w:nsid w:val="39356E13"/>
    <w:multiLevelType w:val="multilevel"/>
    <w:tmpl w:val="603C5CA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8">
    <w:nsid w:val="39E53BD4"/>
    <w:multiLevelType w:val="multilevel"/>
    <w:tmpl w:val="06426BE0"/>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29">
    <w:nsid w:val="3A435C2F"/>
    <w:multiLevelType w:val="hybridMultilevel"/>
    <w:tmpl w:val="6F9C24A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0">
    <w:nsid w:val="3B865121"/>
    <w:multiLevelType w:val="hybridMultilevel"/>
    <w:tmpl w:val="264EEF1C"/>
    <w:lvl w:ilvl="0" w:tplc="AD869C0E">
      <w:start w:val="1"/>
      <w:numFmt w:val="decimal"/>
      <w:lvlText w:val="4.6.%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nsid w:val="3BA9062B"/>
    <w:multiLevelType w:val="multilevel"/>
    <w:tmpl w:val="81609EF2"/>
    <w:lvl w:ilvl="0">
      <w:start w:val="4"/>
      <w:numFmt w:val="decimal"/>
      <w:lvlText w:val="%1"/>
      <w:lvlJc w:val="left"/>
      <w:pPr>
        <w:ind w:left="360" w:hanging="360"/>
      </w:pPr>
      <w:rPr>
        <w:rFonts w:hint="default"/>
        <w:i/>
      </w:rPr>
    </w:lvl>
    <w:lvl w:ilvl="1">
      <w:start w:val="1"/>
      <w:numFmt w:val="decimal"/>
      <w:lvlText w:val="%1.%2"/>
      <w:lvlJc w:val="left"/>
      <w:pPr>
        <w:ind w:left="360" w:hanging="360"/>
      </w:pPr>
      <w:rPr>
        <w:rFonts w:hint="default"/>
        <w:b/>
        <w:i w:val="0"/>
      </w:rPr>
    </w:lvl>
    <w:lvl w:ilvl="2">
      <w:start w:val="1"/>
      <w:numFmt w:val="decimal"/>
      <w:lvlText w:val="%1.%2.%3"/>
      <w:lvlJc w:val="left"/>
      <w:pPr>
        <w:ind w:left="720" w:hanging="720"/>
      </w:pPr>
      <w:rPr>
        <w:rFonts w:hint="default"/>
        <w:b/>
        <w:i w:val="0"/>
      </w:rPr>
    </w:lvl>
    <w:lvl w:ilvl="3">
      <w:start w:val="1"/>
      <w:numFmt w:val="decimal"/>
      <w:lvlText w:val="%1.%2.%3.%4"/>
      <w:lvlJc w:val="left"/>
      <w:pPr>
        <w:ind w:left="720" w:hanging="720"/>
      </w:pPr>
      <w:rPr>
        <w:rFonts w:hint="default"/>
        <w:i/>
      </w:rPr>
    </w:lvl>
    <w:lvl w:ilvl="4">
      <w:start w:val="1"/>
      <w:numFmt w:val="decimal"/>
      <w:lvlText w:val="%1.%2.%3.%4.%5"/>
      <w:lvlJc w:val="left"/>
      <w:pPr>
        <w:ind w:left="1080" w:hanging="1080"/>
      </w:pPr>
      <w:rPr>
        <w:rFonts w:hint="default"/>
        <w:i/>
      </w:rPr>
    </w:lvl>
    <w:lvl w:ilvl="5">
      <w:start w:val="1"/>
      <w:numFmt w:val="decimal"/>
      <w:lvlText w:val="%1.%2.%3.%4.%5.%6"/>
      <w:lvlJc w:val="left"/>
      <w:pPr>
        <w:ind w:left="1080" w:hanging="1080"/>
      </w:pPr>
      <w:rPr>
        <w:rFonts w:hint="default"/>
        <w:i/>
      </w:rPr>
    </w:lvl>
    <w:lvl w:ilvl="6">
      <w:start w:val="1"/>
      <w:numFmt w:val="decimal"/>
      <w:lvlText w:val="%1.%2.%3.%4.%5.%6.%7"/>
      <w:lvlJc w:val="left"/>
      <w:pPr>
        <w:ind w:left="1440" w:hanging="1440"/>
      </w:pPr>
      <w:rPr>
        <w:rFonts w:hint="default"/>
        <w:i/>
      </w:rPr>
    </w:lvl>
    <w:lvl w:ilvl="7">
      <w:start w:val="1"/>
      <w:numFmt w:val="decimal"/>
      <w:lvlText w:val="%1.%2.%3.%4.%5.%6.%7.%8"/>
      <w:lvlJc w:val="left"/>
      <w:pPr>
        <w:ind w:left="1440" w:hanging="1440"/>
      </w:pPr>
      <w:rPr>
        <w:rFonts w:hint="default"/>
        <w:i/>
      </w:rPr>
    </w:lvl>
    <w:lvl w:ilvl="8">
      <w:start w:val="1"/>
      <w:numFmt w:val="decimal"/>
      <w:lvlText w:val="%1.%2.%3.%4.%5.%6.%7.%8.%9"/>
      <w:lvlJc w:val="left"/>
      <w:pPr>
        <w:ind w:left="1800" w:hanging="1800"/>
      </w:pPr>
      <w:rPr>
        <w:rFonts w:hint="default"/>
        <w:i/>
      </w:rPr>
    </w:lvl>
  </w:abstractNum>
  <w:abstractNum w:abstractNumId="132">
    <w:nsid w:val="3BBA14CE"/>
    <w:multiLevelType w:val="hybridMultilevel"/>
    <w:tmpl w:val="893C538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33">
    <w:nsid w:val="3BD05CBA"/>
    <w:multiLevelType w:val="hybridMultilevel"/>
    <w:tmpl w:val="26B69D62"/>
    <w:lvl w:ilvl="0" w:tplc="04090001">
      <w:start w:val="1"/>
      <w:numFmt w:val="bullet"/>
      <w:lvlText w:val=""/>
      <w:lvlJc w:val="left"/>
      <w:pPr>
        <w:tabs>
          <w:tab w:val="num" w:pos="1440"/>
        </w:tabs>
        <w:ind w:left="1440" w:hanging="360"/>
      </w:pPr>
      <w:rPr>
        <w:rFonts w:ascii="Symbol" w:hAnsi="Symbol" w:hint="default"/>
      </w:rPr>
    </w:lvl>
    <w:lvl w:ilvl="1" w:tplc="0C0A0003">
      <w:start w:val="1"/>
      <w:numFmt w:val="bullet"/>
      <w:lvlText w:val="o"/>
      <w:lvlJc w:val="left"/>
      <w:pPr>
        <w:tabs>
          <w:tab w:val="num" w:pos="2160"/>
        </w:tabs>
        <w:ind w:left="2160" w:hanging="360"/>
      </w:pPr>
      <w:rPr>
        <w:rFonts w:ascii="Courier New" w:hAnsi="Courier New" w:hint="default"/>
      </w:rPr>
    </w:lvl>
    <w:lvl w:ilvl="2" w:tplc="0C0A0005">
      <w:start w:val="1"/>
      <w:numFmt w:val="bullet"/>
      <w:lvlText w:val=""/>
      <w:lvlJc w:val="left"/>
      <w:pPr>
        <w:tabs>
          <w:tab w:val="num" w:pos="2880"/>
        </w:tabs>
        <w:ind w:left="2880" w:hanging="360"/>
      </w:pPr>
      <w:rPr>
        <w:rFonts w:ascii="Wingdings" w:hAnsi="Wingdings" w:hint="default"/>
      </w:rPr>
    </w:lvl>
    <w:lvl w:ilvl="3" w:tplc="0C0A0001">
      <w:start w:val="1"/>
      <w:numFmt w:val="bullet"/>
      <w:lvlText w:val=""/>
      <w:lvlJc w:val="left"/>
      <w:pPr>
        <w:tabs>
          <w:tab w:val="num" w:pos="3600"/>
        </w:tabs>
        <w:ind w:left="3600" w:hanging="360"/>
      </w:pPr>
      <w:rPr>
        <w:rFonts w:ascii="Symbol" w:hAnsi="Symbol" w:hint="default"/>
      </w:rPr>
    </w:lvl>
    <w:lvl w:ilvl="4" w:tplc="0C0A0003">
      <w:start w:val="1"/>
      <w:numFmt w:val="bullet"/>
      <w:lvlText w:val="o"/>
      <w:lvlJc w:val="left"/>
      <w:pPr>
        <w:tabs>
          <w:tab w:val="num" w:pos="4320"/>
        </w:tabs>
        <w:ind w:left="4320" w:hanging="360"/>
      </w:pPr>
      <w:rPr>
        <w:rFonts w:ascii="Courier New" w:hAnsi="Courier New" w:hint="default"/>
      </w:rPr>
    </w:lvl>
    <w:lvl w:ilvl="5" w:tplc="0C0A0005">
      <w:start w:val="1"/>
      <w:numFmt w:val="bullet"/>
      <w:lvlText w:val=""/>
      <w:lvlJc w:val="left"/>
      <w:pPr>
        <w:tabs>
          <w:tab w:val="num" w:pos="5040"/>
        </w:tabs>
        <w:ind w:left="5040" w:hanging="360"/>
      </w:pPr>
      <w:rPr>
        <w:rFonts w:ascii="Wingdings" w:hAnsi="Wingdings" w:hint="default"/>
      </w:rPr>
    </w:lvl>
    <w:lvl w:ilvl="6" w:tplc="0C0A0001">
      <w:start w:val="1"/>
      <w:numFmt w:val="bullet"/>
      <w:lvlText w:val=""/>
      <w:lvlJc w:val="left"/>
      <w:pPr>
        <w:tabs>
          <w:tab w:val="num" w:pos="5760"/>
        </w:tabs>
        <w:ind w:left="5760" w:hanging="360"/>
      </w:pPr>
      <w:rPr>
        <w:rFonts w:ascii="Symbol" w:hAnsi="Symbol" w:hint="default"/>
      </w:rPr>
    </w:lvl>
    <w:lvl w:ilvl="7" w:tplc="0C0A0003">
      <w:start w:val="1"/>
      <w:numFmt w:val="bullet"/>
      <w:lvlText w:val="o"/>
      <w:lvlJc w:val="left"/>
      <w:pPr>
        <w:tabs>
          <w:tab w:val="num" w:pos="6480"/>
        </w:tabs>
        <w:ind w:left="6480" w:hanging="360"/>
      </w:pPr>
      <w:rPr>
        <w:rFonts w:ascii="Courier New" w:hAnsi="Courier New" w:hint="default"/>
      </w:rPr>
    </w:lvl>
    <w:lvl w:ilvl="8" w:tplc="0C0A0005">
      <w:start w:val="1"/>
      <w:numFmt w:val="bullet"/>
      <w:lvlText w:val=""/>
      <w:lvlJc w:val="left"/>
      <w:pPr>
        <w:tabs>
          <w:tab w:val="num" w:pos="7200"/>
        </w:tabs>
        <w:ind w:left="7200" w:hanging="360"/>
      </w:pPr>
      <w:rPr>
        <w:rFonts w:ascii="Wingdings" w:hAnsi="Wingdings" w:hint="default"/>
      </w:rPr>
    </w:lvl>
  </w:abstractNum>
  <w:abstractNum w:abstractNumId="134">
    <w:nsid w:val="3C74002D"/>
    <w:multiLevelType w:val="multilevel"/>
    <w:tmpl w:val="D458B6A2"/>
    <w:lvl w:ilvl="0">
      <w:start w:val="5"/>
      <w:numFmt w:val="decimal"/>
      <w:lvlText w:val="%1"/>
      <w:lvlJc w:val="left"/>
      <w:pPr>
        <w:ind w:left="480" w:hanging="480"/>
      </w:pPr>
      <w:rPr>
        <w:rFonts w:hint="default"/>
      </w:rPr>
    </w:lvl>
    <w:lvl w:ilvl="1">
      <w:start w:val="1"/>
      <w:numFmt w:val="decimal"/>
      <w:lvlText w:val="%1.%2"/>
      <w:lvlJc w:val="left"/>
      <w:pPr>
        <w:ind w:left="529" w:hanging="480"/>
      </w:pPr>
      <w:rPr>
        <w:rFonts w:hint="default"/>
      </w:rPr>
    </w:lvl>
    <w:lvl w:ilvl="2">
      <w:start w:val="1"/>
      <w:numFmt w:val="decimal"/>
      <w:lvlText w:val="%1.%2.%3"/>
      <w:lvlJc w:val="left"/>
      <w:pPr>
        <w:ind w:left="818" w:hanging="720"/>
      </w:pPr>
      <w:rPr>
        <w:rFonts w:hint="default"/>
      </w:rPr>
    </w:lvl>
    <w:lvl w:ilvl="3">
      <w:start w:val="1"/>
      <w:numFmt w:val="decimal"/>
      <w:lvlText w:val="%1.%2.%3.%4"/>
      <w:lvlJc w:val="left"/>
      <w:pPr>
        <w:ind w:left="867" w:hanging="720"/>
      </w:pPr>
      <w:rPr>
        <w:rFonts w:hint="default"/>
      </w:rPr>
    </w:lvl>
    <w:lvl w:ilvl="4">
      <w:start w:val="1"/>
      <w:numFmt w:val="decimal"/>
      <w:lvlText w:val="%1.%2.%3.%4.%5"/>
      <w:lvlJc w:val="left"/>
      <w:pPr>
        <w:ind w:left="1276" w:hanging="1080"/>
      </w:pPr>
      <w:rPr>
        <w:rFonts w:hint="default"/>
      </w:rPr>
    </w:lvl>
    <w:lvl w:ilvl="5">
      <w:start w:val="1"/>
      <w:numFmt w:val="decimal"/>
      <w:lvlText w:val="%1.%2.%3.%4.%5.%6"/>
      <w:lvlJc w:val="left"/>
      <w:pPr>
        <w:ind w:left="1325" w:hanging="1080"/>
      </w:pPr>
      <w:rPr>
        <w:rFonts w:hint="default"/>
      </w:rPr>
    </w:lvl>
    <w:lvl w:ilvl="6">
      <w:start w:val="1"/>
      <w:numFmt w:val="decimal"/>
      <w:lvlText w:val="%1.%2.%3.%4.%5.%6.%7"/>
      <w:lvlJc w:val="left"/>
      <w:pPr>
        <w:ind w:left="1734" w:hanging="1440"/>
      </w:pPr>
      <w:rPr>
        <w:rFonts w:hint="default"/>
      </w:rPr>
    </w:lvl>
    <w:lvl w:ilvl="7">
      <w:start w:val="1"/>
      <w:numFmt w:val="decimal"/>
      <w:lvlText w:val="%1.%2.%3.%4.%5.%6.%7.%8"/>
      <w:lvlJc w:val="left"/>
      <w:pPr>
        <w:ind w:left="1783" w:hanging="1440"/>
      </w:pPr>
      <w:rPr>
        <w:rFonts w:hint="default"/>
      </w:rPr>
    </w:lvl>
    <w:lvl w:ilvl="8">
      <w:start w:val="1"/>
      <w:numFmt w:val="decimal"/>
      <w:lvlText w:val="%1.%2.%3.%4.%5.%6.%7.%8.%9"/>
      <w:lvlJc w:val="left"/>
      <w:pPr>
        <w:ind w:left="2192" w:hanging="1800"/>
      </w:pPr>
      <w:rPr>
        <w:rFonts w:hint="default"/>
      </w:rPr>
    </w:lvl>
  </w:abstractNum>
  <w:abstractNum w:abstractNumId="135">
    <w:nsid w:val="3DAF301A"/>
    <w:multiLevelType w:val="hybridMultilevel"/>
    <w:tmpl w:val="00749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3E99285E"/>
    <w:multiLevelType w:val="hybridMultilevel"/>
    <w:tmpl w:val="BE8ED3A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3EF613CE"/>
    <w:multiLevelType w:val="multilevel"/>
    <w:tmpl w:val="DA34921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8">
    <w:nsid w:val="3F7D57FE"/>
    <w:multiLevelType w:val="multilevel"/>
    <w:tmpl w:val="06426BE0"/>
    <w:lvl w:ilvl="0">
      <w:start w:val="8"/>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39">
    <w:nsid w:val="3FE90871"/>
    <w:multiLevelType w:val="hybridMultilevel"/>
    <w:tmpl w:val="311ED226"/>
    <w:lvl w:ilvl="0" w:tplc="ADCA8B56">
      <w:start w:val="1"/>
      <w:numFmt w:val="decimal"/>
      <w:lvlText w:val="4.%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nsid w:val="40F94CF0"/>
    <w:multiLevelType w:val="multilevel"/>
    <w:tmpl w:val="A32EC162"/>
    <w:lvl w:ilvl="0">
      <w:start w:val="5"/>
      <w:numFmt w:val="decimal"/>
      <w:lvlText w:val="%1"/>
      <w:lvlJc w:val="left"/>
      <w:pPr>
        <w:ind w:left="360" w:hanging="360"/>
      </w:pPr>
      <w:rPr>
        <w:rFonts w:hint="default"/>
      </w:rPr>
    </w:lvl>
    <w:lvl w:ilvl="1">
      <w:start w:val="4"/>
      <w:numFmt w:val="decimal"/>
      <w:lvlText w:val="%1.%2"/>
      <w:lvlJc w:val="left"/>
      <w:pPr>
        <w:ind w:left="458" w:hanging="360"/>
      </w:pPr>
      <w:rPr>
        <w:rFonts w:hint="default"/>
      </w:rPr>
    </w:lvl>
    <w:lvl w:ilvl="2">
      <w:start w:val="1"/>
      <w:numFmt w:val="decimal"/>
      <w:lvlText w:val="%1.%2.%3"/>
      <w:lvlJc w:val="left"/>
      <w:pPr>
        <w:ind w:left="916" w:hanging="720"/>
      </w:pPr>
      <w:rPr>
        <w:rFonts w:hint="default"/>
      </w:rPr>
    </w:lvl>
    <w:lvl w:ilvl="3">
      <w:start w:val="1"/>
      <w:numFmt w:val="decimal"/>
      <w:lvlText w:val="%1.%2.%3.%4"/>
      <w:lvlJc w:val="left"/>
      <w:pPr>
        <w:ind w:left="1014" w:hanging="720"/>
      </w:pPr>
      <w:rPr>
        <w:rFonts w:hint="default"/>
      </w:rPr>
    </w:lvl>
    <w:lvl w:ilvl="4">
      <w:start w:val="1"/>
      <w:numFmt w:val="decimal"/>
      <w:lvlText w:val="%1.%2.%3.%4.%5"/>
      <w:lvlJc w:val="left"/>
      <w:pPr>
        <w:ind w:left="1472" w:hanging="1080"/>
      </w:pPr>
      <w:rPr>
        <w:rFonts w:hint="default"/>
      </w:rPr>
    </w:lvl>
    <w:lvl w:ilvl="5">
      <w:start w:val="1"/>
      <w:numFmt w:val="decimal"/>
      <w:lvlText w:val="%1.%2.%3.%4.%5.%6"/>
      <w:lvlJc w:val="left"/>
      <w:pPr>
        <w:ind w:left="1570" w:hanging="1080"/>
      </w:pPr>
      <w:rPr>
        <w:rFonts w:hint="default"/>
      </w:rPr>
    </w:lvl>
    <w:lvl w:ilvl="6">
      <w:start w:val="1"/>
      <w:numFmt w:val="decimal"/>
      <w:lvlText w:val="%1.%2.%3.%4.%5.%6.%7"/>
      <w:lvlJc w:val="left"/>
      <w:pPr>
        <w:ind w:left="2028" w:hanging="1440"/>
      </w:pPr>
      <w:rPr>
        <w:rFonts w:hint="default"/>
      </w:rPr>
    </w:lvl>
    <w:lvl w:ilvl="7">
      <w:start w:val="1"/>
      <w:numFmt w:val="decimal"/>
      <w:lvlText w:val="%1.%2.%3.%4.%5.%6.%7.%8"/>
      <w:lvlJc w:val="left"/>
      <w:pPr>
        <w:ind w:left="2126" w:hanging="1440"/>
      </w:pPr>
      <w:rPr>
        <w:rFonts w:hint="default"/>
      </w:rPr>
    </w:lvl>
    <w:lvl w:ilvl="8">
      <w:start w:val="1"/>
      <w:numFmt w:val="decimal"/>
      <w:lvlText w:val="%1.%2.%3.%4.%5.%6.%7.%8.%9"/>
      <w:lvlJc w:val="left"/>
      <w:pPr>
        <w:ind w:left="2584" w:hanging="1800"/>
      </w:pPr>
      <w:rPr>
        <w:rFonts w:hint="default"/>
      </w:rPr>
    </w:lvl>
  </w:abstractNum>
  <w:abstractNum w:abstractNumId="141">
    <w:nsid w:val="418F4467"/>
    <w:multiLevelType w:val="multilevel"/>
    <w:tmpl w:val="3E327560"/>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2">
    <w:nsid w:val="42B13671"/>
    <w:multiLevelType w:val="multilevel"/>
    <w:tmpl w:val="B4721F2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3">
    <w:nsid w:val="42D22D83"/>
    <w:multiLevelType w:val="multilevel"/>
    <w:tmpl w:val="B406B8EA"/>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44">
    <w:nsid w:val="42DD59FD"/>
    <w:multiLevelType w:val="hybridMultilevel"/>
    <w:tmpl w:val="60F649CE"/>
    <w:lvl w:ilvl="0" w:tplc="FA2E7108">
      <w:start w:val="1"/>
      <w:numFmt w:val="decimal"/>
      <w:lvlText w:val="4.7.%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nsid w:val="43501965"/>
    <w:multiLevelType w:val="hybridMultilevel"/>
    <w:tmpl w:val="46FA668A"/>
    <w:lvl w:ilvl="0" w:tplc="08090001">
      <w:start w:val="1"/>
      <w:numFmt w:val="bullet"/>
      <w:lvlText w:val=""/>
      <w:lvlJc w:val="left"/>
      <w:pPr>
        <w:ind w:left="1170" w:hanging="360"/>
      </w:pPr>
      <w:rPr>
        <w:rFonts w:ascii="Symbol" w:hAnsi="Symbol" w:hint="default"/>
      </w:rPr>
    </w:lvl>
    <w:lvl w:ilvl="1" w:tplc="08090003" w:tentative="1">
      <w:start w:val="1"/>
      <w:numFmt w:val="bullet"/>
      <w:lvlText w:val="o"/>
      <w:lvlJc w:val="left"/>
      <w:pPr>
        <w:ind w:left="1890" w:hanging="360"/>
      </w:pPr>
      <w:rPr>
        <w:rFonts w:ascii="Courier New" w:hAnsi="Courier New" w:cs="Courier New" w:hint="default"/>
      </w:rPr>
    </w:lvl>
    <w:lvl w:ilvl="2" w:tplc="08090005" w:tentative="1">
      <w:start w:val="1"/>
      <w:numFmt w:val="bullet"/>
      <w:lvlText w:val=""/>
      <w:lvlJc w:val="left"/>
      <w:pPr>
        <w:ind w:left="2610" w:hanging="360"/>
      </w:pPr>
      <w:rPr>
        <w:rFonts w:ascii="Wingdings" w:hAnsi="Wingdings" w:hint="default"/>
      </w:rPr>
    </w:lvl>
    <w:lvl w:ilvl="3" w:tplc="08090001" w:tentative="1">
      <w:start w:val="1"/>
      <w:numFmt w:val="bullet"/>
      <w:lvlText w:val=""/>
      <w:lvlJc w:val="left"/>
      <w:pPr>
        <w:ind w:left="3330" w:hanging="360"/>
      </w:pPr>
      <w:rPr>
        <w:rFonts w:ascii="Symbol" w:hAnsi="Symbol" w:hint="default"/>
      </w:rPr>
    </w:lvl>
    <w:lvl w:ilvl="4" w:tplc="08090003" w:tentative="1">
      <w:start w:val="1"/>
      <w:numFmt w:val="bullet"/>
      <w:lvlText w:val="o"/>
      <w:lvlJc w:val="left"/>
      <w:pPr>
        <w:ind w:left="4050" w:hanging="360"/>
      </w:pPr>
      <w:rPr>
        <w:rFonts w:ascii="Courier New" w:hAnsi="Courier New" w:cs="Courier New" w:hint="default"/>
      </w:rPr>
    </w:lvl>
    <w:lvl w:ilvl="5" w:tplc="08090005" w:tentative="1">
      <w:start w:val="1"/>
      <w:numFmt w:val="bullet"/>
      <w:lvlText w:val=""/>
      <w:lvlJc w:val="left"/>
      <w:pPr>
        <w:ind w:left="4770" w:hanging="360"/>
      </w:pPr>
      <w:rPr>
        <w:rFonts w:ascii="Wingdings" w:hAnsi="Wingdings" w:hint="default"/>
      </w:rPr>
    </w:lvl>
    <w:lvl w:ilvl="6" w:tplc="08090001" w:tentative="1">
      <w:start w:val="1"/>
      <w:numFmt w:val="bullet"/>
      <w:lvlText w:val=""/>
      <w:lvlJc w:val="left"/>
      <w:pPr>
        <w:ind w:left="5490" w:hanging="360"/>
      </w:pPr>
      <w:rPr>
        <w:rFonts w:ascii="Symbol" w:hAnsi="Symbol" w:hint="default"/>
      </w:rPr>
    </w:lvl>
    <w:lvl w:ilvl="7" w:tplc="08090003" w:tentative="1">
      <w:start w:val="1"/>
      <w:numFmt w:val="bullet"/>
      <w:lvlText w:val="o"/>
      <w:lvlJc w:val="left"/>
      <w:pPr>
        <w:ind w:left="6210" w:hanging="360"/>
      </w:pPr>
      <w:rPr>
        <w:rFonts w:ascii="Courier New" w:hAnsi="Courier New" w:cs="Courier New" w:hint="default"/>
      </w:rPr>
    </w:lvl>
    <w:lvl w:ilvl="8" w:tplc="08090005" w:tentative="1">
      <w:start w:val="1"/>
      <w:numFmt w:val="bullet"/>
      <w:lvlText w:val=""/>
      <w:lvlJc w:val="left"/>
      <w:pPr>
        <w:ind w:left="6930" w:hanging="360"/>
      </w:pPr>
      <w:rPr>
        <w:rFonts w:ascii="Wingdings" w:hAnsi="Wingdings" w:hint="default"/>
      </w:rPr>
    </w:lvl>
  </w:abstractNum>
  <w:abstractNum w:abstractNumId="146">
    <w:nsid w:val="441A4F0C"/>
    <w:multiLevelType w:val="hybridMultilevel"/>
    <w:tmpl w:val="6FCA03E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7">
    <w:nsid w:val="446E7D1B"/>
    <w:multiLevelType w:val="multilevel"/>
    <w:tmpl w:val="B0BC9A4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8">
    <w:nsid w:val="44D30827"/>
    <w:multiLevelType w:val="multilevel"/>
    <w:tmpl w:val="1C96FB7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9">
    <w:nsid w:val="454D4DDF"/>
    <w:multiLevelType w:val="hybridMultilevel"/>
    <w:tmpl w:val="B31A63CC"/>
    <w:lvl w:ilvl="0" w:tplc="FA4CD6C8">
      <w:start w:val="1"/>
      <w:numFmt w:val="decimal"/>
      <w:lvlText w:val="4.2.%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nsid w:val="45B31C36"/>
    <w:multiLevelType w:val="hybridMultilevel"/>
    <w:tmpl w:val="EC203C6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1">
    <w:nsid w:val="46394EA3"/>
    <w:multiLevelType w:val="multilevel"/>
    <w:tmpl w:val="0C09001F"/>
    <w:styleLink w:val="Style1"/>
    <w:lvl w:ilvl="0">
      <w:start w:val="5"/>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52">
    <w:nsid w:val="463D62A4"/>
    <w:multiLevelType w:val="multilevel"/>
    <w:tmpl w:val="06426BE0"/>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53">
    <w:nsid w:val="46CA0610"/>
    <w:multiLevelType w:val="hybridMultilevel"/>
    <w:tmpl w:val="82DEEE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nsid w:val="46EC0276"/>
    <w:multiLevelType w:val="multilevel"/>
    <w:tmpl w:val="D06A11E4"/>
    <w:lvl w:ilvl="0">
      <w:start w:val="4"/>
      <w:numFmt w:val="decimal"/>
      <w:lvlText w:val="%1"/>
      <w:lvlJc w:val="left"/>
      <w:pPr>
        <w:ind w:left="480" w:hanging="480"/>
      </w:pPr>
      <w:rPr>
        <w:rFonts w:hint="default"/>
      </w:rPr>
    </w:lvl>
    <w:lvl w:ilvl="1">
      <w:start w:val="3"/>
      <w:numFmt w:val="decimal"/>
      <w:lvlText w:val="%1.%2"/>
      <w:lvlJc w:val="left"/>
      <w:pPr>
        <w:ind w:left="660" w:hanging="480"/>
      </w:pPr>
      <w:rPr>
        <w:rFonts w:hint="default"/>
      </w:rPr>
    </w:lvl>
    <w:lvl w:ilvl="2">
      <w:start w:val="1"/>
      <w:numFmt w:val="decimal"/>
      <w:lvlText w:val="%1.%2.%3"/>
      <w:lvlJc w:val="left"/>
      <w:pPr>
        <w:ind w:left="1080" w:hanging="720"/>
      </w:pPr>
      <w:rPr>
        <w:rFonts w:hint="default"/>
        <w:b/>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55">
    <w:nsid w:val="471C3F66"/>
    <w:multiLevelType w:val="hybridMultilevel"/>
    <w:tmpl w:val="DA7091E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6">
    <w:nsid w:val="472A46FC"/>
    <w:multiLevelType w:val="multilevel"/>
    <w:tmpl w:val="F01ABF56"/>
    <w:lvl w:ilvl="0">
      <w:start w:val="2"/>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7">
    <w:nsid w:val="47CF0F5B"/>
    <w:multiLevelType w:val="multilevel"/>
    <w:tmpl w:val="3EA82D3C"/>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8">
    <w:nsid w:val="48313A68"/>
    <w:multiLevelType w:val="multilevel"/>
    <w:tmpl w:val="EA043E5A"/>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9">
    <w:nsid w:val="48A51A58"/>
    <w:multiLevelType w:val="multilevel"/>
    <w:tmpl w:val="D29E6FF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0">
    <w:nsid w:val="49921ECD"/>
    <w:multiLevelType w:val="multilevel"/>
    <w:tmpl w:val="C9FA1A66"/>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1">
    <w:nsid w:val="49F1779B"/>
    <w:multiLevelType w:val="hybridMultilevel"/>
    <w:tmpl w:val="8D5C6F86"/>
    <w:lvl w:ilvl="0" w:tplc="F9BC56EA">
      <w:start w:val="1"/>
      <w:numFmt w:val="decimal"/>
      <w:lvlText w:val="3.%1."/>
      <w:lvlJc w:val="left"/>
      <w:pPr>
        <w:ind w:left="72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nsid w:val="4B320DED"/>
    <w:multiLevelType w:val="hybridMultilevel"/>
    <w:tmpl w:val="B93E3072"/>
    <w:lvl w:ilvl="0" w:tplc="0409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163">
    <w:nsid w:val="4B8749E4"/>
    <w:multiLevelType w:val="hybridMultilevel"/>
    <w:tmpl w:val="EAB6DFF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4">
    <w:nsid w:val="4C6F75EB"/>
    <w:multiLevelType w:val="hybridMultilevel"/>
    <w:tmpl w:val="0AB402E0"/>
    <w:lvl w:ilvl="0" w:tplc="5F0011A8">
      <w:start w:val="1"/>
      <w:numFmt w:val="decimal"/>
      <w:lvlText w:val="5.%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nsid w:val="4CFE6486"/>
    <w:multiLevelType w:val="multilevel"/>
    <w:tmpl w:val="270AED2C"/>
    <w:lvl w:ilvl="0">
      <w:start w:val="4"/>
      <w:numFmt w:val="decimal"/>
      <w:lvlText w:val="%1"/>
      <w:lvlJc w:val="left"/>
      <w:pPr>
        <w:ind w:left="360" w:hanging="360"/>
      </w:pPr>
      <w:rPr>
        <w:rFonts w:hint="default"/>
        <w:b/>
      </w:rPr>
    </w:lvl>
    <w:lvl w:ilvl="1">
      <w:start w:val="1"/>
      <w:numFmt w:val="decimal"/>
      <w:lvlText w:val="%1.%2"/>
      <w:lvlJc w:val="left"/>
      <w:pPr>
        <w:ind w:left="645" w:hanging="360"/>
      </w:pPr>
      <w:rPr>
        <w:rFonts w:hint="default"/>
        <w:b/>
      </w:rPr>
    </w:lvl>
    <w:lvl w:ilvl="2">
      <w:start w:val="1"/>
      <w:numFmt w:val="decimal"/>
      <w:lvlText w:val="%1.%2.%3"/>
      <w:lvlJc w:val="left"/>
      <w:pPr>
        <w:ind w:left="1290" w:hanging="720"/>
      </w:pPr>
      <w:rPr>
        <w:rFonts w:hint="default"/>
        <w:b/>
      </w:rPr>
    </w:lvl>
    <w:lvl w:ilvl="3">
      <w:start w:val="1"/>
      <w:numFmt w:val="decimal"/>
      <w:lvlText w:val="%1.%2.%3.%4"/>
      <w:lvlJc w:val="left"/>
      <w:pPr>
        <w:ind w:left="1575" w:hanging="720"/>
      </w:pPr>
      <w:rPr>
        <w:rFonts w:hint="default"/>
        <w:b/>
      </w:rPr>
    </w:lvl>
    <w:lvl w:ilvl="4">
      <w:start w:val="1"/>
      <w:numFmt w:val="decimal"/>
      <w:lvlText w:val="%1.%2.%3.%4.%5"/>
      <w:lvlJc w:val="left"/>
      <w:pPr>
        <w:ind w:left="2220" w:hanging="1080"/>
      </w:pPr>
      <w:rPr>
        <w:rFonts w:hint="default"/>
        <w:b/>
      </w:rPr>
    </w:lvl>
    <w:lvl w:ilvl="5">
      <w:start w:val="1"/>
      <w:numFmt w:val="decimal"/>
      <w:lvlText w:val="%1.%2.%3.%4.%5.%6"/>
      <w:lvlJc w:val="left"/>
      <w:pPr>
        <w:ind w:left="2505" w:hanging="1080"/>
      </w:pPr>
      <w:rPr>
        <w:rFonts w:hint="default"/>
        <w:b/>
      </w:rPr>
    </w:lvl>
    <w:lvl w:ilvl="6">
      <w:start w:val="1"/>
      <w:numFmt w:val="decimal"/>
      <w:lvlText w:val="%1.%2.%3.%4.%5.%6.%7"/>
      <w:lvlJc w:val="left"/>
      <w:pPr>
        <w:ind w:left="3150" w:hanging="1440"/>
      </w:pPr>
      <w:rPr>
        <w:rFonts w:hint="default"/>
        <w:b/>
      </w:rPr>
    </w:lvl>
    <w:lvl w:ilvl="7">
      <w:start w:val="1"/>
      <w:numFmt w:val="decimal"/>
      <w:lvlText w:val="%1.%2.%3.%4.%5.%6.%7.%8"/>
      <w:lvlJc w:val="left"/>
      <w:pPr>
        <w:ind w:left="3435" w:hanging="1440"/>
      </w:pPr>
      <w:rPr>
        <w:rFonts w:hint="default"/>
        <w:b/>
      </w:rPr>
    </w:lvl>
    <w:lvl w:ilvl="8">
      <w:start w:val="1"/>
      <w:numFmt w:val="decimal"/>
      <w:lvlText w:val="%1.%2.%3.%4.%5.%6.%7.%8.%9"/>
      <w:lvlJc w:val="left"/>
      <w:pPr>
        <w:ind w:left="4080" w:hanging="1800"/>
      </w:pPr>
      <w:rPr>
        <w:rFonts w:hint="default"/>
        <w:b/>
      </w:rPr>
    </w:lvl>
  </w:abstractNum>
  <w:abstractNum w:abstractNumId="166">
    <w:nsid w:val="4D1D0A98"/>
    <w:multiLevelType w:val="hybridMultilevel"/>
    <w:tmpl w:val="39AAA136"/>
    <w:lvl w:ilvl="0" w:tplc="04090001">
      <w:start w:val="1"/>
      <w:numFmt w:val="bullet"/>
      <w:lvlText w:val=""/>
      <w:lvlJc w:val="left"/>
      <w:pPr>
        <w:tabs>
          <w:tab w:val="num" w:pos="1639"/>
        </w:tabs>
        <w:ind w:left="1639" w:hanging="363"/>
      </w:pPr>
      <w:rPr>
        <w:rFonts w:ascii="Symbol" w:hAnsi="Symbol"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167">
    <w:nsid w:val="4D5A3ABB"/>
    <w:multiLevelType w:val="multilevel"/>
    <w:tmpl w:val="A2F05088"/>
    <w:lvl w:ilvl="0">
      <w:start w:val="3"/>
      <w:numFmt w:val="decimal"/>
      <w:lvlText w:val="%1"/>
      <w:lvlJc w:val="left"/>
      <w:pPr>
        <w:ind w:left="360" w:hanging="360"/>
      </w:pPr>
      <w:rPr>
        <w:rFonts w:hint="default"/>
      </w:rPr>
    </w:lvl>
    <w:lvl w:ilvl="1">
      <w:start w:val="1"/>
      <w:numFmt w:val="decimal"/>
      <w:lvlText w:val="%1.%2"/>
      <w:lvlJc w:val="left"/>
      <w:pPr>
        <w:ind w:left="645" w:hanging="360"/>
      </w:pPr>
      <w:rPr>
        <w:rFonts w:hint="default"/>
        <w:b/>
      </w:rPr>
    </w:lvl>
    <w:lvl w:ilvl="2">
      <w:start w:val="1"/>
      <w:numFmt w:val="decimal"/>
      <w:lvlText w:val="%1.%2.%3"/>
      <w:lvlJc w:val="left"/>
      <w:pPr>
        <w:ind w:left="1290" w:hanging="720"/>
      </w:pPr>
      <w:rPr>
        <w:rFonts w:hint="default"/>
        <w:b/>
      </w:rPr>
    </w:lvl>
    <w:lvl w:ilvl="3">
      <w:start w:val="1"/>
      <w:numFmt w:val="decimal"/>
      <w:lvlText w:val="%1.%2.%3.%4"/>
      <w:lvlJc w:val="left"/>
      <w:pPr>
        <w:ind w:left="1575" w:hanging="720"/>
      </w:pPr>
      <w:rPr>
        <w:rFonts w:hint="default"/>
      </w:rPr>
    </w:lvl>
    <w:lvl w:ilvl="4">
      <w:start w:val="1"/>
      <w:numFmt w:val="decimal"/>
      <w:lvlText w:val="%1.%2.%3.%4.%5"/>
      <w:lvlJc w:val="left"/>
      <w:pPr>
        <w:ind w:left="2220" w:hanging="1080"/>
      </w:pPr>
      <w:rPr>
        <w:rFonts w:hint="default"/>
      </w:rPr>
    </w:lvl>
    <w:lvl w:ilvl="5">
      <w:start w:val="1"/>
      <w:numFmt w:val="decimal"/>
      <w:lvlText w:val="%1.%2.%3.%4.%5.%6"/>
      <w:lvlJc w:val="left"/>
      <w:pPr>
        <w:ind w:left="2505" w:hanging="1080"/>
      </w:pPr>
      <w:rPr>
        <w:rFonts w:hint="default"/>
      </w:rPr>
    </w:lvl>
    <w:lvl w:ilvl="6">
      <w:start w:val="1"/>
      <w:numFmt w:val="decimal"/>
      <w:lvlText w:val="%1.%2.%3.%4.%5.%6.%7"/>
      <w:lvlJc w:val="left"/>
      <w:pPr>
        <w:ind w:left="3150" w:hanging="1440"/>
      </w:pPr>
      <w:rPr>
        <w:rFonts w:hint="default"/>
      </w:rPr>
    </w:lvl>
    <w:lvl w:ilvl="7">
      <w:start w:val="1"/>
      <w:numFmt w:val="decimal"/>
      <w:lvlText w:val="%1.%2.%3.%4.%5.%6.%7.%8"/>
      <w:lvlJc w:val="left"/>
      <w:pPr>
        <w:ind w:left="3435" w:hanging="1440"/>
      </w:pPr>
      <w:rPr>
        <w:rFonts w:hint="default"/>
      </w:rPr>
    </w:lvl>
    <w:lvl w:ilvl="8">
      <w:start w:val="1"/>
      <w:numFmt w:val="decimal"/>
      <w:lvlText w:val="%1.%2.%3.%4.%5.%6.%7.%8.%9"/>
      <w:lvlJc w:val="left"/>
      <w:pPr>
        <w:ind w:left="4080" w:hanging="1800"/>
      </w:pPr>
      <w:rPr>
        <w:rFonts w:hint="default"/>
      </w:rPr>
    </w:lvl>
  </w:abstractNum>
  <w:abstractNum w:abstractNumId="168">
    <w:nsid w:val="4DC835E1"/>
    <w:multiLevelType w:val="multilevel"/>
    <w:tmpl w:val="17264C14"/>
    <w:lvl w:ilvl="0">
      <w:start w:val="5"/>
      <w:numFmt w:val="decimal"/>
      <w:lvlText w:val="%1"/>
      <w:lvlJc w:val="left"/>
      <w:pPr>
        <w:ind w:left="360" w:hanging="360"/>
      </w:pPr>
      <w:rPr>
        <w:rFonts w:hint="default"/>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69">
    <w:nsid w:val="4DCC4ED3"/>
    <w:multiLevelType w:val="hybridMultilevel"/>
    <w:tmpl w:val="E7B242D8"/>
    <w:lvl w:ilvl="0" w:tplc="EC56477E">
      <w:start w:val="1"/>
      <w:numFmt w:val="decimal"/>
      <w:lvlText w:val="3.%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nsid w:val="4EFB3B33"/>
    <w:multiLevelType w:val="hybridMultilevel"/>
    <w:tmpl w:val="9D8EE5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nsid w:val="50CA286F"/>
    <w:multiLevelType w:val="multilevel"/>
    <w:tmpl w:val="63FC3B66"/>
    <w:lvl w:ilvl="0">
      <w:start w:val="6"/>
      <w:numFmt w:val="decimal"/>
      <w:lvlText w:val="%1"/>
      <w:lvlJc w:val="left"/>
      <w:pPr>
        <w:ind w:left="360" w:hanging="360"/>
      </w:pPr>
      <w:rPr>
        <w:rFonts w:hint="default"/>
      </w:rPr>
    </w:lvl>
    <w:lvl w:ilvl="1">
      <w:start w:val="1"/>
      <w:numFmt w:val="decimal"/>
      <w:lvlText w:val="%1.%2"/>
      <w:lvlJc w:val="left"/>
      <w:pPr>
        <w:ind w:left="1080" w:hanging="360"/>
      </w:pPr>
      <w:rPr>
        <w:rFonts w:hint="default"/>
        <w:b/>
        <w:i w:val="0"/>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72">
    <w:nsid w:val="514170ED"/>
    <w:multiLevelType w:val="multilevel"/>
    <w:tmpl w:val="24D08A9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3">
    <w:nsid w:val="51A154DF"/>
    <w:multiLevelType w:val="hybridMultilevel"/>
    <w:tmpl w:val="7BA04F82"/>
    <w:lvl w:ilvl="0" w:tplc="0409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174">
    <w:nsid w:val="51A728E5"/>
    <w:multiLevelType w:val="multilevel"/>
    <w:tmpl w:val="56C88936"/>
    <w:lvl w:ilvl="0">
      <w:start w:val="5"/>
      <w:numFmt w:val="decimal"/>
      <w:lvlText w:val="%1"/>
      <w:lvlJc w:val="left"/>
      <w:pPr>
        <w:ind w:left="360" w:hanging="360"/>
      </w:pPr>
      <w:rPr>
        <w:rFonts w:hint="default"/>
      </w:rPr>
    </w:lvl>
    <w:lvl w:ilvl="1">
      <w:start w:val="8"/>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5">
    <w:nsid w:val="51B8351F"/>
    <w:multiLevelType w:val="multilevel"/>
    <w:tmpl w:val="62F4C952"/>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6">
    <w:nsid w:val="526522A3"/>
    <w:multiLevelType w:val="multilevel"/>
    <w:tmpl w:val="DD8CC2A2"/>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7">
    <w:nsid w:val="5280426E"/>
    <w:multiLevelType w:val="hybridMultilevel"/>
    <w:tmpl w:val="6A3C07E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8">
    <w:nsid w:val="52B477F2"/>
    <w:multiLevelType w:val="multilevel"/>
    <w:tmpl w:val="C8309302"/>
    <w:lvl w:ilvl="0">
      <w:start w:val="5"/>
      <w:numFmt w:val="decimal"/>
      <w:lvlText w:val="%1"/>
      <w:lvlJc w:val="left"/>
      <w:pPr>
        <w:ind w:left="480" w:hanging="480"/>
      </w:pPr>
      <w:rPr>
        <w:rFonts w:hint="default"/>
      </w:rPr>
    </w:lvl>
    <w:lvl w:ilvl="1">
      <w:start w:val="5"/>
      <w:numFmt w:val="decimal"/>
      <w:lvlText w:val="%1.%2"/>
      <w:lvlJc w:val="left"/>
      <w:pPr>
        <w:ind w:left="480" w:hanging="48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9">
    <w:nsid w:val="52CB0447"/>
    <w:multiLevelType w:val="multilevel"/>
    <w:tmpl w:val="7598D3AE"/>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0">
    <w:nsid w:val="538D104A"/>
    <w:multiLevelType w:val="multilevel"/>
    <w:tmpl w:val="55CA939E"/>
    <w:lvl w:ilvl="0">
      <w:start w:val="1"/>
      <w:numFmt w:val="decimal"/>
      <w:lvlText w:val="%1."/>
      <w:lvlJc w:val="left"/>
      <w:pPr>
        <w:tabs>
          <w:tab w:val="num" w:pos="360"/>
        </w:tabs>
        <w:ind w:left="360" w:hanging="360"/>
      </w:pPr>
      <w:rPr>
        <w:rFonts w:ascii="Arial" w:eastAsiaTheme="minorHAnsi" w:hAnsi="Arial" w:cs="Arial"/>
        <w:b w:val="0"/>
        <w:bCs w:val="0"/>
        <w:i w:val="0"/>
        <w:iCs w:val="0"/>
        <w:caps w:val="0"/>
        <w:strike w:val="0"/>
        <w:dstrike w:val="0"/>
        <w:outline w:val="0"/>
        <w:shadow w:val="0"/>
        <w:emboss w:val="0"/>
        <w:imprint w:val="0"/>
        <w:vanish w:val="0"/>
        <w:sz w:val="22"/>
        <w:szCs w:val="22"/>
        <w:vertAlign w:val="baseline"/>
      </w:rPr>
    </w:lvl>
    <w:lvl w:ilvl="1">
      <w:start w:val="1"/>
      <w:numFmt w:val="decimal"/>
      <w:lvlText w:val="%2."/>
      <w:lvlJc w:val="left"/>
      <w:pPr>
        <w:tabs>
          <w:tab w:val="num" w:pos="792"/>
        </w:tabs>
        <w:ind w:left="792" w:hanging="432"/>
      </w:pPr>
      <w:rPr>
        <w:rFonts w:cs="Times New Roman"/>
        <w:b w:val="0"/>
        <w:bCs w:val="0"/>
        <w:i w:val="0"/>
        <w:iCs/>
        <w:caps w:val="0"/>
        <w:strike w:val="0"/>
        <w:dstrike w:val="0"/>
        <w:shadow w:val="0"/>
        <w:emboss w:val="0"/>
        <w:imprint w:val="0"/>
        <w:vanish w:val="0"/>
        <w:sz w:val="22"/>
        <w:szCs w:val="22"/>
        <w:vertAlign w:val="baseline"/>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81">
    <w:nsid w:val="54370488"/>
    <w:multiLevelType w:val="hybridMultilevel"/>
    <w:tmpl w:val="B07875E8"/>
    <w:lvl w:ilvl="0" w:tplc="08090001">
      <w:start w:val="1"/>
      <w:numFmt w:val="bullet"/>
      <w:lvlText w:val=""/>
      <w:lvlJc w:val="left"/>
      <w:pPr>
        <w:ind w:left="1170" w:hanging="360"/>
      </w:pPr>
      <w:rPr>
        <w:rFonts w:ascii="Symbol" w:hAnsi="Symbol" w:hint="default"/>
      </w:rPr>
    </w:lvl>
    <w:lvl w:ilvl="1" w:tplc="08090003" w:tentative="1">
      <w:start w:val="1"/>
      <w:numFmt w:val="bullet"/>
      <w:lvlText w:val="o"/>
      <w:lvlJc w:val="left"/>
      <w:pPr>
        <w:ind w:left="1890" w:hanging="360"/>
      </w:pPr>
      <w:rPr>
        <w:rFonts w:ascii="Courier New" w:hAnsi="Courier New" w:cs="Courier New" w:hint="default"/>
      </w:rPr>
    </w:lvl>
    <w:lvl w:ilvl="2" w:tplc="08090005" w:tentative="1">
      <w:start w:val="1"/>
      <w:numFmt w:val="bullet"/>
      <w:lvlText w:val=""/>
      <w:lvlJc w:val="left"/>
      <w:pPr>
        <w:ind w:left="2610" w:hanging="360"/>
      </w:pPr>
      <w:rPr>
        <w:rFonts w:ascii="Wingdings" w:hAnsi="Wingdings" w:hint="default"/>
      </w:rPr>
    </w:lvl>
    <w:lvl w:ilvl="3" w:tplc="08090001" w:tentative="1">
      <w:start w:val="1"/>
      <w:numFmt w:val="bullet"/>
      <w:lvlText w:val=""/>
      <w:lvlJc w:val="left"/>
      <w:pPr>
        <w:ind w:left="3330" w:hanging="360"/>
      </w:pPr>
      <w:rPr>
        <w:rFonts w:ascii="Symbol" w:hAnsi="Symbol" w:hint="default"/>
      </w:rPr>
    </w:lvl>
    <w:lvl w:ilvl="4" w:tplc="08090003" w:tentative="1">
      <w:start w:val="1"/>
      <w:numFmt w:val="bullet"/>
      <w:lvlText w:val="o"/>
      <w:lvlJc w:val="left"/>
      <w:pPr>
        <w:ind w:left="4050" w:hanging="360"/>
      </w:pPr>
      <w:rPr>
        <w:rFonts w:ascii="Courier New" w:hAnsi="Courier New" w:cs="Courier New" w:hint="default"/>
      </w:rPr>
    </w:lvl>
    <w:lvl w:ilvl="5" w:tplc="08090005" w:tentative="1">
      <w:start w:val="1"/>
      <w:numFmt w:val="bullet"/>
      <w:lvlText w:val=""/>
      <w:lvlJc w:val="left"/>
      <w:pPr>
        <w:ind w:left="4770" w:hanging="360"/>
      </w:pPr>
      <w:rPr>
        <w:rFonts w:ascii="Wingdings" w:hAnsi="Wingdings" w:hint="default"/>
      </w:rPr>
    </w:lvl>
    <w:lvl w:ilvl="6" w:tplc="08090001" w:tentative="1">
      <w:start w:val="1"/>
      <w:numFmt w:val="bullet"/>
      <w:lvlText w:val=""/>
      <w:lvlJc w:val="left"/>
      <w:pPr>
        <w:ind w:left="5490" w:hanging="360"/>
      </w:pPr>
      <w:rPr>
        <w:rFonts w:ascii="Symbol" w:hAnsi="Symbol" w:hint="default"/>
      </w:rPr>
    </w:lvl>
    <w:lvl w:ilvl="7" w:tplc="08090003" w:tentative="1">
      <w:start w:val="1"/>
      <w:numFmt w:val="bullet"/>
      <w:lvlText w:val="o"/>
      <w:lvlJc w:val="left"/>
      <w:pPr>
        <w:ind w:left="6210" w:hanging="360"/>
      </w:pPr>
      <w:rPr>
        <w:rFonts w:ascii="Courier New" w:hAnsi="Courier New" w:cs="Courier New" w:hint="default"/>
      </w:rPr>
    </w:lvl>
    <w:lvl w:ilvl="8" w:tplc="08090005" w:tentative="1">
      <w:start w:val="1"/>
      <w:numFmt w:val="bullet"/>
      <w:lvlText w:val=""/>
      <w:lvlJc w:val="left"/>
      <w:pPr>
        <w:ind w:left="6930" w:hanging="360"/>
      </w:pPr>
      <w:rPr>
        <w:rFonts w:ascii="Wingdings" w:hAnsi="Wingdings" w:hint="default"/>
      </w:rPr>
    </w:lvl>
  </w:abstractNum>
  <w:abstractNum w:abstractNumId="182">
    <w:nsid w:val="54F45332"/>
    <w:multiLevelType w:val="multilevel"/>
    <w:tmpl w:val="09DC78AC"/>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b/>
      </w:rPr>
    </w:lvl>
    <w:lvl w:ilvl="2">
      <w:start w:val="3"/>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3">
    <w:nsid w:val="55706C88"/>
    <w:multiLevelType w:val="multilevel"/>
    <w:tmpl w:val="E56E583E"/>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4">
    <w:nsid w:val="55CF24B4"/>
    <w:multiLevelType w:val="hybridMultilevel"/>
    <w:tmpl w:val="E2D0F9A8"/>
    <w:lvl w:ilvl="0" w:tplc="0410000F">
      <w:start w:val="1"/>
      <w:numFmt w:val="decimal"/>
      <w:lvlText w:val="%1."/>
      <w:lvlJc w:val="left"/>
      <w:pPr>
        <w:ind w:left="1080" w:hanging="360"/>
      </w:pPr>
      <w:rPr>
        <w:rFonts w:cs="Times New Roman"/>
        <w:b w:val="0"/>
        <w:bCs w:val="0"/>
      </w:rPr>
    </w:lvl>
    <w:lvl w:ilvl="1" w:tplc="04100019">
      <w:start w:val="1"/>
      <w:numFmt w:val="lowerLetter"/>
      <w:lvlText w:val="%2."/>
      <w:lvlJc w:val="left"/>
      <w:pPr>
        <w:ind w:left="1800" w:hanging="360"/>
      </w:pPr>
      <w:rPr>
        <w:rFonts w:cs="Times New Roman"/>
      </w:rPr>
    </w:lvl>
    <w:lvl w:ilvl="2" w:tplc="0410001B">
      <w:start w:val="1"/>
      <w:numFmt w:val="lowerRoman"/>
      <w:lvlText w:val="%3."/>
      <w:lvlJc w:val="right"/>
      <w:pPr>
        <w:ind w:left="2520" w:hanging="180"/>
      </w:pPr>
      <w:rPr>
        <w:rFonts w:cs="Times New Roman"/>
      </w:rPr>
    </w:lvl>
    <w:lvl w:ilvl="3" w:tplc="0410000F">
      <w:start w:val="1"/>
      <w:numFmt w:val="decimal"/>
      <w:lvlText w:val="%4."/>
      <w:lvlJc w:val="left"/>
      <w:pPr>
        <w:ind w:left="3240" w:hanging="360"/>
      </w:pPr>
      <w:rPr>
        <w:rFonts w:cs="Times New Roman"/>
      </w:rPr>
    </w:lvl>
    <w:lvl w:ilvl="4" w:tplc="04100019">
      <w:start w:val="1"/>
      <w:numFmt w:val="lowerLetter"/>
      <w:lvlText w:val="%5."/>
      <w:lvlJc w:val="left"/>
      <w:pPr>
        <w:ind w:left="3960" w:hanging="360"/>
      </w:pPr>
      <w:rPr>
        <w:rFonts w:cs="Times New Roman"/>
      </w:rPr>
    </w:lvl>
    <w:lvl w:ilvl="5" w:tplc="0410001B">
      <w:start w:val="1"/>
      <w:numFmt w:val="lowerRoman"/>
      <w:lvlText w:val="%6."/>
      <w:lvlJc w:val="right"/>
      <w:pPr>
        <w:ind w:left="4680" w:hanging="180"/>
      </w:pPr>
      <w:rPr>
        <w:rFonts w:cs="Times New Roman"/>
      </w:rPr>
    </w:lvl>
    <w:lvl w:ilvl="6" w:tplc="0410000F">
      <w:start w:val="1"/>
      <w:numFmt w:val="decimal"/>
      <w:lvlText w:val="%7."/>
      <w:lvlJc w:val="left"/>
      <w:pPr>
        <w:ind w:left="5400" w:hanging="360"/>
      </w:pPr>
      <w:rPr>
        <w:rFonts w:cs="Times New Roman"/>
      </w:rPr>
    </w:lvl>
    <w:lvl w:ilvl="7" w:tplc="04100019">
      <w:start w:val="1"/>
      <w:numFmt w:val="lowerLetter"/>
      <w:lvlText w:val="%8."/>
      <w:lvlJc w:val="left"/>
      <w:pPr>
        <w:ind w:left="6120" w:hanging="360"/>
      </w:pPr>
      <w:rPr>
        <w:rFonts w:cs="Times New Roman"/>
      </w:rPr>
    </w:lvl>
    <w:lvl w:ilvl="8" w:tplc="0410001B">
      <w:start w:val="1"/>
      <w:numFmt w:val="lowerRoman"/>
      <w:lvlText w:val="%9."/>
      <w:lvlJc w:val="right"/>
      <w:pPr>
        <w:ind w:left="6840" w:hanging="180"/>
      </w:pPr>
      <w:rPr>
        <w:rFonts w:cs="Times New Roman"/>
      </w:rPr>
    </w:lvl>
  </w:abstractNum>
  <w:abstractNum w:abstractNumId="185">
    <w:nsid w:val="560D06D6"/>
    <w:multiLevelType w:val="hybridMultilevel"/>
    <w:tmpl w:val="09DA29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Arial"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Arial" w:hint="default"/>
      </w:rPr>
    </w:lvl>
    <w:lvl w:ilvl="8" w:tplc="08090005" w:tentative="1">
      <w:start w:val="1"/>
      <w:numFmt w:val="bullet"/>
      <w:lvlText w:val=""/>
      <w:lvlJc w:val="left"/>
      <w:pPr>
        <w:ind w:left="6480" w:hanging="360"/>
      </w:pPr>
      <w:rPr>
        <w:rFonts w:ascii="Wingdings" w:hAnsi="Wingdings" w:hint="default"/>
      </w:rPr>
    </w:lvl>
  </w:abstractNum>
  <w:abstractNum w:abstractNumId="186">
    <w:nsid w:val="56152213"/>
    <w:multiLevelType w:val="hybridMultilevel"/>
    <w:tmpl w:val="B9DA7FEA"/>
    <w:lvl w:ilvl="0" w:tplc="0409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187">
    <w:nsid w:val="565D7B8D"/>
    <w:multiLevelType w:val="multilevel"/>
    <w:tmpl w:val="9DD8D8EC"/>
    <w:lvl w:ilvl="0">
      <w:start w:val="4"/>
      <w:numFmt w:val="decimal"/>
      <w:lvlText w:val="%1"/>
      <w:lvlJc w:val="left"/>
      <w:pPr>
        <w:ind w:left="360" w:hanging="360"/>
      </w:pPr>
      <w:rPr>
        <w:rFonts w:hint="default"/>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88">
    <w:nsid w:val="56BD67C7"/>
    <w:multiLevelType w:val="hybridMultilevel"/>
    <w:tmpl w:val="A3882DE4"/>
    <w:lvl w:ilvl="0" w:tplc="DE5E5B10">
      <w:start w:val="1"/>
      <w:numFmt w:val="decimal"/>
      <w:lvlText w:val="3.1.%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nsid w:val="56FF4B6B"/>
    <w:multiLevelType w:val="multilevel"/>
    <w:tmpl w:val="429E068A"/>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0">
    <w:nsid w:val="574821ED"/>
    <w:multiLevelType w:val="multilevel"/>
    <w:tmpl w:val="1BC49FFE"/>
    <w:lvl w:ilvl="0">
      <w:start w:val="6"/>
      <w:numFmt w:val="decimal"/>
      <w:lvlText w:val="%1"/>
      <w:lvlJc w:val="left"/>
      <w:pPr>
        <w:ind w:left="360" w:hanging="360"/>
      </w:pPr>
      <w:rPr>
        <w:rFonts w:hint="default"/>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91">
    <w:nsid w:val="57661FAF"/>
    <w:multiLevelType w:val="multilevel"/>
    <w:tmpl w:val="3B8A726A"/>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2">
    <w:nsid w:val="576B7CF9"/>
    <w:multiLevelType w:val="hybridMultilevel"/>
    <w:tmpl w:val="62CCC7A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nsid w:val="57703E0D"/>
    <w:multiLevelType w:val="hybridMultilevel"/>
    <w:tmpl w:val="901AD17A"/>
    <w:lvl w:ilvl="0" w:tplc="04090001">
      <w:start w:val="1"/>
      <w:numFmt w:val="bullet"/>
      <w:lvlText w:val=""/>
      <w:lvlJc w:val="left"/>
      <w:pPr>
        <w:tabs>
          <w:tab w:val="num" w:pos="1440"/>
        </w:tabs>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94">
    <w:nsid w:val="57B8694C"/>
    <w:multiLevelType w:val="hybridMultilevel"/>
    <w:tmpl w:val="9B00FFC8"/>
    <w:lvl w:ilvl="0" w:tplc="08090001">
      <w:start w:val="1"/>
      <w:numFmt w:val="bullet"/>
      <w:lvlText w:val=""/>
      <w:lvlJc w:val="left"/>
      <w:pPr>
        <w:ind w:left="1590" w:hanging="360"/>
      </w:pPr>
      <w:rPr>
        <w:rFonts w:ascii="Symbol" w:hAnsi="Symbol" w:hint="default"/>
      </w:rPr>
    </w:lvl>
    <w:lvl w:ilvl="1" w:tplc="08090003" w:tentative="1">
      <w:start w:val="1"/>
      <w:numFmt w:val="bullet"/>
      <w:lvlText w:val="o"/>
      <w:lvlJc w:val="left"/>
      <w:pPr>
        <w:ind w:left="2310" w:hanging="360"/>
      </w:pPr>
      <w:rPr>
        <w:rFonts w:ascii="Courier New" w:hAnsi="Courier New" w:cs="Courier New" w:hint="default"/>
      </w:rPr>
    </w:lvl>
    <w:lvl w:ilvl="2" w:tplc="08090005" w:tentative="1">
      <w:start w:val="1"/>
      <w:numFmt w:val="bullet"/>
      <w:lvlText w:val=""/>
      <w:lvlJc w:val="left"/>
      <w:pPr>
        <w:ind w:left="3030" w:hanging="360"/>
      </w:pPr>
      <w:rPr>
        <w:rFonts w:ascii="Wingdings" w:hAnsi="Wingdings" w:hint="default"/>
      </w:rPr>
    </w:lvl>
    <w:lvl w:ilvl="3" w:tplc="08090001" w:tentative="1">
      <w:start w:val="1"/>
      <w:numFmt w:val="bullet"/>
      <w:lvlText w:val=""/>
      <w:lvlJc w:val="left"/>
      <w:pPr>
        <w:ind w:left="3750" w:hanging="360"/>
      </w:pPr>
      <w:rPr>
        <w:rFonts w:ascii="Symbol" w:hAnsi="Symbol" w:hint="default"/>
      </w:rPr>
    </w:lvl>
    <w:lvl w:ilvl="4" w:tplc="08090003" w:tentative="1">
      <w:start w:val="1"/>
      <w:numFmt w:val="bullet"/>
      <w:lvlText w:val="o"/>
      <w:lvlJc w:val="left"/>
      <w:pPr>
        <w:ind w:left="4470" w:hanging="360"/>
      </w:pPr>
      <w:rPr>
        <w:rFonts w:ascii="Courier New" w:hAnsi="Courier New" w:cs="Courier New" w:hint="default"/>
      </w:rPr>
    </w:lvl>
    <w:lvl w:ilvl="5" w:tplc="08090005" w:tentative="1">
      <w:start w:val="1"/>
      <w:numFmt w:val="bullet"/>
      <w:lvlText w:val=""/>
      <w:lvlJc w:val="left"/>
      <w:pPr>
        <w:ind w:left="5190" w:hanging="360"/>
      </w:pPr>
      <w:rPr>
        <w:rFonts w:ascii="Wingdings" w:hAnsi="Wingdings" w:hint="default"/>
      </w:rPr>
    </w:lvl>
    <w:lvl w:ilvl="6" w:tplc="08090001" w:tentative="1">
      <w:start w:val="1"/>
      <w:numFmt w:val="bullet"/>
      <w:lvlText w:val=""/>
      <w:lvlJc w:val="left"/>
      <w:pPr>
        <w:ind w:left="5910" w:hanging="360"/>
      </w:pPr>
      <w:rPr>
        <w:rFonts w:ascii="Symbol" w:hAnsi="Symbol" w:hint="default"/>
      </w:rPr>
    </w:lvl>
    <w:lvl w:ilvl="7" w:tplc="08090003" w:tentative="1">
      <w:start w:val="1"/>
      <w:numFmt w:val="bullet"/>
      <w:lvlText w:val="o"/>
      <w:lvlJc w:val="left"/>
      <w:pPr>
        <w:ind w:left="6630" w:hanging="360"/>
      </w:pPr>
      <w:rPr>
        <w:rFonts w:ascii="Courier New" w:hAnsi="Courier New" w:cs="Courier New" w:hint="default"/>
      </w:rPr>
    </w:lvl>
    <w:lvl w:ilvl="8" w:tplc="08090005" w:tentative="1">
      <w:start w:val="1"/>
      <w:numFmt w:val="bullet"/>
      <w:lvlText w:val=""/>
      <w:lvlJc w:val="left"/>
      <w:pPr>
        <w:ind w:left="7350" w:hanging="360"/>
      </w:pPr>
      <w:rPr>
        <w:rFonts w:ascii="Wingdings" w:hAnsi="Wingdings" w:hint="default"/>
      </w:rPr>
    </w:lvl>
  </w:abstractNum>
  <w:abstractNum w:abstractNumId="195">
    <w:nsid w:val="586D03F0"/>
    <w:multiLevelType w:val="multilevel"/>
    <w:tmpl w:val="1EBA50EC"/>
    <w:lvl w:ilvl="0">
      <w:start w:val="1"/>
      <w:numFmt w:val="decimal"/>
      <w:lvlText w:val="%1."/>
      <w:lvlJc w:val="left"/>
      <w:pPr>
        <w:ind w:left="720" w:hanging="360"/>
      </w:p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96">
    <w:nsid w:val="586F72E8"/>
    <w:multiLevelType w:val="multilevel"/>
    <w:tmpl w:val="B07ADBA6"/>
    <w:lvl w:ilvl="0">
      <w:start w:val="2"/>
      <w:numFmt w:val="decimal"/>
      <w:lvlText w:val="%1"/>
      <w:lvlJc w:val="left"/>
      <w:pPr>
        <w:ind w:left="480" w:hanging="480"/>
      </w:pPr>
      <w:rPr>
        <w:rFonts w:hint="default"/>
      </w:rPr>
    </w:lvl>
    <w:lvl w:ilvl="1">
      <w:start w:val="1"/>
      <w:numFmt w:val="decimal"/>
      <w:lvlText w:val="%1.%2"/>
      <w:lvlJc w:val="left"/>
      <w:pPr>
        <w:ind w:left="838" w:hanging="480"/>
      </w:pPr>
      <w:rPr>
        <w:rFonts w:hint="default"/>
      </w:rPr>
    </w:lvl>
    <w:lvl w:ilvl="2">
      <w:start w:val="4"/>
      <w:numFmt w:val="decimal"/>
      <w:lvlText w:val="%1.%2.%3"/>
      <w:lvlJc w:val="left"/>
      <w:pPr>
        <w:ind w:left="1436" w:hanging="720"/>
      </w:pPr>
      <w:rPr>
        <w:rFonts w:hint="default"/>
        <w:b/>
      </w:rPr>
    </w:lvl>
    <w:lvl w:ilvl="3">
      <w:start w:val="1"/>
      <w:numFmt w:val="decimal"/>
      <w:lvlText w:val="%1.%2.%3.%4"/>
      <w:lvlJc w:val="left"/>
      <w:pPr>
        <w:ind w:left="1794" w:hanging="720"/>
      </w:pPr>
      <w:rPr>
        <w:rFonts w:hint="default"/>
      </w:rPr>
    </w:lvl>
    <w:lvl w:ilvl="4">
      <w:start w:val="1"/>
      <w:numFmt w:val="decimal"/>
      <w:lvlText w:val="%1.%2.%3.%4.%5"/>
      <w:lvlJc w:val="left"/>
      <w:pPr>
        <w:ind w:left="2512" w:hanging="1080"/>
      </w:pPr>
      <w:rPr>
        <w:rFonts w:hint="default"/>
      </w:rPr>
    </w:lvl>
    <w:lvl w:ilvl="5">
      <w:start w:val="1"/>
      <w:numFmt w:val="decimal"/>
      <w:lvlText w:val="%1.%2.%3.%4.%5.%6"/>
      <w:lvlJc w:val="left"/>
      <w:pPr>
        <w:ind w:left="2870" w:hanging="1080"/>
      </w:pPr>
      <w:rPr>
        <w:rFonts w:hint="default"/>
      </w:rPr>
    </w:lvl>
    <w:lvl w:ilvl="6">
      <w:start w:val="1"/>
      <w:numFmt w:val="decimal"/>
      <w:lvlText w:val="%1.%2.%3.%4.%5.%6.%7"/>
      <w:lvlJc w:val="left"/>
      <w:pPr>
        <w:ind w:left="3588" w:hanging="1440"/>
      </w:pPr>
      <w:rPr>
        <w:rFonts w:hint="default"/>
      </w:rPr>
    </w:lvl>
    <w:lvl w:ilvl="7">
      <w:start w:val="1"/>
      <w:numFmt w:val="decimal"/>
      <w:lvlText w:val="%1.%2.%3.%4.%5.%6.%7.%8"/>
      <w:lvlJc w:val="left"/>
      <w:pPr>
        <w:ind w:left="3946" w:hanging="1440"/>
      </w:pPr>
      <w:rPr>
        <w:rFonts w:hint="default"/>
      </w:rPr>
    </w:lvl>
    <w:lvl w:ilvl="8">
      <w:start w:val="1"/>
      <w:numFmt w:val="decimal"/>
      <w:lvlText w:val="%1.%2.%3.%4.%5.%6.%7.%8.%9"/>
      <w:lvlJc w:val="left"/>
      <w:pPr>
        <w:ind w:left="4664" w:hanging="1800"/>
      </w:pPr>
      <w:rPr>
        <w:rFonts w:hint="default"/>
      </w:rPr>
    </w:lvl>
  </w:abstractNum>
  <w:abstractNum w:abstractNumId="197">
    <w:nsid w:val="587D762F"/>
    <w:multiLevelType w:val="hybridMultilevel"/>
    <w:tmpl w:val="7128835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198">
    <w:nsid w:val="58E76768"/>
    <w:multiLevelType w:val="multilevel"/>
    <w:tmpl w:val="35823D8C"/>
    <w:lvl w:ilvl="0">
      <w:start w:val="4"/>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99">
    <w:nsid w:val="59363D58"/>
    <w:multiLevelType w:val="multilevel"/>
    <w:tmpl w:val="08C83564"/>
    <w:lvl w:ilvl="0">
      <w:start w:val="1"/>
      <w:numFmt w:val="decimal"/>
      <w:pStyle w:val="TM-1n"/>
      <w:lvlText w:val="Bloco %1."/>
      <w:lvlJc w:val="left"/>
      <w:pPr>
        <w:tabs>
          <w:tab w:val="num" w:pos="567"/>
        </w:tabs>
        <w:ind w:left="284" w:hanging="284"/>
      </w:pPr>
      <w:rPr>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TM-2n"/>
      <w:lvlText w:val="%1.%2."/>
      <w:lvlJc w:val="left"/>
      <w:pPr>
        <w:tabs>
          <w:tab w:val="num" w:pos="567"/>
        </w:tabs>
        <w:ind w:left="284" w:hanging="284"/>
      </w:pPr>
      <w:rPr>
        <w:rFonts w:hint="default"/>
      </w:rPr>
    </w:lvl>
    <w:lvl w:ilvl="2">
      <w:start w:val="1"/>
      <w:numFmt w:val="decimal"/>
      <w:pStyle w:val="TM-3n"/>
      <w:lvlText w:val="%1.%2.%3."/>
      <w:lvlJc w:val="left"/>
      <w:pPr>
        <w:tabs>
          <w:tab w:val="num" w:pos="1017"/>
        </w:tabs>
        <w:ind w:left="734" w:hanging="284"/>
      </w:pPr>
      <w:rPr>
        <w:rFonts w:hint="default"/>
        <w:b/>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00">
    <w:nsid w:val="598E56F8"/>
    <w:multiLevelType w:val="hybridMultilevel"/>
    <w:tmpl w:val="1DF45D52"/>
    <w:lvl w:ilvl="0" w:tplc="0409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hint="default"/>
      </w:rPr>
    </w:lvl>
    <w:lvl w:ilvl="2" w:tplc="08090003">
      <w:start w:val="1"/>
      <w:numFmt w:val="bullet"/>
      <w:lvlText w:val="o"/>
      <w:lvlJc w:val="left"/>
      <w:pPr>
        <w:tabs>
          <w:tab w:val="num" w:pos="2160"/>
        </w:tabs>
        <w:ind w:left="2160" w:hanging="360"/>
      </w:pPr>
      <w:rPr>
        <w:rFonts w:ascii="Courier New" w:hAnsi="Courier New" w:cs="Courier New"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201">
    <w:nsid w:val="59BD7834"/>
    <w:multiLevelType w:val="multilevel"/>
    <w:tmpl w:val="704CA58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2">
    <w:nsid w:val="5A63475E"/>
    <w:multiLevelType w:val="hybridMultilevel"/>
    <w:tmpl w:val="28A0FE7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3">
    <w:nsid w:val="5A873B3D"/>
    <w:multiLevelType w:val="multilevel"/>
    <w:tmpl w:val="AADC645E"/>
    <w:lvl w:ilvl="0">
      <w:start w:val="5"/>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bullet"/>
      <w:lvlText w:val=""/>
      <w:lvlJc w:val="left"/>
      <w:pPr>
        <w:ind w:left="720" w:hanging="720"/>
      </w:pPr>
      <w:rPr>
        <w:rFonts w:ascii="Symbol" w:hAnsi="Symbol"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4">
    <w:nsid w:val="5AD31D56"/>
    <w:multiLevelType w:val="hybridMultilevel"/>
    <w:tmpl w:val="523C3EB0"/>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Wingdings"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Wingdings"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Wingdings" w:hint="default"/>
      </w:rPr>
    </w:lvl>
    <w:lvl w:ilvl="8" w:tplc="08090005" w:tentative="1">
      <w:start w:val="1"/>
      <w:numFmt w:val="bullet"/>
      <w:lvlText w:val=""/>
      <w:lvlJc w:val="left"/>
      <w:pPr>
        <w:ind w:left="6840" w:hanging="360"/>
      </w:pPr>
      <w:rPr>
        <w:rFonts w:ascii="Wingdings" w:hAnsi="Wingdings" w:hint="default"/>
      </w:rPr>
    </w:lvl>
  </w:abstractNum>
  <w:abstractNum w:abstractNumId="205">
    <w:nsid w:val="5AD44879"/>
    <w:multiLevelType w:val="multilevel"/>
    <w:tmpl w:val="4A6A1C42"/>
    <w:lvl w:ilvl="0">
      <w:start w:val="2"/>
      <w:numFmt w:val="decimal"/>
      <w:lvlText w:val="%1"/>
      <w:lvlJc w:val="left"/>
      <w:pPr>
        <w:ind w:left="360" w:hanging="360"/>
      </w:pPr>
      <w:rPr>
        <w:rFonts w:hint="default"/>
        <w:b w:val="0"/>
      </w:rPr>
    </w:lvl>
    <w:lvl w:ilvl="1">
      <w:start w:val="1"/>
      <w:numFmt w:val="decimal"/>
      <w:lvlText w:val="%1.%2"/>
      <w:lvlJc w:val="left"/>
      <w:pPr>
        <w:ind w:left="645" w:hanging="360"/>
      </w:pPr>
      <w:rPr>
        <w:rFonts w:hint="default"/>
        <w:b/>
      </w:rPr>
    </w:lvl>
    <w:lvl w:ilvl="2">
      <w:start w:val="1"/>
      <w:numFmt w:val="decimal"/>
      <w:lvlText w:val="%1.%2.%3"/>
      <w:lvlJc w:val="left"/>
      <w:pPr>
        <w:ind w:left="1290" w:hanging="720"/>
      </w:pPr>
      <w:rPr>
        <w:rFonts w:hint="default"/>
        <w:b/>
      </w:rPr>
    </w:lvl>
    <w:lvl w:ilvl="3">
      <w:start w:val="1"/>
      <w:numFmt w:val="decimal"/>
      <w:lvlText w:val="%1.%2.%3.%4"/>
      <w:lvlJc w:val="left"/>
      <w:pPr>
        <w:ind w:left="1575" w:hanging="720"/>
      </w:pPr>
      <w:rPr>
        <w:rFonts w:hint="default"/>
        <w:b w:val="0"/>
      </w:rPr>
    </w:lvl>
    <w:lvl w:ilvl="4">
      <w:start w:val="1"/>
      <w:numFmt w:val="decimal"/>
      <w:lvlText w:val="%1.%2.%3.%4.%5"/>
      <w:lvlJc w:val="left"/>
      <w:pPr>
        <w:ind w:left="2220" w:hanging="1080"/>
      </w:pPr>
      <w:rPr>
        <w:rFonts w:hint="default"/>
        <w:b w:val="0"/>
      </w:rPr>
    </w:lvl>
    <w:lvl w:ilvl="5">
      <w:start w:val="1"/>
      <w:numFmt w:val="decimal"/>
      <w:lvlText w:val="%1.%2.%3.%4.%5.%6"/>
      <w:lvlJc w:val="left"/>
      <w:pPr>
        <w:ind w:left="2505" w:hanging="1080"/>
      </w:pPr>
      <w:rPr>
        <w:rFonts w:hint="default"/>
        <w:b w:val="0"/>
      </w:rPr>
    </w:lvl>
    <w:lvl w:ilvl="6">
      <w:start w:val="1"/>
      <w:numFmt w:val="decimal"/>
      <w:lvlText w:val="%1.%2.%3.%4.%5.%6.%7"/>
      <w:lvlJc w:val="left"/>
      <w:pPr>
        <w:ind w:left="3150" w:hanging="1440"/>
      </w:pPr>
      <w:rPr>
        <w:rFonts w:hint="default"/>
        <w:b w:val="0"/>
      </w:rPr>
    </w:lvl>
    <w:lvl w:ilvl="7">
      <w:start w:val="1"/>
      <w:numFmt w:val="decimal"/>
      <w:lvlText w:val="%1.%2.%3.%4.%5.%6.%7.%8"/>
      <w:lvlJc w:val="left"/>
      <w:pPr>
        <w:ind w:left="3435" w:hanging="1440"/>
      </w:pPr>
      <w:rPr>
        <w:rFonts w:hint="default"/>
        <w:b w:val="0"/>
      </w:rPr>
    </w:lvl>
    <w:lvl w:ilvl="8">
      <w:start w:val="1"/>
      <w:numFmt w:val="decimal"/>
      <w:lvlText w:val="%1.%2.%3.%4.%5.%6.%7.%8.%9"/>
      <w:lvlJc w:val="left"/>
      <w:pPr>
        <w:ind w:left="4080" w:hanging="1800"/>
      </w:pPr>
      <w:rPr>
        <w:rFonts w:hint="default"/>
        <w:b w:val="0"/>
      </w:rPr>
    </w:lvl>
  </w:abstractNum>
  <w:abstractNum w:abstractNumId="206">
    <w:nsid w:val="5B1A4050"/>
    <w:multiLevelType w:val="multilevel"/>
    <w:tmpl w:val="E0246FE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7">
    <w:nsid w:val="5C382730"/>
    <w:multiLevelType w:val="hybridMultilevel"/>
    <w:tmpl w:val="1F98831C"/>
    <w:lvl w:ilvl="0" w:tplc="575A7BA2">
      <w:start w:val="1"/>
      <w:numFmt w:val="bullet"/>
      <w:lvlText w:val=""/>
      <w:lvlJc w:val="left"/>
      <w:pPr>
        <w:tabs>
          <w:tab w:val="num" w:pos="720"/>
        </w:tabs>
        <w:ind w:left="720" w:hanging="360"/>
      </w:pPr>
      <w:rPr>
        <w:rFonts w:ascii="Symbol" w:hAnsi="Symbol" w:hint="default"/>
        <w:lang w:val="pt-BR"/>
      </w:rPr>
    </w:lvl>
    <w:lvl w:ilvl="1" w:tplc="0C0A0003">
      <w:start w:val="1"/>
      <w:numFmt w:val="bullet"/>
      <w:lvlText w:val="o"/>
      <w:lvlJc w:val="left"/>
      <w:pPr>
        <w:tabs>
          <w:tab w:val="num" w:pos="1440"/>
        </w:tabs>
        <w:ind w:left="1440" w:hanging="360"/>
      </w:pPr>
      <w:rPr>
        <w:rFonts w:ascii="Courier New" w:hAnsi="Courier New" w:hint="default"/>
      </w:rPr>
    </w:lvl>
    <w:lvl w:ilvl="2" w:tplc="08090003">
      <w:start w:val="1"/>
      <w:numFmt w:val="bullet"/>
      <w:lvlText w:val="o"/>
      <w:lvlJc w:val="left"/>
      <w:pPr>
        <w:tabs>
          <w:tab w:val="num" w:pos="2160"/>
        </w:tabs>
        <w:ind w:left="2160" w:hanging="360"/>
      </w:pPr>
      <w:rPr>
        <w:rFonts w:ascii="Courier New" w:hAnsi="Courier New" w:cs="Courier New"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208">
    <w:nsid w:val="5CE15C00"/>
    <w:multiLevelType w:val="hybridMultilevel"/>
    <w:tmpl w:val="6E2C04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Arial"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Arial" w:hint="default"/>
      </w:rPr>
    </w:lvl>
    <w:lvl w:ilvl="8" w:tplc="08090005" w:tentative="1">
      <w:start w:val="1"/>
      <w:numFmt w:val="bullet"/>
      <w:lvlText w:val=""/>
      <w:lvlJc w:val="left"/>
      <w:pPr>
        <w:ind w:left="6480" w:hanging="360"/>
      </w:pPr>
      <w:rPr>
        <w:rFonts w:ascii="Wingdings" w:hAnsi="Wingdings" w:hint="default"/>
      </w:rPr>
    </w:lvl>
  </w:abstractNum>
  <w:abstractNum w:abstractNumId="209">
    <w:nsid w:val="5DC234B3"/>
    <w:multiLevelType w:val="hybridMultilevel"/>
    <w:tmpl w:val="E82ECD8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10">
    <w:nsid w:val="5F087F48"/>
    <w:multiLevelType w:val="multilevel"/>
    <w:tmpl w:val="7678547A"/>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1">
    <w:nsid w:val="5F2724F5"/>
    <w:multiLevelType w:val="hybridMultilevel"/>
    <w:tmpl w:val="FC4EC854"/>
    <w:lvl w:ilvl="0" w:tplc="04090001">
      <w:start w:val="1"/>
      <w:numFmt w:val="bullet"/>
      <w:lvlText w:val=""/>
      <w:lvlJc w:val="left"/>
      <w:pPr>
        <w:ind w:left="818" w:hanging="360"/>
      </w:pPr>
      <w:rPr>
        <w:rFonts w:ascii="Symbol" w:hAnsi="Symbol" w:hint="default"/>
      </w:rPr>
    </w:lvl>
    <w:lvl w:ilvl="1" w:tplc="08160003" w:tentative="1">
      <w:start w:val="1"/>
      <w:numFmt w:val="bullet"/>
      <w:lvlText w:val="o"/>
      <w:lvlJc w:val="left"/>
      <w:pPr>
        <w:ind w:left="1538" w:hanging="360"/>
      </w:pPr>
      <w:rPr>
        <w:rFonts w:ascii="Courier New" w:hAnsi="Courier New" w:cs="Courier New" w:hint="default"/>
      </w:rPr>
    </w:lvl>
    <w:lvl w:ilvl="2" w:tplc="08160005" w:tentative="1">
      <w:start w:val="1"/>
      <w:numFmt w:val="bullet"/>
      <w:lvlText w:val=""/>
      <w:lvlJc w:val="left"/>
      <w:pPr>
        <w:ind w:left="2258" w:hanging="360"/>
      </w:pPr>
      <w:rPr>
        <w:rFonts w:ascii="Wingdings" w:hAnsi="Wingdings" w:hint="default"/>
      </w:rPr>
    </w:lvl>
    <w:lvl w:ilvl="3" w:tplc="08160001" w:tentative="1">
      <w:start w:val="1"/>
      <w:numFmt w:val="bullet"/>
      <w:lvlText w:val=""/>
      <w:lvlJc w:val="left"/>
      <w:pPr>
        <w:ind w:left="2978" w:hanging="360"/>
      </w:pPr>
      <w:rPr>
        <w:rFonts w:ascii="Symbol" w:hAnsi="Symbol" w:hint="default"/>
      </w:rPr>
    </w:lvl>
    <w:lvl w:ilvl="4" w:tplc="08160003" w:tentative="1">
      <w:start w:val="1"/>
      <w:numFmt w:val="bullet"/>
      <w:lvlText w:val="o"/>
      <w:lvlJc w:val="left"/>
      <w:pPr>
        <w:ind w:left="3698" w:hanging="360"/>
      </w:pPr>
      <w:rPr>
        <w:rFonts w:ascii="Courier New" w:hAnsi="Courier New" w:cs="Courier New" w:hint="default"/>
      </w:rPr>
    </w:lvl>
    <w:lvl w:ilvl="5" w:tplc="08160005" w:tentative="1">
      <w:start w:val="1"/>
      <w:numFmt w:val="bullet"/>
      <w:lvlText w:val=""/>
      <w:lvlJc w:val="left"/>
      <w:pPr>
        <w:ind w:left="4418" w:hanging="360"/>
      </w:pPr>
      <w:rPr>
        <w:rFonts w:ascii="Wingdings" w:hAnsi="Wingdings" w:hint="default"/>
      </w:rPr>
    </w:lvl>
    <w:lvl w:ilvl="6" w:tplc="08160001" w:tentative="1">
      <w:start w:val="1"/>
      <w:numFmt w:val="bullet"/>
      <w:lvlText w:val=""/>
      <w:lvlJc w:val="left"/>
      <w:pPr>
        <w:ind w:left="5138" w:hanging="360"/>
      </w:pPr>
      <w:rPr>
        <w:rFonts w:ascii="Symbol" w:hAnsi="Symbol" w:hint="default"/>
      </w:rPr>
    </w:lvl>
    <w:lvl w:ilvl="7" w:tplc="08160003" w:tentative="1">
      <w:start w:val="1"/>
      <w:numFmt w:val="bullet"/>
      <w:lvlText w:val="o"/>
      <w:lvlJc w:val="left"/>
      <w:pPr>
        <w:ind w:left="5858" w:hanging="360"/>
      </w:pPr>
      <w:rPr>
        <w:rFonts w:ascii="Courier New" w:hAnsi="Courier New" w:cs="Courier New" w:hint="default"/>
      </w:rPr>
    </w:lvl>
    <w:lvl w:ilvl="8" w:tplc="08160005" w:tentative="1">
      <w:start w:val="1"/>
      <w:numFmt w:val="bullet"/>
      <w:lvlText w:val=""/>
      <w:lvlJc w:val="left"/>
      <w:pPr>
        <w:ind w:left="6578" w:hanging="360"/>
      </w:pPr>
      <w:rPr>
        <w:rFonts w:ascii="Wingdings" w:hAnsi="Wingdings" w:hint="default"/>
      </w:rPr>
    </w:lvl>
  </w:abstractNum>
  <w:abstractNum w:abstractNumId="212">
    <w:nsid w:val="5F336C5D"/>
    <w:multiLevelType w:val="hybridMultilevel"/>
    <w:tmpl w:val="DCBA6A32"/>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13">
    <w:nsid w:val="5F3703FC"/>
    <w:multiLevelType w:val="hybridMultilevel"/>
    <w:tmpl w:val="092A0B16"/>
    <w:lvl w:ilvl="0" w:tplc="5F0011A8">
      <w:start w:val="1"/>
      <w:numFmt w:val="decimal"/>
      <w:lvlText w:val="5.%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nsid w:val="5F7D02A4"/>
    <w:multiLevelType w:val="hybridMultilevel"/>
    <w:tmpl w:val="D6367CA4"/>
    <w:lvl w:ilvl="0" w:tplc="247619F2">
      <w:start w:val="1"/>
      <w:numFmt w:val="decimal"/>
      <w:lvlText w:val="3.3.%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5">
    <w:nsid w:val="60CD5339"/>
    <w:multiLevelType w:val="multilevel"/>
    <w:tmpl w:val="61349532"/>
    <w:lvl w:ilvl="0">
      <w:start w:val="4"/>
      <w:numFmt w:val="decimal"/>
      <w:lvlText w:val="%1"/>
      <w:lvlJc w:val="left"/>
      <w:pPr>
        <w:ind w:left="360" w:hanging="360"/>
      </w:pPr>
      <w:rPr>
        <w:rFonts w:hint="default"/>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16">
    <w:nsid w:val="61DF78F4"/>
    <w:multiLevelType w:val="multilevel"/>
    <w:tmpl w:val="D30C0AD6"/>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17">
    <w:nsid w:val="62300403"/>
    <w:multiLevelType w:val="multilevel"/>
    <w:tmpl w:val="1DD61150"/>
    <w:lvl w:ilvl="0">
      <w:start w:val="5"/>
      <w:numFmt w:val="decimal"/>
      <w:lvlText w:val="%1."/>
      <w:lvlJc w:val="left"/>
      <w:pPr>
        <w:ind w:left="360" w:hanging="360"/>
      </w:pPr>
      <w:rPr>
        <w:rFonts w:hint="default"/>
      </w:rPr>
    </w:lvl>
    <w:lvl w:ilvl="1">
      <w:start w:val="1"/>
      <w:numFmt w:val="decimal"/>
      <w:lvlText w:val="%1.%2."/>
      <w:lvlJc w:val="left"/>
      <w:pPr>
        <w:ind w:left="90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8">
    <w:nsid w:val="62F81B8D"/>
    <w:multiLevelType w:val="multilevel"/>
    <w:tmpl w:val="CA8E305E"/>
    <w:lvl w:ilvl="0">
      <w:start w:val="4"/>
      <w:numFmt w:val="decimal"/>
      <w:lvlText w:val="%1"/>
      <w:lvlJc w:val="left"/>
      <w:pPr>
        <w:ind w:left="360" w:hanging="360"/>
      </w:pPr>
      <w:rPr>
        <w:rFonts w:hint="default"/>
      </w:rPr>
    </w:lvl>
    <w:lvl w:ilvl="1">
      <w:start w:val="2"/>
      <w:numFmt w:val="decimal"/>
      <w:lvlText w:val="%1.%2"/>
      <w:lvlJc w:val="left"/>
      <w:pPr>
        <w:ind w:left="502" w:hanging="360"/>
      </w:pPr>
      <w:rPr>
        <w:rFonts w:hint="default"/>
        <w:b/>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219">
    <w:nsid w:val="63D36B1B"/>
    <w:multiLevelType w:val="multilevel"/>
    <w:tmpl w:val="A88802B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0">
    <w:nsid w:val="63DB25FB"/>
    <w:multiLevelType w:val="multilevel"/>
    <w:tmpl w:val="4F9EBEFE"/>
    <w:lvl w:ilvl="0">
      <w:start w:val="1"/>
      <w:numFmt w:val="decimal"/>
      <w:lvlText w:val="%1."/>
      <w:lvlJc w:val="left"/>
      <w:pPr>
        <w:tabs>
          <w:tab w:val="num" w:pos="794"/>
        </w:tabs>
        <w:ind w:left="794" w:hanging="437"/>
      </w:pPr>
      <w:rPr>
        <w:rFonts w:ascii="Arial" w:hAnsi="Arial" w:cs="Calibri" w:hint="default"/>
        <w:b w:val="0"/>
        <w:bCs w:val="0"/>
        <w:i w:val="0"/>
        <w:iCs w:val="0"/>
        <w:caps w:val="0"/>
        <w:strike w:val="0"/>
        <w:dstrike w:val="0"/>
        <w:outline w:val="0"/>
        <w:shadow w:val="0"/>
        <w:emboss w:val="0"/>
        <w:imprint w:val="0"/>
        <w:vanish w:val="0"/>
        <w:sz w:val="22"/>
        <w:szCs w:val="22"/>
        <w:vertAlign w:val="baseline"/>
      </w:rPr>
    </w:lvl>
    <w:lvl w:ilvl="1">
      <w:start w:val="3"/>
      <w:numFmt w:val="decimal"/>
      <w:lvlText w:val="%2."/>
      <w:lvlJc w:val="left"/>
      <w:pPr>
        <w:tabs>
          <w:tab w:val="num" w:pos="792"/>
        </w:tabs>
        <w:ind w:left="792" w:hanging="432"/>
      </w:pPr>
      <w:rPr>
        <w:rFonts w:ascii="Arial" w:hAnsi="Arial" w:cs="Calibri" w:hint="default"/>
        <w:b w:val="0"/>
        <w:bCs w:val="0"/>
        <w:i/>
        <w:iCs w:val="0"/>
        <w:caps w:val="0"/>
        <w:strike w:val="0"/>
        <w:dstrike w:val="0"/>
        <w:shadow w:val="0"/>
        <w:emboss w:val="0"/>
        <w:imprint w:val="0"/>
        <w:vanish w:val="0"/>
        <w:sz w:val="22"/>
        <w:szCs w:val="22"/>
        <w:vertAlign w:val="baseline"/>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221">
    <w:nsid w:val="642D4C16"/>
    <w:multiLevelType w:val="hybridMultilevel"/>
    <w:tmpl w:val="06240064"/>
    <w:lvl w:ilvl="0" w:tplc="0409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hint="default"/>
      </w:rPr>
    </w:lvl>
    <w:lvl w:ilvl="2" w:tplc="08090003">
      <w:start w:val="1"/>
      <w:numFmt w:val="bullet"/>
      <w:lvlText w:val="o"/>
      <w:lvlJc w:val="left"/>
      <w:pPr>
        <w:tabs>
          <w:tab w:val="num" w:pos="2160"/>
        </w:tabs>
        <w:ind w:left="2160" w:hanging="360"/>
      </w:pPr>
      <w:rPr>
        <w:rFonts w:ascii="Courier New" w:hAnsi="Courier New" w:cs="Courier New"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222">
    <w:nsid w:val="64707094"/>
    <w:multiLevelType w:val="multilevel"/>
    <w:tmpl w:val="9E9EADD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3">
    <w:nsid w:val="65AA0529"/>
    <w:multiLevelType w:val="multilevel"/>
    <w:tmpl w:val="16CAA750"/>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4">
    <w:nsid w:val="65F53D06"/>
    <w:multiLevelType w:val="multilevel"/>
    <w:tmpl w:val="7212965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5">
    <w:nsid w:val="664237D4"/>
    <w:multiLevelType w:val="multilevel"/>
    <w:tmpl w:val="D4AA3466"/>
    <w:lvl w:ilvl="0">
      <w:start w:val="2"/>
      <w:numFmt w:val="decimal"/>
      <w:lvlText w:val="%1"/>
      <w:lvlJc w:val="left"/>
      <w:pPr>
        <w:ind w:left="360" w:hanging="360"/>
      </w:pPr>
      <w:rPr>
        <w:rFonts w:hint="default"/>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26">
    <w:nsid w:val="66841854"/>
    <w:multiLevelType w:val="hybridMultilevel"/>
    <w:tmpl w:val="B45A5434"/>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27">
    <w:nsid w:val="67073E3F"/>
    <w:multiLevelType w:val="hybridMultilevel"/>
    <w:tmpl w:val="796CB5AE"/>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28">
    <w:nsid w:val="672D686F"/>
    <w:multiLevelType w:val="hybridMultilevel"/>
    <w:tmpl w:val="56928332"/>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29">
    <w:nsid w:val="67D229E0"/>
    <w:multiLevelType w:val="hybridMultilevel"/>
    <w:tmpl w:val="98D84416"/>
    <w:lvl w:ilvl="0" w:tplc="08090001">
      <w:start w:val="1"/>
      <w:numFmt w:val="bullet"/>
      <w:lvlText w:val=""/>
      <w:lvlJc w:val="left"/>
      <w:pPr>
        <w:ind w:left="1170" w:hanging="360"/>
      </w:pPr>
      <w:rPr>
        <w:rFonts w:ascii="Symbol" w:hAnsi="Symbol" w:hint="default"/>
      </w:rPr>
    </w:lvl>
    <w:lvl w:ilvl="1" w:tplc="08090003" w:tentative="1">
      <w:start w:val="1"/>
      <w:numFmt w:val="bullet"/>
      <w:lvlText w:val="o"/>
      <w:lvlJc w:val="left"/>
      <w:pPr>
        <w:ind w:left="1890" w:hanging="360"/>
      </w:pPr>
      <w:rPr>
        <w:rFonts w:ascii="Courier New" w:hAnsi="Courier New" w:cs="Courier New" w:hint="default"/>
      </w:rPr>
    </w:lvl>
    <w:lvl w:ilvl="2" w:tplc="08090005" w:tentative="1">
      <w:start w:val="1"/>
      <w:numFmt w:val="bullet"/>
      <w:lvlText w:val=""/>
      <w:lvlJc w:val="left"/>
      <w:pPr>
        <w:ind w:left="2610" w:hanging="360"/>
      </w:pPr>
      <w:rPr>
        <w:rFonts w:ascii="Wingdings" w:hAnsi="Wingdings" w:hint="default"/>
      </w:rPr>
    </w:lvl>
    <w:lvl w:ilvl="3" w:tplc="08090001" w:tentative="1">
      <w:start w:val="1"/>
      <w:numFmt w:val="bullet"/>
      <w:lvlText w:val=""/>
      <w:lvlJc w:val="left"/>
      <w:pPr>
        <w:ind w:left="3330" w:hanging="360"/>
      </w:pPr>
      <w:rPr>
        <w:rFonts w:ascii="Symbol" w:hAnsi="Symbol" w:hint="default"/>
      </w:rPr>
    </w:lvl>
    <w:lvl w:ilvl="4" w:tplc="08090003" w:tentative="1">
      <w:start w:val="1"/>
      <w:numFmt w:val="bullet"/>
      <w:lvlText w:val="o"/>
      <w:lvlJc w:val="left"/>
      <w:pPr>
        <w:ind w:left="4050" w:hanging="360"/>
      </w:pPr>
      <w:rPr>
        <w:rFonts w:ascii="Courier New" w:hAnsi="Courier New" w:cs="Courier New" w:hint="default"/>
      </w:rPr>
    </w:lvl>
    <w:lvl w:ilvl="5" w:tplc="08090005" w:tentative="1">
      <w:start w:val="1"/>
      <w:numFmt w:val="bullet"/>
      <w:lvlText w:val=""/>
      <w:lvlJc w:val="left"/>
      <w:pPr>
        <w:ind w:left="4770" w:hanging="360"/>
      </w:pPr>
      <w:rPr>
        <w:rFonts w:ascii="Wingdings" w:hAnsi="Wingdings" w:hint="default"/>
      </w:rPr>
    </w:lvl>
    <w:lvl w:ilvl="6" w:tplc="08090001" w:tentative="1">
      <w:start w:val="1"/>
      <w:numFmt w:val="bullet"/>
      <w:lvlText w:val=""/>
      <w:lvlJc w:val="left"/>
      <w:pPr>
        <w:ind w:left="5490" w:hanging="360"/>
      </w:pPr>
      <w:rPr>
        <w:rFonts w:ascii="Symbol" w:hAnsi="Symbol" w:hint="default"/>
      </w:rPr>
    </w:lvl>
    <w:lvl w:ilvl="7" w:tplc="08090003" w:tentative="1">
      <w:start w:val="1"/>
      <w:numFmt w:val="bullet"/>
      <w:lvlText w:val="o"/>
      <w:lvlJc w:val="left"/>
      <w:pPr>
        <w:ind w:left="6210" w:hanging="360"/>
      </w:pPr>
      <w:rPr>
        <w:rFonts w:ascii="Courier New" w:hAnsi="Courier New" w:cs="Courier New" w:hint="default"/>
      </w:rPr>
    </w:lvl>
    <w:lvl w:ilvl="8" w:tplc="08090005" w:tentative="1">
      <w:start w:val="1"/>
      <w:numFmt w:val="bullet"/>
      <w:lvlText w:val=""/>
      <w:lvlJc w:val="left"/>
      <w:pPr>
        <w:ind w:left="6930" w:hanging="360"/>
      </w:pPr>
      <w:rPr>
        <w:rFonts w:ascii="Wingdings" w:hAnsi="Wingdings" w:hint="default"/>
      </w:rPr>
    </w:lvl>
  </w:abstractNum>
  <w:abstractNum w:abstractNumId="230">
    <w:nsid w:val="67DE7CF7"/>
    <w:multiLevelType w:val="hybridMultilevel"/>
    <w:tmpl w:val="7C7C23C4"/>
    <w:lvl w:ilvl="0" w:tplc="A35CAED6">
      <w:start w:val="1"/>
      <w:numFmt w:val="decimal"/>
      <w:lvlText w:val="%1."/>
      <w:lvlJc w:val="left"/>
      <w:pPr>
        <w:ind w:left="720" w:hanging="360"/>
      </w:pPr>
      <w:rPr>
        <w:rFonts w:ascii="Arial" w:eastAsiaTheme="minorHAnsi" w:hAnsi="Arial" w:cs="Arial"/>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1">
    <w:nsid w:val="68BC3FAF"/>
    <w:multiLevelType w:val="multilevel"/>
    <w:tmpl w:val="639A770E"/>
    <w:lvl w:ilvl="0">
      <w:start w:val="2"/>
      <w:numFmt w:val="decimal"/>
      <w:lvlText w:val="%1"/>
      <w:lvlJc w:val="left"/>
      <w:pPr>
        <w:ind w:left="360" w:hanging="360"/>
      </w:pPr>
      <w:rPr>
        <w:rFonts w:hint="default"/>
      </w:rPr>
    </w:lvl>
    <w:lvl w:ilvl="1">
      <w:start w:val="6"/>
      <w:numFmt w:val="decimal"/>
      <w:lvlText w:val="%1.%2"/>
      <w:lvlJc w:val="left"/>
      <w:pPr>
        <w:ind w:left="1080" w:hanging="36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32">
    <w:nsid w:val="692D3DBD"/>
    <w:multiLevelType w:val="multilevel"/>
    <w:tmpl w:val="B5FE4260"/>
    <w:lvl w:ilvl="0">
      <w:start w:val="2"/>
      <w:numFmt w:val="decimal"/>
      <w:lvlText w:val="%1."/>
      <w:lvlJc w:val="left"/>
      <w:pPr>
        <w:tabs>
          <w:tab w:val="num" w:pos="357"/>
        </w:tabs>
        <w:ind w:left="357" w:hanging="357"/>
      </w:pPr>
      <w:rPr>
        <w:rFonts w:ascii="Arial" w:hAnsi="Arial" w:cs="Calibri" w:hint="default"/>
        <w:b w:val="0"/>
        <w:bCs w:val="0"/>
        <w:i w:val="0"/>
        <w:iCs w:val="0"/>
        <w:caps w:val="0"/>
        <w:strike w:val="0"/>
        <w:dstrike w:val="0"/>
        <w:outline w:val="0"/>
        <w:shadow w:val="0"/>
        <w:emboss w:val="0"/>
        <w:imprint w:val="0"/>
        <w:vanish w:val="0"/>
        <w:sz w:val="22"/>
        <w:szCs w:val="22"/>
        <w:vertAlign w:val="baseline"/>
      </w:rPr>
    </w:lvl>
    <w:lvl w:ilvl="1">
      <w:start w:val="1"/>
      <w:numFmt w:val="decimal"/>
      <w:lvlText w:val="%2."/>
      <w:lvlJc w:val="left"/>
      <w:pPr>
        <w:tabs>
          <w:tab w:val="num" w:pos="612"/>
        </w:tabs>
        <w:ind w:left="612" w:hanging="432"/>
      </w:pPr>
      <w:rPr>
        <w:rFonts w:ascii="Arial" w:hAnsi="Arial" w:cs="Calibri" w:hint="default"/>
        <w:b w:val="0"/>
        <w:bCs w:val="0"/>
        <w:i w:val="0"/>
        <w:iCs w:val="0"/>
        <w:caps w:val="0"/>
        <w:strike w:val="0"/>
        <w:dstrike w:val="0"/>
        <w:shadow w:val="0"/>
        <w:emboss w:val="0"/>
        <w:imprint w:val="0"/>
        <w:vanish w:val="0"/>
        <w:sz w:val="22"/>
        <w:szCs w:val="22"/>
        <w:vertAlign w:val="baseline"/>
      </w:rPr>
    </w:lvl>
    <w:lvl w:ilvl="2">
      <w:start w:val="1"/>
      <w:numFmt w:val="decimal"/>
      <w:lvlText w:val="%1.%2.%3."/>
      <w:lvlJc w:val="left"/>
      <w:pPr>
        <w:tabs>
          <w:tab w:val="num" w:pos="1440"/>
        </w:tabs>
        <w:ind w:left="1224" w:hanging="504"/>
      </w:pPr>
      <w:rPr>
        <w:rFonts w:cs="Times New Roman Bold" w:hint="default"/>
      </w:rPr>
    </w:lvl>
    <w:lvl w:ilvl="3">
      <w:start w:val="1"/>
      <w:numFmt w:val="decimal"/>
      <w:lvlText w:val="%1.%2.%3.%4."/>
      <w:lvlJc w:val="left"/>
      <w:pPr>
        <w:tabs>
          <w:tab w:val="num" w:pos="2160"/>
        </w:tabs>
        <w:ind w:left="1728" w:hanging="648"/>
      </w:pPr>
      <w:rPr>
        <w:rFonts w:cs="Times New Roman Bold" w:hint="default"/>
      </w:rPr>
    </w:lvl>
    <w:lvl w:ilvl="4">
      <w:start w:val="1"/>
      <w:numFmt w:val="decimal"/>
      <w:lvlText w:val="%1.%2.%3.%4.%5."/>
      <w:lvlJc w:val="left"/>
      <w:pPr>
        <w:tabs>
          <w:tab w:val="num" w:pos="2520"/>
        </w:tabs>
        <w:ind w:left="2232" w:hanging="792"/>
      </w:pPr>
      <w:rPr>
        <w:rFonts w:cs="Times New Roman Bold" w:hint="default"/>
      </w:rPr>
    </w:lvl>
    <w:lvl w:ilvl="5">
      <w:start w:val="1"/>
      <w:numFmt w:val="decimal"/>
      <w:lvlText w:val="%1.%2.%3.%4.%5.%6."/>
      <w:lvlJc w:val="left"/>
      <w:pPr>
        <w:tabs>
          <w:tab w:val="num" w:pos="3240"/>
        </w:tabs>
        <w:ind w:left="2736" w:hanging="936"/>
      </w:pPr>
      <w:rPr>
        <w:rFonts w:cs="Times New Roman Bold" w:hint="default"/>
      </w:rPr>
    </w:lvl>
    <w:lvl w:ilvl="6">
      <w:start w:val="1"/>
      <w:numFmt w:val="decimal"/>
      <w:lvlText w:val="%1.%2.%3.%4.%5.%6.%7."/>
      <w:lvlJc w:val="left"/>
      <w:pPr>
        <w:tabs>
          <w:tab w:val="num" w:pos="3600"/>
        </w:tabs>
        <w:ind w:left="3240" w:hanging="1080"/>
      </w:pPr>
      <w:rPr>
        <w:rFonts w:cs="Times New Roman Bold" w:hint="default"/>
      </w:rPr>
    </w:lvl>
    <w:lvl w:ilvl="7">
      <w:start w:val="1"/>
      <w:numFmt w:val="decimal"/>
      <w:lvlText w:val="%1.%2.%3.%4.%5.%6.%7.%8."/>
      <w:lvlJc w:val="left"/>
      <w:pPr>
        <w:tabs>
          <w:tab w:val="num" w:pos="4320"/>
        </w:tabs>
        <w:ind w:left="3744" w:hanging="1224"/>
      </w:pPr>
      <w:rPr>
        <w:rFonts w:cs="Times New Roman Bold" w:hint="default"/>
      </w:rPr>
    </w:lvl>
    <w:lvl w:ilvl="8">
      <w:start w:val="1"/>
      <w:numFmt w:val="decimal"/>
      <w:lvlText w:val="%1.%2.%3.%4.%5.%6.%7.%8.%9."/>
      <w:lvlJc w:val="left"/>
      <w:pPr>
        <w:tabs>
          <w:tab w:val="num" w:pos="5040"/>
        </w:tabs>
        <w:ind w:left="4320" w:hanging="1440"/>
      </w:pPr>
      <w:rPr>
        <w:rFonts w:cs="Times New Roman Bold" w:hint="default"/>
      </w:rPr>
    </w:lvl>
  </w:abstractNum>
  <w:abstractNum w:abstractNumId="233">
    <w:nsid w:val="69496961"/>
    <w:multiLevelType w:val="multilevel"/>
    <w:tmpl w:val="D1E4C3F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4">
    <w:nsid w:val="69541AC3"/>
    <w:multiLevelType w:val="multilevel"/>
    <w:tmpl w:val="D30CFA5C"/>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35">
    <w:nsid w:val="6A452205"/>
    <w:multiLevelType w:val="hybridMultilevel"/>
    <w:tmpl w:val="E468F376"/>
    <w:lvl w:ilvl="0" w:tplc="9D0EC162">
      <w:start w:val="1"/>
      <w:numFmt w:val="decimal"/>
      <w:lvlText w:val="2.5.%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6">
    <w:nsid w:val="6A51780E"/>
    <w:multiLevelType w:val="hybridMultilevel"/>
    <w:tmpl w:val="28C2E5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nsid w:val="6A5A574D"/>
    <w:multiLevelType w:val="hybridMultilevel"/>
    <w:tmpl w:val="D242E2FA"/>
    <w:lvl w:ilvl="0" w:tplc="08090001">
      <w:start w:val="1"/>
      <w:numFmt w:val="bullet"/>
      <w:lvlText w:val=""/>
      <w:lvlJc w:val="left"/>
      <w:pPr>
        <w:ind w:left="1485" w:hanging="360"/>
      </w:pPr>
      <w:rPr>
        <w:rFonts w:ascii="Symbol" w:hAnsi="Symbol" w:hint="default"/>
      </w:rPr>
    </w:lvl>
    <w:lvl w:ilvl="1" w:tplc="08090003" w:tentative="1">
      <w:start w:val="1"/>
      <w:numFmt w:val="bullet"/>
      <w:lvlText w:val="o"/>
      <w:lvlJc w:val="left"/>
      <w:pPr>
        <w:ind w:left="2205" w:hanging="360"/>
      </w:pPr>
      <w:rPr>
        <w:rFonts w:ascii="Courier New" w:hAnsi="Courier New" w:cs="Courier New" w:hint="default"/>
      </w:rPr>
    </w:lvl>
    <w:lvl w:ilvl="2" w:tplc="08090005" w:tentative="1">
      <w:start w:val="1"/>
      <w:numFmt w:val="bullet"/>
      <w:lvlText w:val=""/>
      <w:lvlJc w:val="left"/>
      <w:pPr>
        <w:ind w:left="2925" w:hanging="360"/>
      </w:pPr>
      <w:rPr>
        <w:rFonts w:ascii="Wingdings" w:hAnsi="Wingdings" w:hint="default"/>
      </w:rPr>
    </w:lvl>
    <w:lvl w:ilvl="3" w:tplc="08090001" w:tentative="1">
      <w:start w:val="1"/>
      <w:numFmt w:val="bullet"/>
      <w:lvlText w:val=""/>
      <w:lvlJc w:val="left"/>
      <w:pPr>
        <w:ind w:left="3645" w:hanging="360"/>
      </w:pPr>
      <w:rPr>
        <w:rFonts w:ascii="Symbol" w:hAnsi="Symbol" w:hint="default"/>
      </w:rPr>
    </w:lvl>
    <w:lvl w:ilvl="4" w:tplc="08090003" w:tentative="1">
      <w:start w:val="1"/>
      <w:numFmt w:val="bullet"/>
      <w:lvlText w:val="o"/>
      <w:lvlJc w:val="left"/>
      <w:pPr>
        <w:ind w:left="4365" w:hanging="360"/>
      </w:pPr>
      <w:rPr>
        <w:rFonts w:ascii="Courier New" w:hAnsi="Courier New" w:cs="Courier New" w:hint="default"/>
      </w:rPr>
    </w:lvl>
    <w:lvl w:ilvl="5" w:tplc="08090005" w:tentative="1">
      <w:start w:val="1"/>
      <w:numFmt w:val="bullet"/>
      <w:lvlText w:val=""/>
      <w:lvlJc w:val="left"/>
      <w:pPr>
        <w:ind w:left="5085" w:hanging="360"/>
      </w:pPr>
      <w:rPr>
        <w:rFonts w:ascii="Wingdings" w:hAnsi="Wingdings" w:hint="default"/>
      </w:rPr>
    </w:lvl>
    <w:lvl w:ilvl="6" w:tplc="08090001" w:tentative="1">
      <w:start w:val="1"/>
      <w:numFmt w:val="bullet"/>
      <w:lvlText w:val=""/>
      <w:lvlJc w:val="left"/>
      <w:pPr>
        <w:ind w:left="5805" w:hanging="360"/>
      </w:pPr>
      <w:rPr>
        <w:rFonts w:ascii="Symbol" w:hAnsi="Symbol" w:hint="default"/>
      </w:rPr>
    </w:lvl>
    <w:lvl w:ilvl="7" w:tplc="08090003" w:tentative="1">
      <w:start w:val="1"/>
      <w:numFmt w:val="bullet"/>
      <w:lvlText w:val="o"/>
      <w:lvlJc w:val="left"/>
      <w:pPr>
        <w:ind w:left="6525" w:hanging="360"/>
      </w:pPr>
      <w:rPr>
        <w:rFonts w:ascii="Courier New" w:hAnsi="Courier New" w:cs="Courier New" w:hint="default"/>
      </w:rPr>
    </w:lvl>
    <w:lvl w:ilvl="8" w:tplc="08090005" w:tentative="1">
      <w:start w:val="1"/>
      <w:numFmt w:val="bullet"/>
      <w:lvlText w:val=""/>
      <w:lvlJc w:val="left"/>
      <w:pPr>
        <w:ind w:left="7245" w:hanging="360"/>
      </w:pPr>
      <w:rPr>
        <w:rFonts w:ascii="Wingdings" w:hAnsi="Wingdings" w:hint="default"/>
      </w:rPr>
    </w:lvl>
  </w:abstractNum>
  <w:abstractNum w:abstractNumId="238">
    <w:nsid w:val="6B415DDE"/>
    <w:multiLevelType w:val="multilevel"/>
    <w:tmpl w:val="386AB06E"/>
    <w:lvl w:ilvl="0">
      <w:start w:val="4"/>
      <w:numFmt w:val="decimal"/>
      <w:lvlText w:val="%1"/>
      <w:lvlJc w:val="left"/>
      <w:pPr>
        <w:ind w:left="360" w:hanging="360"/>
      </w:pPr>
      <w:rPr>
        <w:rFonts w:hint="default"/>
      </w:rPr>
    </w:lvl>
    <w:lvl w:ilvl="1">
      <w:start w:val="1"/>
      <w:numFmt w:val="decimal"/>
      <w:lvlText w:val="%1.%2"/>
      <w:lvlJc w:val="left"/>
      <w:pPr>
        <w:ind w:left="645" w:hanging="360"/>
      </w:pPr>
      <w:rPr>
        <w:rFonts w:hint="default"/>
        <w:b/>
      </w:rPr>
    </w:lvl>
    <w:lvl w:ilvl="2">
      <w:start w:val="1"/>
      <w:numFmt w:val="decimal"/>
      <w:lvlText w:val="%1.%2.%3"/>
      <w:lvlJc w:val="left"/>
      <w:pPr>
        <w:ind w:left="1290" w:hanging="720"/>
      </w:pPr>
      <w:rPr>
        <w:rFonts w:hint="default"/>
        <w:b/>
      </w:rPr>
    </w:lvl>
    <w:lvl w:ilvl="3">
      <w:start w:val="1"/>
      <w:numFmt w:val="decimal"/>
      <w:lvlText w:val="%1.%2.%3.%4"/>
      <w:lvlJc w:val="left"/>
      <w:pPr>
        <w:ind w:left="1575" w:hanging="720"/>
      </w:pPr>
      <w:rPr>
        <w:rFonts w:hint="default"/>
      </w:rPr>
    </w:lvl>
    <w:lvl w:ilvl="4">
      <w:start w:val="1"/>
      <w:numFmt w:val="decimal"/>
      <w:lvlText w:val="%1.%2.%3.%4.%5"/>
      <w:lvlJc w:val="left"/>
      <w:pPr>
        <w:ind w:left="2220" w:hanging="1080"/>
      </w:pPr>
      <w:rPr>
        <w:rFonts w:hint="default"/>
      </w:rPr>
    </w:lvl>
    <w:lvl w:ilvl="5">
      <w:start w:val="1"/>
      <w:numFmt w:val="decimal"/>
      <w:lvlText w:val="%1.%2.%3.%4.%5.%6"/>
      <w:lvlJc w:val="left"/>
      <w:pPr>
        <w:ind w:left="2505" w:hanging="1080"/>
      </w:pPr>
      <w:rPr>
        <w:rFonts w:hint="default"/>
      </w:rPr>
    </w:lvl>
    <w:lvl w:ilvl="6">
      <w:start w:val="1"/>
      <w:numFmt w:val="decimal"/>
      <w:lvlText w:val="%1.%2.%3.%4.%5.%6.%7"/>
      <w:lvlJc w:val="left"/>
      <w:pPr>
        <w:ind w:left="3150" w:hanging="1440"/>
      </w:pPr>
      <w:rPr>
        <w:rFonts w:hint="default"/>
      </w:rPr>
    </w:lvl>
    <w:lvl w:ilvl="7">
      <w:start w:val="1"/>
      <w:numFmt w:val="decimal"/>
      <w:lvlText w:val="%1.%2.%3.%4.%5.%6.%7.%8"/>
      <w:lvlJc w:val="left"/>
      <w:pPr>
        <w:ind w:left="3435" w:hanging="1440"/>
      </w:pPr>
      <w:rPr>
        <w:rFonts w:hint="default"/>
      </w:rPr>
    </w:lvl>
    <w:lvl w:ilvl="8">
      <w:start w:val="1"/>
      <w:numFmt w:val="decimal"/>
      <w:lvlText w:val="%1.%2.%3.%4.%5.%6.%7.%8.%9"/>
      <w:lvlJc w:val="left"/>
      <w:pPr>
        <w:ind w:left="4080" w:hanging="1800"/>
      </w:pPr>
      <w:rPr>
        <w:rFonts w:hint="default"/>
      </w:rPr>
    </w:lvl>
  </w:abstractNum>
  <w:abstractNum w:abstractNumId="239">
    <w:nsid w:val="6BB12A74"/>
    <w:multiLevelType w:val="hybridMultilevel"/>
    <w:tmpl w:val="904E8DDA"/>
    <w:lvl w:ilvl="0" w:tplc="690EBB7E">
      <w:start w:val="1"/>
      <w:numFmt w:val="decimal"/>
      <w:lvlText w:val="3.1.%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nsid w:val="6BD21AE7"/>
    <w:multiLevelType w:val="multilevel"/>
    <w:tmpl w:val="71FEA964"/>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1">
    <w:nsid w:val="6BE32EEC"/>
    <w:multiLevelType w:val="multilevel"/>
    <w:tmpl w:val="BEA66116"/>
    <w:lvl w:ilvl="0">
      <w:start w:val="3"/>
      <w:numFmt w:val="decimal"/>
      <w:lvlText w:val="%1"/>
      <w:lvlJc w:val="left"/>
      <w:pPr>
        <w:ind w:left="360" w:hanging="360"/>
      </w:pPr>
      <w:rPr>
        <w:rFonts w:hint="default"/>
        <w:b/>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680" w:hanging="1800"/>
      </w:pPr>
      <w:rPr>
        <w:rFonts w:hint="default"/>
        <w:b/>
      </w:rPr>
    </w:lvl>
  </w:abstractNum>
  <w:abstractNum w:abstractNumId="242">
    <w:nsid w:val="6BF156E7"/>
    <w:multiLevelType w:val="hybridMultilevel"/>
    <w:tmpl w:val="BE0688B6"/>
    <w:lvl w:ilvl="0" w:tplc="4EE61BB4">
      <w:start w:val="1"/>
      <w:numFmt w:val="decimal"/>
      <w:lvlText w:val="3.5.%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3">
    <w:nsid w:val="6C38688B"/>
    <w:multiLevelType w:val="multilevel"/>
    <w:tmpl w:val="3BD6D5BC"/>
    <w:lvl w:ilvl="0">
      <w:start w:val="2"/>
      <w:numFmt w:val="decimal"/>
      <w:lvlText w:val="%1"/>
      <w:lvlJc w:val="left"/>
      <w:pPr>
        <w:ind w:left="360" w:hanging="360"/>
      </w:pPr>
      <w:rPr>
        <w:rFonts w:hint="default"/>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44">
    <w:nsid w:val="6C931CE9"/>
    <w:multiLevelType w:val="hybridMultilevel"/>
    <w:tmpl w:val="03FAFFDC"/>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45">
    <w:nsid w:val="6CC63187"/>
    <w:multiLevelType w:val="multilevel"/>
    <w:tmpl w:val="AC56D6EE"/>
    <w:lvl w:ilvl="0">
      <w:start w:val="2"/>
      <w:numFmt w:val="decimal"/>
      <w:lvlText w:val="%1."/>
      <w:lvlJc w:val="left"/>
      <w:pPr>
        <w:tabs>
          <w:tab w:val="num" w:pos="357"/>
        </w:tabs>
        <w:ind w:left="357" w:hanging="357"/>
      </w:pPr>
      <w:rPr>
        <w:rFonts w:ascii="Arial" w:hAnsi="Arial" w:cs="Calibri" w:hint="default"/>
        <w:b w:val="0"/>
        <w:bCs w:val="0"/>
        <w:i w:val="0"/>
        <w:iCs w:val="0"/>
        <w:caps w:val="0"/>
        <w:strike w:val="0"/>
        <w:dstrike w:val="0"/>
        <w:outline w:val="0"/>
        <w:shadow w:val="0"/>
        <w:emboss w:val="0"/>
        <w:imprint w:val="0"/>
        <w:vanish w:val="0"/>
        <w:sz w:val="22"/>
        <w:szCs w:val="22"/>
        <w:vertAlign w:val="baseline"/>
      </w:rPr>
    </w:lvl>
    <w:lvl w:ilvl="1">
      <w:start w:val="1"/>
      <w:numFmt w:val="decimal"/>
      <w:lvlText w:val="%2."/>
      <w:lvlJc w:val="left"/>
      <w:pPr>
        <w:tabs>
          <w:tab w:val="num" w:pos="612"/>
        </w:tabs>
        <w:ind w:left="612" w:hanging="432"/>
      </w:pPr>
      <w:rPr>
        <w:rFonts w:hint="default"/>
        <w:b w:val="0"/>
        <w:bCs w:val="0"/>
        <w:i w:val="0"/>
        <w:iCs w:val="0"/>
        <w:caps w:val="0"/>
        <w:strike w:val="0"/>
        <w:dstrike w:val="0"/>
        <w:shadow w:val="0"/>
        <w:emboss w:val="0"/>
        <w:imprint w:val="0"/>
        <w:vanish w:val="0"/>
        <w:sz w:val="22"/>
        <w:szCs w:val="22"/>
        <w:vertAlign w:val="baseline"/>
      </w:rPr>
    </w:lvl>
    <w:lvl w:ilvl="2">
      <w:start w:val="1"/>
      <w:numFmt w:val="decimal"/>
      <w:lvlText w:val="%1.%2.%3."/>
      <w:lvlJc w:val="left"/>
      <w:pPr>
        <w:tabs>
          <w:tab w:val="num" w:pos="1440"/>
        </w:tabs>
        <w:ind w:left="1224" w:hanging="504"/>
      </w:pPr>
      <w:rPr>
        <w:rFonts w:cs="Times New Roman Bold" w:hint="default"/>
      </w:rPr>
    </w:lvl>
    <w:lvl w:ilvl="3">
      <w:start w:val="1"/>
      <w:numFmt w:val="decimal"/>
      <w:lvlText w:val="%1.%2.%3.%4."/>
      <w:lvlJc w:val="left"/>
      <w:pPr>
        <w:tabs>
          <w:tab w:val="num" w:pos="2160"/>
        </w:tabs>
        <w:ind w:left="1728" w:hanging="648"/>
      </w:pPr>
      <w:rPr>
        <w:rFonts w:cs="Times New Roman Bold" w:hint="default"/>
      </w:rPr>
    </w:lvl>
    <w:lvl w:ilvl="4">
      <w:start w:val="1"/>
      <w:numFmt w:val="decimal"/>
      <w:lvlText w:val="%1.%2.%3.%4.%5."/>
      <w:lvlJc w:val="left"/>
      <w:pPr>
        <w:tabs>
          <w:tab w:val="num" w:pos="2520"/>
        </w:tabs>
        <w:ind w:left="2232" w:hanging="792"/>
      </w:pPr>
      <w:rPr>
        <w:rFonts w:cs="Times New Roman Bold" w:hint="default"/>
      </w:rPr>
    </w:lvl>
    <w:lvl w:ilvl="5">
      <w:start w:val="1"/>
      <w:numFmt w:val="decimal"/>
      <w:lvlText w:val="%1.%2.%3.%4.%5.%6."/>
      <w:lvlJc w:val="left"/>
      <w:pPr>
        <w:tabs>
          <w:tab w:val="num" w:pos="3240"/>
        </w:tabs>
        <w:ind w:left="2736" w:hanging="936"/>
      </w:pPr>
      <w:rPr>
        <w:rFonts w:cs="Times New Roman Bold" w:hint="default"/>
      </w:rPr>
    </w:lvl>
    <w:lvl w:ilvl="6">
      <w:start w:val="1"/>
      <w:numFmt w:val="decimal"/>
      <w:lvlText w:val="%1.%2.%3.%4.%5.%6.%7."/>
      <w:lvlJc w:val="left"/>
      <w:pPr>
        <w:tabs>
          <w:tab w:val="num" w:pos="3600"/>
        </w:tabs>
        <w:ind w:left="3240" w:hanging="1080"/>
      </w:pPr>
      <w:rPr>
        <w:rFonts w:cs="Times New Roman Bold" w:hint="default"/>
      </w:rPr>
    </w:lvl>
    <w:lvl w:ilvl="7">
      <w:start w:val="1"/>
      <w:numFmt w:val="decimal"/>
      <w:lvlText w:val="%1.%2.%3.%4.%5.%6.%7.%8."/>
      <w:lvlJc w:val="left"/>
      <w:pPr>
        <w:tabs>
          <w:tab w:val="num" w:pos="4320"/>
        </w:tabs>
        <w:ind w:left="3744" w:hanging="1224"/>
      </w:pPr>
      <w:rPr>
        <w:rFonts w:cs="Times New Roman Bold" w:hint="default"/>
      </w:rPr>
    </w:lvl>
    <w:lvl w:ilvl="8">
      <w:start w:val="1"/>
      <w:numFmt w:val="decimal"/>
      <w:lvlText w:val="%1.%2.%3.%4.%5.%6.%7.%8.%9."/>
      <w:lvlJc w:val="left"/>
      <w:pPr>
        <w:tabs>
          <w:tab w:val="num" w:pos="5040"/>
        </w:tabs>
        <w:ind w:left="4320" w:hanging="1440"/>
      </w:pPr>
      <w:rPr>
        <w:rFonts w:cs="Times New Roman Bold" w:hint="default"/>
      </w:rPr>
    </w:lvl>
  </w:abstractNum>
  <w:abstractNum w:abstractNumId="246">
    <w:nsid w:val="6D0108C3"/>
    <w:multiLevelType w:val="multilevel"/>
    <w:tmpl w:val="9C4CB770"/>
    <w:lvl w:ilvl="0">
      <w:start w:val="3"/>
      <w:numFmt w:val="decimal"/>
      <w:lvlText w:val="%1"/>
      <w:lvlJc w:val="left"/>
      <w:pPr>
        <w:ind w:left="480" w:hanging="480"/>
      </w:pPr>
      <w:rPr>
        <w:rFonts w:hint="default"/>
        <w:b/>
      </w:rPr>
    </w:lvl>
    <w:lvl w:ilvl="1">
      <w:start w:val="1"/>
      <w:numFmt w:val="decimal"/>
      <w:lvlText w:val="%1.%2"/>
      <w:lvlJc w:val="left"/>
      <w:pPr>
        <w:ind w:left="660" w:hanging="480"/>
      </w:pPr>
      <w:rPr>
        <w:rFonts w:hint="default"/>
        <w:b/>
      </w:rPr>
    </w:lvl>
    <w:lvl w:ilvl="2">
      <w:start w:val="1"/>
      <w:numFmt w:val="decimal"/>
      <w:lvlText w:val="%1.%2.%3"/>
      <w:lvlJc w:val="left"/>
      <w:pPr>
        <w:ind w:left="1080" w:hanging="720"/>
      </w:pPr>
      <w:rPr>
        <w:rFonts w:hint="default"/>
        <w:b/>
      </w:rPr>
    </w:lvl>
    <w:lvl w:ilvl="3">
      <w:start w:val="1"/>
      <w:numFmt w:val="decimal"/>
      <w:lvlText w:val="%1.%2.%3.%4"/>
      <w:lvlJc w:val="left"/>
      <w:pPr>
        <w:ind w:left="1260" w:hanging="720"/>
      </w:pPr>
      <w:rPr>
        <w:rFonts w:hint="default"/>
        <w:b/>
      </w:rPr>
    </w:lvl>
    <w:lvl w:ilvl="4">
      <w:start w:val="1"/>
      <w:numFmt w:val="decimal"/>
      <w:lvlText w:val="%1.%2.%3.%4.%5"/>
      <w:lvlJc w:val="left"/>
      <w:pPr>
        <w:ind w:left="1800" w:hanging="1080"/>
      </w:pPr>
      <w:rPr>
        <w:rFonts w:hint="default"/>
        <w:b/>
      </w:rPr>
    </w:lvl>
    <w:lvl w:ilvl="5">
      <w:start w:val="1"/>
      <w:numFmt w:val="decimal"/>
      <w:lvlText w:val="%1.%2.%3.%4.%5.%6"/>
      <w:lvlJc w:val="left"/>
      <w:pPr>
        <w:ind w:left="1980" w:hanging="1080"/>
      </w:pPr>
      <w:rPr>
        <w:rFonts w:hint="default"/>
        <w:b/>
      </w:rPr>
    </w:lvl>
    <w:lvl w:ilvl="6">
      <w:start w:val="1"/>
      <w:numFmt w:val="decimal"/>
      <w:lvlText w:val="%1.%2.%3.%4.%5.%6.%7"/>
      <w:lvlJc w:val="left"/>
      <w:pPr>
        <w:ind w:left="2520" w:hanging="1440"/>
      </w:pPr>
      <w:rPr>
        <w:rFonts w:hint="default"/>
        <w:b/>
      </w:rPr>
    </w:lvl>
    <w:lvl w:ilvl="7">
      <w:start w:val="1"/>
      <w:numFmt w:val="decimal"/>
      <w:lvlText w:val="%1.%2.%3.%4.%5.%6.%7.%8"/>
      <w:lvlJc w:val="left"/>
      <w:pPr>
        <w:ind w:left="2700" w:hanging="1440"/>
      </w:pPr>
      <w:rPr>
        <w:rFonts w:hint="default"/>
        <w:b/>
      </w:rPr>
    </w:lvl>
    <w:lvl w:ilvl="8">
      <w:start w:val="1"/>
      <w:numFmt w:val="decimal"/>
      <w:lvlText w:val="%1.%2.%3.%4.%5.%6.%7.%8.%9"/>
      <w:lvlJc w:val="left"/>
      <w:pPr>
        <w:ind w:left="3240" w:hanging="1800"/>
      </w:pPr>
      <w:rPr>
        <w:rFonts w:hint="default"/>
        <w:b/>
      </w:rPr>
    </w:lvl>
  </w:abstractNum>
  <w:abstractNum w:abstractNumId="247">
    <w:nsid w:val="6D2E4989"/>
    <w:multiLevelType w:val="multilevel"/>
    <w:tmpl w:val="60D65F78"/>
    <w:lvl w:ilvl="0">
      <w:start w:val="2"/>
      <w:numFmt w:val="decimal"/>
      <w:lvlText w:val="%1"/>
      <w:lvlJc w:val="left"/>
      <w:pPr>
        <w:ind w:left="480" w:hanging="480"/>
      </w:pPr>
      <w:rPr>
        <w:rFonts w:hint="default"/>
      </w:rPr>
    </w:lvl>
    <w:lvl w:ilvl="1">
      <w:start w:val="8"/>
      <w:numFmt w:val="decimal"/>
      <w:lvlText w:val="%1.%2"/>
      <w:lvlJc w:val="left"/>
      <w:pPr>
        <w:ind w:left="840" w:hanging="480"/>
      </w:pPr>
      <w:rPr>
        <w:rFonts w:hint="default"/>
        <w:b/>
      </w:rPr>
    </w:lvl>
    <w:lvl w:ilvl="2">
      <w:start w:val="2"/>
      <w:numFmt w:val="decimal"/>
      <w:lvlText w:val="%1.%2.%3"/>
      <w:lvlJc w:val="left"/>
      <w:pPr>
        <w:ind w:left="1260" w:hanging="720"/>
      </w:pPr>
      <w:rPr>
        <w:rFonts w:hint="default"/>
        <w:b/>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48">
    <w:nsid w:val="6D4718B2"/>
    <w:multiLevelType w:val="multilevel"/>
    <w:tmpl w:val="9EE6721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9">
    <w:nsid w:val="6D6627A8"/>
    <w:multiLevelType w:val="hybridMultilevel"/>
    <w:tmpl w:val="BA12FC26"/>
    <w:lvl w:ilvl="0" w:tplc="0409000F">
      <w:start w:val="1"/>
      <w:numFmt w:val="decimal"/>
      <w:lvlText w:val="%1."/>
      <w:lvlJc w:val="left"/>
      <w:pPr>
        <w:ind w:left="720" w:hanging="360"/>
      </w:pPr>
      <w:rPr>
        <w:rFonts w:cs="Times New Roman"/>
      </w:rPr>
    </w:lvl>
    <w:lvl w:ilvl="1" w:tplc="D03C1740">
      <w:start w:val="1"/>
      <w:numFmt w:val="lowerLetter"/>
      <w:lvlText w:val="%2."/>
      <w:lvlJc w:val="left"/>
      <w:pPr>
        <w:tabs>
          <w:tab w:val="num" w:pos="1440"/>
        </w:tabs>
        <w:ind w:left="1440" w:hanging="360"/>
      </w:pPr>
      <w:rPr>
        <w:rFonts w:hint="default"/>
        <w:i w:val="0"/>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0">
    <w:nsid w:val="6E5C0060"/>
    <w:multiLevelType w:val="multilevel"/>
    <w:tmpl w:val="A258788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1">
    <w:nsid w:val="6E6F7429"/>
    <w:multiLevelType w:val="multilevel"/>
    <w:tmpl w:val="1F229FC8"/>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b/>
        <w:i w:val="0"/>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252">
    <w:nsid w:val="6E950BAB"/>
    <w:multiLevelType w:val="multilevel"/>
    <w:tmpl w:val="2C9813F0"/>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3">
    <w:nsid w:val="6EA90671"/>
    <w:multiLevelType w:val="hybridMultilevel"/>
    <w:tmpl w:val="4CB29F16"/>
    <w:lvl w:ilvl="0" w:tplc="C088AF38">
      <w:start w:val="1"/>
      <w:numFmt w:val="decimal"/>
      <w:lvlText w:val="2.6.%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nsid w:val="6F0F5BBF"/>
    <w:multiLevelType w:val="multilevel"/>
    <w:tmpl w:val="23168314"/>
    <w:lvl w:ilvl="0">
      <w:start w:val="1"/>
      <w:numFmt w:val="decimal"/>
      <w:lvlText w:val="%1."/>
      <w:lvlJc w:val="left"/>
      <w:pPr>
        <w:tabs>
          <w:tab w:val="num" w:pos="794"/>
        </w:tabs>
        <w:ind w:left="794" w:hanging="437"/>
      </w:pPr>
      <w:rPr>
        <w:rFonts w:hint="default"/>
        <w:b w:val="0"/>
        <w:bCs w:val="0"/>
        <w:i w:val="0"/>
        <w:iCs w:val="0"/>
        <w:caps w:val="0"/>
        <w:strike w:val="0"/>
        <w:dstrike w:val="0"/>
        <w:outline w:val="0"/>
        <w:shadow w:val="0"/>
        <w:emboss w:val="0"/>
        <w:imprint w:val="0"/>
        <w:vanish w:val="0"/>
        <w:sz w:val="22"/>
        <w:szCs w:val="22"/>
        <w:vertAlign w:val="baseline"/>
      </w:rPr>
    </w:lvl>
    <w:lvl w:ilvl="1">
      <w:start w:val="3"/>
      <w:numFmt w:val="decimal"/>
      <w:lvlText w:val="%2."/>
      <w:lvlJc w:val="left"/>
      <w:pPr>
        <w:tabs>
          <w:tab w:val="num" w:pos="792"/>
        </w:tabs>
        <w:ind w:left="792" w:hanging="432"/>
      </w:pPr>
      <w:rPr>
        <w:rFonts w:ascii="Arial" w:hAnsi="Arial" w:cs="Calibri" w:hint="default"/>
        <w:b w:val="0"/>
        <w:bCs w:val="0"/>
        <w:i/>
        <w:iCs w:val="0"/>
        <w:caps w:val="0"/>
        <w:strike w:val="0"/>
        <w:dstrike w:val="0"/>
        <w:shadow w:val="0"/>
        <w:emboss w:val="0"/>
        <w:imprint w:val="0"/>
        <w:vanish w:val="0"/>
        <w:sz w:val="22"/>
        <w:szCs w:val="22"/>
        <w:vertAlign w:val="baseline"/>
      </w:rPr>
    </w:lvl>
    <w:lvl w:ilvl="2">
      <w:start w:val="1"/>
      <w:numFmt w:val="lowerLetter"/>
      <w:lvlText w:val="%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255">
    <w:nsid w:val="6F781D6D"/>
    <w:multiLevelType w:val="hybridMultilevel"/>
    <w:tmpl w:val="16786B60"/>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56">
    <w:nsid w:val="6F833F55"/>
    <w:multiLevelType w:val="multilevel"/>
    <w:tmpl w:val="EE3ABACA"/>
    <w:lvl w:ilvl="0">
      <w:start w:val="3"/>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6"/>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7">
    <w:nsid w:val="6FE8727C"/>
    <w:multiLevelType w:val="hybridMultilevel"/>
    <w:tmpl w:val="92C297A6"/>
    <w:lvl w:ilvl="0" w:tplc="4A6C6AAE">
      <w:start w:val="1"/>
      <w:numFmt w:val="decimal"/>
      <w:lvlText w:val="3.2.%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8">
    <w:nsid w:val="702873B8"/>
    <w:multiLevelType w:val="hybridMultilevel"/>
    <w:tmpl w:val="381CE010"/>
    <w:lvl w:ilvl="0" w:tplc="08160001">
      <w:start w:val="1"/>
      <w:numFmt w:val="bullet"/>
      <w:lvlText w:val=""/>
      <w:lvlJc w:val="left"/>
      <w:pPr>
        <w:ind w:left="1440" w:hanging="360"/>
      </w:pPr>
      <w:rPr>
        <w:rFonts w:ascii="Symbol" w:hAnsi="Symbol" w:hint="default"/>
      </w:rPr>
    </w:lvl>
    <w:lvl w:ilvl="1" w:tplc="08160003" w:tentative="1">
      <w:start w:val="1"/>
      <w:numFmt w:val="bullet"/>
      <w:lvlText w:val="o"/>
      <w:lvlJc w:val="left"/>
      <w:pPr>
        <w:ind w:left="2160" w:hanging="360"/>
      </w:pPr>
      <w:rPr>
        <w:rFonts w:ascii="Courier New" w:hAnsi="Courier New" w:cs="Courier New" w:hint="default"/>
      </w:rPr>
    </w:lvl>
    <w:lvl w:ilvl="2" w:tplc="08160005" w:tentative="1">
      <w:start w:val="1"/>
      <w:numFmt w:val="bullet"/>
      <w:lvlText w:val=""/>
      <w:lvlJc w:val="left"/>
      <w:pPr>
        <w:ind w:left="2880" w:hanging="360"/>
      </w:pPr>
      <w:rPr>
        <w:rFonts w:ascii="Wingdings" w:hAnsi="Wingdings" w:hint="default"/>
      </w:rPr>
    </w:lvl>
    <w:lvl w:ilvl="3" w:tplc="08160001" w:tentative="1">
      <w:start w:val="1"/>
      <w:numFmt w:val="bullet"/>
      <w:lvlText w:val=""/>
      <w:lvlJc w:val="left"/>
      <w:pPr>
        <w:ind w:left="3600" w:hanging="360"/>
      </w:pPr>
      <w:rPr>
        <w:rFonts w:ascii="Symbol" w:hAnsi="Symbol" w:hint="default"/>
      </w:rPr>
    </w:lvl>
    <w:lvl w:ilvl="4" w:tplc="08160003" w:tentative="1">
      <w:start w:val="1"/>
      <w:numFmt w:val="bullet"/>
      <w:lvlText w:val="o"/>
      <w:lvlJc w:val="left"/>
      <w:pPr>
        <w:ind w:left="4320" w:hanging="360"/>
      </w:pPr>
      <w:rPr>
        <w:rFonts w:ascii="Courier New" w:hAnsi="Courier New" w:cs="Courier New" w:hint="default"/>
      </w:rPr>
    </w:lvl>
    <w:lvl w:ilvl="5" w:tplc="08160005" w:tentative="1">
      <w:start w:val="1"/>
      <w:numFmt w:val="bullet"/>
      <w:lvlText w:val=""/>
      <w:lvlJc w:val="left"/>
      <w:pPr>
        <w:ind w:left="5040" w:hanging="360"/>
      </w:pPr>
      <w:rPr>
        <w:rFonts w:ascii="Wingdings" w:hAnsi="Wingdings" w:hint="default"/>
      </w:rPr>
    </w:lvl>
    <w:lvl w:ilvl="6" w:tplc="08160001" w:tentative="1">
      <w:start w:val="1"/>
      <w:numFmt w:val="bullet"/>
      <w:lvlText w:val=""/>
      <w:lvlJc w:val="left"/>
      <w:pPr>
        <w:ind w:left="5760" w:hanging="360"/>
      </w:pPr>
      <w:rPr>
        <w:rFonts w:ascii="Symbol" w:hAnsi="Symbol" w:hint="default"/>
      </w:rPr>
    </w:lvl>
    <w:lvl w:ilvl="7" w:tplc="08160003" w:tentative="1">
      <w:start w:val="1"/>
      <w:numFmt w:val="bullet"/>
      <w:lvlText w:val="o"/>
      <w:lvlJc w:val="left"/>
      <w:pPr>
        <w:ind w:left="6480" w:hanging="360"/>
      </w:pPr>
      <w:rPr>
        <w:rFonts w:ascii="Courier New" w:hAnsi="Courier New" w:cs="Courier New" w:hint="default"/>
      </w:rPr>
    </w:lvl>
    <w:lvl w:ilvl="8" w:tplc="08160005" w:tentative="1">
      <w:start w:val="1"/>
      <w:numFmt w:val="bullet"/>
      <w:lvlText w:val=""/>
      <w:lvlJc w:val="left"/>
      <w:pPr>
        <w:ind w:left="7200" w:hanging="360"/>
      </w:pPr>
      <w:rPr>
        <w:rFonts w:ascii="Wingdings" w:hAnsi="Wingdings" w:hint="default"/>
      </w:rPr>
    </w:lvl>
  </w:abstractNum>
  <w:abstractNum w:abstractNumId="259">
    <w:nsid w:val="702B72DF"/>
    <w:multiLevelType w:val="multilevel"/>
    <w:tmpl w:val="3F62058A"/>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0">
    <w:nsid w:val="70A83C74"/>
    <w:multiLevelType w:val="hybridMultilevel"/>
    <w:tmpl w:val="19CACACC"/>
    <w:lvl w:ilvl="0" w:tplc="843A1EFA">
      <w:start w:val="1"/>
      <w:numFmt w:val="decimal"/>
      <w:lvlText w:val="4.1.%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nsid w:val="71231C82"/>
    <w:multiLevelType w:val="multilevel"/>
    <w:tmpl w:val="D1262CDC"/>
    <w:lvl w:ilvl="0">
      <w:start w:val="2"/>
      <w:numFmt w:val="decimal"/>
      <w:lvlText w:val="%1."/>
      <w:lvlJc w:val="left"/>
      <w:pPr>
        <w:tabs>
          <w:tab w:val="num" w:pos="357"/>
        </w:tabs>
        <w:ind w:left="357" w:hanging="357"/>
      </w:pPr>
      <w:rPr>
        <w:rFonts w:ascii="Arial" w:hAnsi="Arial" w:cs="Calibri" w:hint="default"/>
        <w:b w:val="0"/>
        <w:bCs w:val="0"/>
        <w:i w:val="0"/>
        <w:iCs w:val="0"/>
        <w:caps w:val="0"/>
        <w:strike w:val="0"/>
        <w:dstrike w:val="0"/>
        <w:outline w:val="0"/>
        <w:shadow w:val="0"/>
        <w:emboss w:val="0"/>
        <w:imprint w:val="0"/>
        <w:vanish w:val="0"/>
        <w:sz w:val="22"/>
        <w:szCs w:val="22"/>
        <w:vertAlign w:val="baseline"/>
      </w:rPr>
    </w:lvl>
    <w:lvl w:ilvl="1">
      <w:start w:val="1"/>
      <w:numFmt w:val="decimal"/>
      <w:lvlText w:val="%2."/>
      <w:lvlJc w:val="left"/>
      <w:pPr>
        <w:tabs>
          <w:tab w:val="num" w:pos="612"/>
        </w:tabs>
        <w:ind w:left="612" w:hanging="432"/>
      </w:pPr>
      <w:rPr>
        <w:rFonts w:hint="default"/>
        <w:b w:val="0"/>
        <w:bCs w:val="0"/>
        <w:i w:val="0"/>
        <w:iCs w:val="0"/>
        <w:caps w:val="0"/>
        <w:strike w:val="0"/>
        <w:dstrike w:val="0"/>
        <w:shadow w:val="0"/>
        <w:emboss w:val="0"/>
        <w:imprint w:val="0"/>
        <w:vanish w:val="0"/>
        <w:sz w:val="22"/>
        <w:szCs w:val="22"/>
        <w:vertAlign w:val="baseline"/>
      </w:rPr>
    </w:lvl>
    <w:lvl w:ilvl="2">
      <w:start w:val="1"/>
      <w:numFmt w:val="decimal"/>
      <w:lvlText w:val="%1.%2.%3."/>
      <w:lvlJc w:val="left"/>
      <w:pPr>
        <w:tabs>
          <w:tab w:val="num" w:pos="1440"/>
        </w:tabs>
        <w:ind w:left="1224" w:hanging="504"/>
      </w:pPr>
      <w:rPr>
        <w:rFonts w:cs="Times New Roman Bold" w:hint="default"/>
      </w:rPr>
    </w:lvl>
    <w:lvl w:ilvl="3">
      <w:start w:val="1"/>
      <w:numFmt w:val="decimal"/>
      <w:lvlText w:val="%1.%2.%3.%4."/>
      <w:lvlJc w:val="left"/>
      <w:pPr>
        <w:tabs>
          <w:tab w:val="num" w:pos="2160"/>
        </w:tabs>
        <w:ind w:left="1728" w:hanging="648"/>
      </w:pPr>
      <w:rPr>
        <w:rFonts w:cs="Times New Roman Bold" w:hint="default"/>
      </w:rPr>
    </w:lvl>
    <w:lvl w:ilvl="4">
      <w:start w:val="1"/>
      <w:numFmt w:val="decimal"/>
      <w:lvlText w:val="%1.%2.%3.%4.%5."/>
      <w:lvlJc w:val="left"/>
      <w:pPr>
        <w:tabs>
          <w:tab w:val="num" w:pos="2520"/>
        </w:tabs>
        <w:ind w:left="2232" w:hanging="792"/>
      </w:pPr>
      <w:rPr>
        <w:rFonts w:cs="Times New Roman Bold" w:hint="default"/>
      </w:rPr>
    </w:lvl>
    <w:lvl w:ilvl="5">
      <w:start w:val="1"/>
      <w:numFmt w:val="decimal"/>
      <w:lvlText w:val="%1.%2.%3.%4.%5.%6."/>
      <w:lvlJc w:val="left"/>
      <w:pPr>
        <w:tabs>
          <w:tab w:val="num" w:pos="3240"/>
        </w:tabs>
        <w:ind w:left="2736" w:hanging="936"/>
      </w:pPr>
      <w:rPr>
        <w:rFonts w:cs="Times New Roman Bold" w:hint="default"/>
      </w:rPr>
    </w:lvl>
    <w:lvl w:ilvl="6">
      <w:start w:val="1"/>
      <w:numFmt w:val="decimal"/>
      <w:lvlText w:val="%1.%2.%3.%4.%5.%6.%7."/>
      <w:lvlJc w:val="left"/>
      <w:pPr>
        <w:tabs>
          <w:tab w:val="num" w:pos="3600"/>
        </w:tabs>
        <w:ind w:left="3240" w:hanging="1080"/>
      </w:pPr>
      <w:rPr>
        <w:rFonts w:cs="Times New Roman Bold" w:hint="default"/>
      </w:rPr>
    </w:lvl>
    <w:lvl w:ilvl="7">
      <w:start w:val="1"/>
      <w:numFmt w:val="decimal"/>
      <w:lvlText w:val="%1.%2.%3.%4.%5.%6.%7.%8."/>
      <w:lvlJc w:val="left"/>
      <w:pPr>
        <w:tabs>
          <w:tab w:val="num" w:pos="4320"/>
        </w:tabs>
        <w:ind w:left="3744" w:hanging="1224"/>
      </w:pPr>
      <w:rPr>
        <w:rFonts w:cs="Times New Roman Bold" w:hint="default"/>
      </w:rPr>
    </w:lvl>
    <w:lvl w:ilvl="8">
      <w:start w:val="1"/>
      <w:numFmt w:val="decimal"/>
      <w:lvlText w:val="%1.%2.%3.%4.%5.%6.%7.%8.%9."/>
      <w:lvlJc w:val="left"/>
      <w:pPr>
        <w:tabs>
          <w:tab w:val="num" w:pos="5040"/>
        </w:tabs>
        <w:ind w:left="4320" w:hanging="1440"/>
      </w:pPr>
      <w:rPr>
        <w:rFonts w:cs="Times New Roman Bold" w:hint="default"/>
      </w:rPr>
    </w:lvl>
  </w:abstractNum>
  <w:abstractNum w:abstractNumId="262">
    <w:nsid w:val="714D6AD7"/>
    <w:multiLevelType w:val="hybridMultilevel"/>
    <w:tmpl w:val="D63C6B82"/>
    <w:lvl w:ilvl="0" w:tplc="C6683AAC">
      <w:start w:val="1"/>
      <w:numFmt w:val="decimal"/>
      <w:lvlText w:val="4.4.%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nsid w:val="715100A7"/>
    <w:multiLevelType w:val="multilevel"/>
    <w:tmpl w:val="AB92A88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4">
    <w:nsid w:val="71E06DD1"/>
    <w:multiLevelType w:val="multilevel"/>
    <w:tmpl w:val="57A0F094"/>
    <w:lvl w:ilvl="0">
      <w:start w:val="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65">
    <w:nsid w:val="72B4229A"/>
    <w:multiLevelType w:val="hybridMultilevel"/>
    <w:tmpl w:val="A1C815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Arial"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Arial" w:hint="default"/>
      </w:rPr>
    </w:lvl>
    <w:lvl w:ilvl="8" w:tplc="08090005" w:tentative="1">
      <w:start w:val="1"/>
      <w:numFmt w:val="bullet"/>
      <w:lvlText w:val=""/>
      <w:lvlJc w:val="left"/>
      <w:pPr>
        <w:ind w:left="6480" w:hanging="360"/>
      </w:pPr>
      <w:rPr>
        <w:rFonts w:ascii="Wingdings" w:hAnsi="Wingdings" w:hint="default"/>
      </w:rPr>
    </w:lvl>
  </w:abstractNum>
  <w:abstractNum w:abstractNumId="266">
    <w:nsid w:val="72DE6F82"/>
    <w:multiLevelType w:val="multilevel"/>
    <w:tmpl w:val="50949036"/>
    <w:lvl w:ilvl="0">
      <w:start w:val="1"/>
      <w:numFmt w:val="decimal"/>
      <w:lvlText w:val="%1."/>
      <w:lvlJc w:val="left"/>
      <w:pPr>
        <w:tabs>
          <w:tab w:val="num" w:pos="617"/>
        </w:tabs>
        <w:ind w:left="617" w:hanging="437"/>
      </w:pPr>
      <w:rPr>
        <w:rFonts w:hint="default"/>
        <w:b w:val="0"/>
        <w:bCs w:val="0"/>
        <w:i w:val="0"/>
        <w:iCs w:val="0"/>
        <w:caps w:val="0"/>
        <w:strike w:val="0"/>
        <w:dstrike w:val="0"/>
        <w:outline w:val="0"/>
        <w:shadow w:val="0"/>
        <w:emboss w:val="0"/>
        <w:imprint w:val="0"/>
        <w:vanish w:val="0"/>
        <w:sz w:val="22"/>
        <w:szCs w:val="22"/>
        <w:vertAlign w:val="baseline"/>
      </w:rPr>
    </w:lvl>
    <w:lvl w:ilvl="1">
      <w:start w:val="3"/>
      <w:numFmt w:val="decimal"/>
      <w:lvlText w:val="%2."/>
      <w:lvlJc w:val="left"/>
      <w:pPr>
        <w:tabs>
          <w:tab w:val="num" w:pos="792"/>
        </w:tabs>
        <w:ind w:left="792" w:hanging="432"/>
      </w:pPr>
      <w:rPr>
        <w:rFonts w:ascii="Arial" w:hAnsi="Arial" w:cs="Calibri" w:hint="default"/>
        <w:b w:val="0"/>
        <w:bCs w:val="0"/>
        <w:i/>
        <w:iCs w:val="0"/>
        <w:caps w:val="0"/>
        <w:strike w:val="0"/>
        <w:dstrike w:val="0"/>
        <w:shadow w:val="0"/>
        <w:emboss w:val="0"/>
        <w:imprint w:val="0"/>
        <w:vanish w:val="0"/>
        <w:sz w:val="22"/>
        <w:szCs w:val="22"/>
        <w:vertAlign w:val="baseline"/>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267">
    <w:nsid w:val="731B23CC"/>
    <w:multiLevelType w:val="hybridMultilevel"/>
    <w:tmpl w:val="F676D0FE"/>
    <w:lvl w:ilvl="0" w:tplc="3580B738">
      <w:start w:val="1"/>
      <w:numFmt w:val="decimal"/>
      <w:lvlText w:val="2.%1."/>
      <w:lvlJc w:val="left"/>
      <w:pPr>
        <w:ind w:left="45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8">
    <w:nsid w:val="73263CCD"/>
    <w:multiLevelType w:val="hybridMultilevel"/>
    <w:tmpl w:val="2B70C870"/>
    <w:lvl w:ilvl="0" w:tplc="0ABAE06C">
      <w:start w:val="1"/>
      <w:numFmt w:val="decimal"/>
      <w:lvlText w:val="4.5.%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9">
    <w:nsid w:val="7399187B"/>
    <w:multiLevelType w:val="hybridMultilevel"/>
    <w:tmpl w:val="B8F89DAE"/>
    <w:lvl w:ilvl="0" w:tplc="08090001">
      <w:start w:val="1"/>
      <w:numFmt w:val="bullet"/>
      <w:lvlText w:val=""/>
      <w:lvlJc w:val="left"/>
      <w:pPr>
        <w:ind w:left="1485" w:hanging="360"/>
      </w:pPr>
      <w:rPr>
        <w:rFonts w:ascii="Symbol" w:hAnsi="Symbol" w:hint="default"/>
      </w:rPr>
    </w:lvl>
    <w:lvl w:ilvl="1" w:tplc="08090003" w:tentative="1">
      <w:start w:val="1"/>
      <w:numFmt w:val="bullet"/>
      <w:lvlText w:val="o"/>
      <w:lvlJc w:val="left"/>
      <w:pPr>
        <w:ind w:left="2205" w:hanging="360"/>
      </w:pPr>
      <w:rPr>
        <w:rFonts w:ascii="Courier New" w:hAnsi="Courier New" w:cs="Courier New" w:hint="default"/>
      </w:rPr>
    </w:lvl>
    <w:lvl w:ilvl="2" w:tplc="08090005" w:tentative="1">
      <w:start w:val="1"/>
      <w:numFmt w:val="bullet"/>
      <w:lvlText w:val=""/>
      <w:lvlJc w:val="left"/>
      <w:pPr>
        <w:ind w:left="2925" w:hanging="360"/>
      </w:pPr>
      <w:rPr>
        <w:rFonts w:ascii="Wingdings" w:hAnsi="Wingdings" w:hint="default"/>
      </w:rPr>
    </w:lvl>
    <w:lvl w:ilvl="3" w:tplc="08090001" w:tentative="1">
      <w:start w:val="1"/>
      <w:numFmt w:val="bullet"/>
      <w:lvlText w:val=""/>
      <w:lvlJc w:val="left"/>
      <w:pPr>
        <w:ind w:left="3645" w:hanging="360"/>
      </w:pPr>
      <w:rPr>
        <w:rFonts w:ascii="Symbol" w:hAnsi="Symbol" w:hint="default"/>
      </w:rPr>
    </w:lvl>
    <w:lvl w:ilvl="4" w:tplc="08090003" w:tentative="1">
      <w:start w:val="1"/>
      <w:numFmt w:val="bullet"/>
      <w:lvlText w:val="o"/>
      <w:lvlJc w:val="left"/>
      <w:pPr>
        <w:ind w:left="4365" w:hanging="360"/>
      </w:pPr>
      <w:rPr>
        <w:rFonts w:ascii="Courier New" w:hAnsi="Courier New" w:cs="Courier New" w:hint="default"/>
      </w:rPr>
    </w:lvl>
    <w:lvl w:ilvl="5" w:tplc="08090005" w:tentative="1">
      <w:start w:val="1"/>
      <w:numFmt w:val="bullet"/>
      <w:lvlText w:val=""/>
      <w:lvlJc w:val="left"/>
      <w:pPr>
        <w:ind w:left="5085" w:hanging="360"/>
      </w:pPr>
      <w:rPr>
        <w:rFonts w:ascii="Wingdings" w:hAnsi="Wingdings" w:hint="default"/>
      </w:rPr>
    </w:lvl>
    <w:lvl w:ilvl="6" w:tplc="08090001" w:tentative="1">
      <w:start w:val="1"/>
      <w:numFmt w:val="bullet"/>
      <w:lvlText w:val=""/>
      <w:lvlJc w:val="left"/>
      <w:pPr>
        <w:ind w:left="5805" w:hanging="360"/>
      </w:pPr>
      <w:rPr>
        <w:rFonts w:ascii="Symbol" w:hAnsi="Symbol" w:hint="default"/>
      </w:rPr>
    </w:lvl>
    <w:lvl w:ilvl="7" w:tplc="08090003" w:tentative="1">
      <w:start w:val="1"/>
      <w:numFmt w:val="bullet"/>
      <w:lvlText w:val="o"/>
      <w:lvlJc w:val="left"/>
      <w:pPr>
        <w:ind w:left="6525" w:hanging="360"/>
      </w:pPr>
      <w:rPr>
        <w:rFonts w:ascii="Courier New" w:hAnsi="Courier New" w:cs="Courier New" w:hint="default"/>
      </w:rPr>
    </w:lvl>
    <w:lvl w:ilvl="8" w:tplc="08090005" w:tentative="1">
      <w:start w:val="1"/>
      <w:numFmt w:val="bullet"/>
      <w:lvlText w:val=""/>
      <w:lvlJc w:val="left"/>
      <w:pPr>
        <w:ind w:left="7245" w:hanging="360"/>
      </w:pPr>
      <w:rPr>
        <w:rFonts w:ascii="Wingdings" w:hAnsi="Wingdings" w:hint="default"/>
      </w:rPr>
    </w:lvl>
  </w:abstractNum>
  <w:abstractNum w:abstractNumId="270">
    <w:nsid w:val="73D4631C"/>
    <w:multiLevelType w:val="hybridMultilevel"/>
    <w:tmpl w:val="4E34A262"/>
    <w:lvl w:ilvl="0" w:tplc="FC3E8150">
      <w:start w:val="1"/>
      <w:numFmt w:val="decimal"/>
      <w:lvlText w:val="2.4.%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1">
    <w:nsid w:val="73FB26AE"/>
    <w:multiLevelType w:val="multilevel"/>
    <w:tmpl w:val="9B86ED88"/>
    <w:lvl w:ilvl="0">
      <w:start w:val="6"/>
      <w:numFmt w:val="decimal"/>
      <w:lvlText w:val="%1"/>
      <w:lvlJc w:val="left"/>
      <w:pPr>
        <w:ind w:left="360" w:hanging="360"/>
      </w:pPr>
      <w:rPr>
        <w:rFonts w:hint="default"/>
        <w:i/>
      </w:rPr>
    </w:lvl>
    <w:lvl w:ilvl="1">
      <w:start w:val="1"/>
      <w:numFmt w:val="decimal"/>
      <w:lvlText w:val="%1.%2"/>
      <w:lvlJc w:val="left"/>
      <w:pPr>
        <w:ind w:left="360" w:hanging="360"/>
      </w:pPr>
      <w:rPr>
        <w:rFonts w:hint="default"/>
        <w:b/>
        <w:i w:val="0"/>
      </w:rPr>
    </w:lvl>
    <w:lvl w:ilvl="2">
      <w:start w:val="1"/>
      <w:numFmt w:val="decimal"/>
      <w:lvlText w:val="%1.%2.%3"/>
      <w:lvlJc w:val="left"/>
      <w:pPr>
        <w:ind w:left="720" w:hanging="720"/>
      </w:pPr>
      <w:rPr>
        <w:rFonts w:hint="default"/>
        <w:b/>
        <w:i w:val="0"/>
      </w:rPr>
    </w:lvl>
    <w:lvl w:ilvl="3">
      <w:start w:val="1"/>
      <w:numFmt w:val="decimal"/>
      <w:lvlText w:val="%1.%2.%3.%4"/>
      <w:lvlJc w:val="left"/>
      <w:pPr>
        <w:ind w:left="720" w:hanging="720"/>
      </w:pPr>
      <w:rPr>
        <w:rFonts w:hint="default"/>
        <w:i/>
      </w:rPr>
    </w:lvl>
    <w:lvl w:ilvl="4">
      <w:start w:val="1"/>
      <w:numFmt w:val="decimal"/>
      <w:lvlText w:val="%1.%2.%3.%4.%5"/>
      <w:lvlJc w:val="left"/>
      <w:pPr>
        <w:ind w:left="1080" w:hanging="1080"/>
      </w:pPr>
      <w:rPr>
        <w:rFonts w:hint="default"/>
        <w:i/>
      </w:rPr>
    </w:lvl>
    <w:lvl w:ilvl="5">
      <w:start w:val="1"/>
      <w:numFmt w:val="decimal"/>
      <w:lvlText w:val="%1.%2.%3.%4.%5.%6"/>
      <w:lvlJc w:val="left"/>
      <w:pPr>
        <w:ind w:left="1080" w:hanging="1080"/>
      </w:pPr>
      <w:rPr>
        <w:rFonts w:hint="default"/>
        <w:i/>
      </w:rPr>
    </w:lvl>
    <w:lvl w:ilvl="6">
      <w:start w:val="1"/>
      <w:numFmt w:val="decimal"/>
      <w:lvlText w:val="%1.%2.%3.%4.%5.%6.%7"/>
      <w:lvlJc w:val="left"/>
      <w:pPr>
        <w:ind w:left="1440" w:hanging="1440"/>
      </w:pPr>
      <w:rPr>
        <w:rFonts w:hint="default"/>
        <w:i/>
      </w:rPr>
    </w:lvl>
    <w:lvl w:ilvl="7">
      <w:start w:val="1"/>
      <w:numFmt w:val="decimal"/>
      <w:lvlText w:val="%1.%2.%3.%4.%5.%6.%7.%8"/>
      <w:lvlJc w:val="left"/>
      <w:pPr>
        <w:ind w:left="1440" w:hanging="1440"/>
      </w:pPr>
      <w:rPr>
        <w:rFonts w:hint="default"/>
        <w:i/>
      </w:rPr>
    </w:lvl>
    <w:lvl w:ilvl="8">
      <w:start w:val="1"/>
      <w:numFmt w:val="decimal"/>
      <w:lvlText w:val="%1.%2.%3.%4.%5.%6.%7.%8.%9"/>
      <w:lvlJc w:val="left"/>
      <w:pPr>
        <w:ind w:left="1800" w:hanging="1800"/>
      </w:pPr>
      <w:rPr>
        <w:rFonts w:hint="default"/>
        <w:i/>
      </w:rPr>
    </w:lvl>
  </w:abstractNum>
  <w:abstractNum w:abstractNumId="272">
    <w:nsid w:val="748A1B64"/>
    <w:multiLevelType w:val="hybridMultilevel"/>
    <w:tmpl w:val="2BAEFAA6"/>
    <w:lvl w:ilvl="0" w:tplc="55C2627E">
      <w:start w:val="1"/>
      <w:numFmt w:val="decimal"/>
      <w:lvlText w:val="2.%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nsid w:val="74B874F2"/>
    <w:multiLevelType w:val="multilevel"/>
    <w:tmpl w:val="2A68215A"/>
    <w:lvl w:ilvl="0">
      <w:start w:val="4"/>
      <w:numFmt w:val="decimal"/>
      <w:lvlText w:val="%1"/>
      <w:lvlJc w:val="left"/>
      <w:pPr>
        <w:ind w:left="360" w:hanging="360"/>
      </w:pPr>
      <w:rPr>
        <w:rFonts w:hint="default"/>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74">
    <w:nsid w:val="75CF670E"/>
    <w:multiLevelType w:val="hybridMultilevel"/>
    <w:tmpl w:val="46EAFF1E"/>
    <w:lvl w:ilvl="0" w:tplc="E1FADF50">
      <w:start w:val="1"/>
      <w:numFmt w:val="decimal"/>
      <w:lvlText w:val="4.%1."/>
      <w:lvlJc w:val="left"/>
      <w:pPr>
        <w:ind w:left="720" w:hanging="360"/>
      </w:pPr>
      <w:rPr>
        <w:rFonts w:hint="default"/>
        <w:b/>
        <w:lang w:val="pt-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nsid w:val="769F1325"/>
    <w:multiLevelType w:val="hybridMultilevel"/>
    <w:tmpl w:val="62F019B0"/>
    <w:lvl w:ilvl="0" w:tplc="0409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276">
    <w:nsid w:val="77512230"/>
    <w:multiLevelType w:val="hybridMultilevel"/>
    <w:tmpl w:val="C568BD0C"/>
    <w:lvl w:ilvl="0" w:tplc="2B5A61DE">
      <w:start w:val="1"/>
      <w:numFmt w:val="decimal"/>
      <w:lvlText w:val="4.2.%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7">
    <w:nsid w:val="7760772D"/>
    <w:multiLevelType w:val="hybridMultilevel"/>
    <w:tmpl w:val="7396A534"/>
    <w:lvl w:ilvl="0" w:tplc="08090001">
      <w:start w:val="1"/>
      <w:numFmt w:val="bullet"/>
      <w:lvlText w:val=""/>
      <w:lvlJc w:val="left"/>
      <w:pPr>
        <w:ind w:left="1800" w:hanging="360"/>
      </w:pPr>
      <w:rPr>
        <w:rFonts w:ascii="Symbol" w:hAnsi="Symbol" w:hint="default"/>
      </w:rPr>
    </w:lvl>
    <w:lvl w:ilvl="1" w:tplc="08090003">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78">
    <w:nsid w:val="78065883"/>
    <w:multiLevelType w:val="hybridMultilevel"/>
    <w:tmpl w:val="C82241AC"/>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79">
    <w:nsid w:val="782A338E"/>
    <w:multiLevelType w:val="hybridMultilevel"/>
    <w:tmpl w:val="020E30F8"/>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80">
    <w:nsid w:val="78971C3E"/>
    <w:multiLevelType w:val="hybridMultilevel"/>
    <w:tmpl w:val="478E870C"/>
    <w:lvl w:ilvl="0" w:tplc="08090001">
      <w:start w:val="1"/>
      <w:numFmt w:val="bullet"/>
      <w:lvlText w:val=""/>
      <w:lvlJc w:val="left"/>
      <w:pPr>
        <w:ind w:left="1170" w:hanging="360"/>
      </w:pPr>
      <w:rPr>
        <w:rFonts w:ascii="Symbol" w:hAnsi="Symbol" w:hint="default"/>
      </w:rPr>
    </w:lvl>
    <w:lvl w:ilvl="1" w:tplc="08090003">
      <w:start w:val="1"/>
      <w:numFmt w:val="bullet"/>
      <w:lvlText w:val="o"/>
      <w:lvlJc w:val="left"/>
      <w:pPr>
        <w:ind w:left="1890" w:hanging="360"/>
      </w:pPr>
      <w:rPr>
        <w:rFonts w:ascii="Courier New" w:hAnsi="Courier New" w:cs="Courier New" w:hint="default"/>
      </w:rPr>
    </w:lvl>
    <w:lvl w:ilvl="2" w:tplc="08090005" w:tentative="1">
      <w:start w:val="1"/>
      <w:numFmt w:val="bullet"/>
      <w:lvlText w:val=""/>
      <w:lvlJc w:val="left"/>
      <w:pPr>
        <w:ind w:left="2610" w:hanging="360"/>
      </w:pPr>
      <w:rPr>
        <w:rFonts w:ascii="Wingdings" w:hAnsi="Wingdings" w:hint="default"/>
      </w:rPr>
    </w:lvl>
    <w:lvl w:ilvl="3" w:tplc="08090001" w:tentative="1">
      <w:start w:val="1"/>
      <w:numFmt w:val="bullet"/>
      <w:lvlText w:val=""/>
      <w:lvlJc w:val="left"/>
      <w:pPr>
        <w:ind w:left="3330" w:hanging="360"/>
      </w:pPr>
      <w:rPr>
        <w:rFonts w:ascii="Symbol" w:hAnsi="Symbol" w:hint="default"/>
      </w:rPr>
    </w:lvl>
    <w:lvl w:ilvl="4" w:tplc="08090003" w:tentative="1">
      <w:start w:val="1"/>
      <w:numFmt w:val="bullet"/>
      <w:lvlText w:val="o"/>
      <w:lvlJc w:val="left"/>
      <w:pPr>
        <w:ind w:left="4050" w:hanging="360"/>
      </w:pPr>
      <w:rPr>
        <w:rFonts w:ascii="Courier New" w:hAnsi="Courier New" w:cs="Courier New" w:hint="default"/>
      </w:rPr>
    </w:lvl>
    <w:lvl w:ilvl="5" w:tplc="08090005" w:tentative="1">
      <w:start w:val="1"/>
      <w:numFmt w:val="bullet"/>
      <w:lvlText w:val=""/>
      <w:lvlJc w:val="left"/>
      <w:pPr>
        <w:ind w:left="4770" w:hanging="360"/>
      </w:pPr>
      <w:rPr>
        <w:rFonts w:ascii="Wingdings" w:hAnsi="Wingdings" w:hint="default"/>
      </w:rPr>
    </w:lvl>
    <w:lvl w:ilvl="6" w:tplc="08090001" w:tentative="1">
      <w:start w:val="1"/>
      <w:numFmt w:val="bullet"/>
      <w:lvlText w:val=""/>
      <w:lvlJc w:val="left"/>
      <w:pPr>
        <w:ind w:left="5490" w:hanging="360"/>
      </w:pPr>
      <w:rPr>
        <w:rFonts w:ascii="Symbol" w:hAnsi="Symbol" w:hint="default"/>
      </w:rPr>
    </w:lvl>
    <w:lvl w:ilvl="7" w:tplc="08090003" w:tentative="1">
      <w:start w:val="1"/>
      <w:numFmt w:val="bullet"/>
      <w:lvlText w:val="o"/>
      <w:lvlJc w:val="left"/>
      <w:pPr>
        <w:ind w:left="6210" w:hanging="360"/>
      </w:pPr>
      <w:rPr>
        <w:rFonts w:ascii="Courier New" w:hAnsi="Courier New" w:cs="Courier New" w:hint="default"/>
      </w:rPr>
    </w:lvl>
    <w:lvl w:ilvl="8" w:tplc="08090005" w:tentative="1">
      <w:start w:val="1"/>
      <w:numFmt w:val="bullet"/>
      <w:lvlText w:val=""/>
      <w:lvlJc w:val="left"/>
      <w:pPr>
        <w:ind w:left="6930" w:hanging="360"/>
      </w:pPr>
      <w:rPr>
        <w:rFonts w:ascii="Wingdings" w:hAnsi="Wingdings" w:hint="default"/>
      </w:rPr>
    </w:lvl>
  </w:abstractNum>
  <w:abstractNum w:abstractNumId="281">
    <w:nsid w:val="78DD1914"/>
    <w:multiLevelType w:val="hybridMultilevel"/>
    <w:tmpl w:val="ACBE9C5A"/>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82">
    <w:nsid w:val="79F745E9"/>
    <w:multiLevelType w:val="hybridMultilevel"/>
    <w:tmpl w:val="5534FE0C"/>
    <w:lvl w:ilvl="0" w:tplc="08090001">
      <w:start w:val="1"/>
      <w:numFmt w:val="bullet"/>
      <w:lvlText w:val=""/>
      <w:lvlJc w:val="left"/>
      <w:pPr>
        <w:ind w:left="1170" w:hanging="360"/>
      </w:pPr>
      <w:rPr>
        <w:rFonts w:ascii="Symbol" w:hAnsi="Symbol" w:hint="default"/>
      </w:rPr>
    </w:lvl>
    <w:lvl w:ilvl="1" w:tplc="08090003" w:tentative="1">
      <w:start w:val="1"/>
      <w:numFmt w:val="bullet"/>
      <w:lvlText w:val="o"/>
      <w:lvlJc w:val="left"/>
      <w:pPr>
        <w:ind w:left="1890" w:hanging="360"/>
      </w:pPr>
      <w:rPr>
        <w:rFonts w:ascii="Courier New" w:hAnsi="Courier New" w:cs="Courier New" w:hint="default"/>
      </w:rPr>
    </w:lvl>
    <w:lvl w:ilvl="2" w:tplc="08090005" w:tentative="1">
      <w:start w:val="1"/>
      <w:numFmt w:val="bullet"/>
      <w:lvlText w:val=""/>
      <w:lvlJc w:val="left"/>
      <w:pPr>
        <w:ind w:left="2610" w:hanging="360"/>
      </w:pPr>
      <w:rPr>
        <w:rFonts w:ascii="Wingdings" w:hAnsi="Wingdings" w:hint="default"/>
      </w:rPr>
    </w:lvl>
    <w:lvl w:ilvl="3" w:tplc="08090001" w:tentative="1">
      <w:start w:val="1"/>
      <w:numFmt w:val="bullet"/>
      <w:lvlText w:val=""/>
      <w:lvlJc w:val="left"/>
      <w:pPr>
        <w:ind w:left="3330" w:hanging="360"/>
      </w:pPr>
      <w:rPr>
        <w:rFonts w:ascii="Symbol" w:hAnsi="Symbol" w:hint="default"/>
      </w:rPr>
    </w:lvl>
    <w:lvl w:ilvl="4" w:tplc="08090003" w:tentative="1">
      <w:start w:val="1"/>
      <w:numFmt w:val="bullet"/>
      <w:lvlText w:val="o"/>
      <w:lvlJc w:val="left"/>
      <w:pPr>
        <w:ind w:left="4050" w:hanging="360"/>
      </w:pPr>
      <w:rPr>
        <w:rFonts w:ascii="Courier New" w:hAnsi="Courier New" w:cs="Courier New" w:hint="default"/>
      </w:rPr>
    </w:lvl>
    <w:lvl w:ilvl="5" w:tplc="08090005" w:tentative="1">
      <w:start w:val="1"/>
      <w:numFmt w:val="bullet"/>
      <w:lvlText w:val=""/>
      <w:lvlJc w:val="left"/>
      <w:pPr>
        <w:ind w:left="4770" w:hanging="360"/>
      </w:pPr>
      <w:rPr>
        <w:rFonts w:ascii="Wingdings" w:hAnsi="Wingdings" w:hint="default"/>
      </w:rPr>
    </w:lvl>
    <w:lvl w:ilvl="6" w:tplc="08090001" w:tentative="1">
      <w:start w:val="1"/>
      <w:numFmt w:val="bullet"/>
      <w:lvlText w:val=""/>
      <w:lvlJc w:val="left"/>
      <w:pPr>
        <w:ind w:left="5490" w:hanging="360"/>
      </w:pPr>
      <w:rPr>
        <w:rFonts w:ascii="Symbol" w:hAnsi="Symbol" w:hint="default"/>
      </w:rPr>
    </w:lvl>
    <w:lvl w:ilvl="7" w:tplc="08090003" w:tentative="1">
      <w:start w:val="1"/>
      <w:numFmt w:val="bullet"/>
      <w:lvlText w:val="o"/>
      <w:lvlJc w:val="left"/>
      <w:pPr>
        <w:ind w:left="6210" w:hanging="360"/>
      </w:pPr>
      <w:rPr>
        <w:rFonts w:ascii="Courier New" w:hAnsi="Courier New" w:cs="Courier New" w:hint="default"/>
      </w:rPr>
    </w:lvl>
    <w:lvl w:ilvl="8" w:tplc="08090005" w:tentative="1">
      <w:start w:val="1"/>
      <w:numFmt w:val="bullet"/>
      <w:lvlText w:val=""/>
      <w:lvlJc w:val="left"/>
      <w:pPr>
        <w:ind w:left="6930" w:hanging="360"/>
      </w:pPr>
      <w:rPr>
        <w:rFonts w:ascii="Wingdings" w:hAnsi="Wingdings" w:hint="default"/>
      </w:rPr>
    </w:lvl>
  </w:abstractNum>
  <w:abstractNum w:abstractNumId="283">
    <w:nsid w:val="7A4444A8"/>
    <w:multiLevelType w:val="hybridMultilevel"/>
    <w:tmpl w:val="6AFA65FA"/>
    <w:lvl w:ilvl="0" w:tplc="08090001">
      <w:start w:val="1"/>
      <w:numFmt w:val="bullet"/>
      <w:lvlText w:val=""/>
      <w:lvlJc w:val="left"/>
      <w:pPr>
        <w:ind w:left="1170" w:hanging="360"/>
      </w:pPr>
      <w:rPr>
        <w:rFonts w:ascii="Symbol" w:hAnsi="Symbol" w:hint="default"/>
      </w:rPr>
    </w:lvl>
    <w:lvl w:ilvl="1" w:tplc="08090003">
      <w:start w:val="1"/>
      <w:numFmt w:val="bullet"/>
      <w:lvlText w:val="o"/>
      <w:lvlJc w:val="left"/>
      <w:pPr>
        <w:ind w:left="1890" w:hanging="360"/>
      </w:pPr>
      <w:rPr>
        <w:rFonts w:ascii="Courier New" w:hAnsi="Courier New" w:cs="Courier New" w:hint="default"/>
      </w:rPr>
    </w:lvl>
    <w:lvl w:ilvl="2" w:tplc="08090005">
      <w:start w:val="1"/>
      <w:numFmt w:val="bullet"/>
      <w:lvlText w:val=""/>
      <w:lvlJc w:val="left"/>
      <w:pPr>
        <w:ind w:left="2610" w:hanging="360"/>
      </w:pPr>
      <w:rPr>
        <w:rFonts w:ascii="Wingdings" w:hAnsi="Wingdings" w:hint="default"/>
      </w:rPr>
    </w:lvl>
    <w:lvl w:ilvl="3" w:tplc="08090001" w:tentative="1">
      <w:start w:val="1"/>
      <w:numFmt w:val="bullet"/>
      <w:lvlText w:val=""/>
      <w:lvlJc w:val="left"/>
      <w:pPr>
        <w:ind w:left="3330" w:hanging="360"/>
      </w:pPr>
      <w:rPr>
        <w:rFonts w:ascii="Symbol" w:hAnsi="Symbol" w:hint="default"/>
      </w:rPr>
    </w:lvl>
    <w:lvl w:ilvl="4" w:tplc="08090003" w:tentative="1">
      <w:start w:val="1"/>
      <w:numFmt w:val="bullet"/>
      <w:lvlText w:val="o"/>
      <w:lvlJc w:val="left"/>
      <w:pPr>
        <w:ind w:left="4050" w:hanging="360"/>
      </w:pPr>
      <w:rPr>
        <w:rFonts w:ascii="Courier New" w:hAnsi="Courier New" w:cs="Courier New" w:hint="default"/>
      </w:rPr>
    </w:lvl>
    <w:lvl w:ilvl="5" w:tplc="08090005" w:tentative="1">
      <w:start w:val="1"/>
      <w:numFmt w:val="bullet"/>
      <w:lvlText w:val=""/>
      <w:lvlJc w:val="left"/>
      <w:pPr>
        <w:ind w:left="4770" w:hanging="360"/>
      </w:pPr>
      <w:rPr>
        <w:rFonts w:ascii="Wingdings" w:hAnsi="Wingdings" w:hint="default"/>
      </w:rPr>
    </w:lvl>
    <w:lvl w:ilvl="6" w:tplc="08090001" w:tentative="1">
      <w:start w:val="1"/>
      <w:numFmt w:val="bullet"/>
      <w:lvlText w:val=""/>
      <w:lvlJc w:val="left"/>
      <w:pPr>
        <w:ind w:left="5490" w:hanging="360"/>
      </w:pPr>
      <w:rPr>
        <w:rFonts w:ascii="Symbol" w:hAnsi="Symbol" w:hint="default"/>
      </w:rPr>
    </w:lvl>
    <w:lvl w:ilvl="7" w:tplc="08090003" w:tentative="1">
      <w:start w:val="1"/>
      <w:numFmt w:val="bullet"/>
      <w:lvlText w:val="o"/>
      <w:lvlJc w:val="left"/>
      <w:pPr>
        <w:ind w:left="6210" w:hanging="360"/>
      </w:pPr>
      <w:rPr>
        <w:rFonts w:ascii="Courier New" w:hAnsi="Courier New" w:cs="Courier New" w:hint="default"/>
      </w:rPr>
    </w:lvl>
    <w:lvl w:ilvl="8" w:tplc="08090005" w:tentative="1">
      <w:start w:val="1"/>
      <w:numFmt w:val="bullet"/>
      <w:lvlText w:val=""/>
      <w:lvlJc w:val="left"/>
      <w:pPr>
        <w:ind w:left="6930" w:hanging="360"/>
      </w:pPr>
      <w:rPr>
        <w:rFonts w:ascii="Wingdings" w:hAnsi="Wingdings" w:hint="default"/>
      </w:rPr>
    </w:lvl>
  </w:abstractNum>
  <w:abstractNum w:abstractNumId="284">
    <w:nsid w:val="7A5E3E59"/>
    <w:multiLevelType w:val="hybridMultilevel"/>
    <w:tmpl w:val="27DC791E"/>
    <w:lvl w:ilvl="0" w:tplc="11BCB6F0">
      <w:start w:val="1"/>
      <w:numFmt w:val="decimal"/>
      <w:lvlText w:val="3.2.%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5">
    <w:nsid w:val="7AF1510C"/>
    <w:multiLevelType w:val="hybridMultilevel"/>
    <w:tmpl w:val="0C7A28C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86">
    <w:nsid w:val="7C5F1B1C"/>
    <w:multiLevelType w:val="multilevel"/>
    <w:tmpl w:val="30A8199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7">
    <w:nsid w:val="7CD95BFD"/>
    <w:multiLevelType w:val="hybridMultilevel"/>
    <w:tmpl w:val="63A2DE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8">
    <w:nsid w:val="7CE65847"/>
    <w:multiLevelType w:val="multilevel"/>
    <w:tmpl w:val="AE8A61E4"/>
    <w:lvl w:ilvl="0">
      <w:start w:val="7"/>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bullet"/>
      <w:lvlText w:val=""/>
      <w:lvlJc w:val="left"/>
      <w:pPr>
        <w:ind w:left="720" w:hanging="720"/>
      </w:pPr>
      <w:rPr>
        <w:rFonts w:ascii="Symbol" w:hAnsi="Symbol"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9">
    <w:nsid w:val="7D1903ED"/>
    <w:multiLevelType w:val="hybridMultilevel"/>
    <w:tmpl w:val="E714A6C4"/>
    <w:lvl w:ilvl="0" w:tplc="B4EC465A">
      <w:start w:val="1"/>
      <w:numFmt w:val="bullet"/>
      <w:pStyle w:val="TM-4n"/>
      <w:lvlText w:val=""/>
      <w:lvlJc w:val="left"/>
      <w:pPr>
        <w:tabs>
          <w:tab w:val="num" w:pos="458"/>
        </w:tabs>
        <w:ind w:left="458" w:hanging="360"/>
      </w:pPr>
      <w:rPr>
        <w:rFonts w:ascii="Wingdings" w:hAnsi="Wingdings" w:hint="default"/>
      </w:rPr>
    </w:lvl>
    <w:lvl w:ilvl="1" w:tplc="08160001">
      <w:start w:val="1"/>
      <w:numFmt w:val="bullet"/>
      <w:lvlText w:val=""/>
      <w:lvlJc w:val="left"/>
      <w:pPr>
        <w:tabs>
          <w:tab w:val="num" w:pos="1178"/>
        </w:tabs>
        <w:ind w:left="1178" w:hanging="360"/>
      </w:pPr>
      <w:rPr>
        <w:rFonts w:ascii="Symbol" w:hAnsi="Symbol" w:hint="default"/>
      </w:rPr>
    </w:lvl>
    <w:lvl w:ilvl="2" w:tplc="0C0A0005">
      <w:start w:val="1"/>
      <w:numFmt w:val="bullet"/>
      <w:lvlText w:val=""/>
      <w:lvlJc w:val="left"/>
      <w:pPr>
        <w:tabs>
          <w:tab w:val="num" w:pos="1898"/>
        </w:tabs>
        <w:ind w:left="1898" w:hanging="360"/>
      </w:pPr>
      <w:rPr>
        <w:rFonts w:ascii="Wingdings" w:hAnsi="Wingdings" w:hint="default"/>
      </w:rPr>
    </w:lvl>
    <w:lvl w:ilvl="3" w:tplc="0C0A0001" w:tentative="1">
      <w:start w:val="1"/>
      <w:numFmt w:val="bullet"/>
      <w:lvlText w:val=""/>
      <w:lvlJc w:val="left"/>
      <w:pPr>
        <w:tabs>
          <w:tab w:val="num" w:pos="2618"/>
        </w:tabs>
        <w:ind w:left="2618" w:hanging="360"/>
      </w:pPr>
      <w:rPr>
        <w:rFonts w:ascii="Symbol" w:hAnsi="Symbol" w:hint="default"/>
      </w:rPr>
    </w:lvl>
    <w:lvl w:ilvl="4" w:tplc="0C0A0003" w:tentative="1">
      <w:start w:val="1"/>
      <w:numFmt w:val="bullet"/>
      <w:lvlText w:val="o"/>
      <w:lvlJc w:val="left"/>
      <w:pPr>
        <w:tabs>
          <w:tab w:val="num" w:pos="3338"/>
        </w:tabs>
        <w:ind w:left="3338" w:hanging="360"/>
      </w:pPr>
      <w:rPr>
        <w:rFonts w:ascii="Courier New" w:hAnsi="Courier New" w:hint="default"/>
      </w:rPr>
    </w:lvl>
    <w:lvl w:ilvl="5" w:tplc="0C0A0005" w:tentative="1">
      <w:start w:val="1"/>
      <w:numFmt w:val="bullet"/>
      <w:lvlText w:val=""/>
      <w:lvlJc w:val="left"/>
      <w:pPr>
        <w:tabs>
          <w:tab w:val="num" w:pos="4058"/>
        </w:tabs>
        <w:ind w:left="4058" w:hanging="360"/>
      </w:pPr>
      <w:rPr>
        <w:rFonts w:ascii="Wingdings" w:hAnsi="Wingdings" w:hint="default"/>
      </w:rPr>
    </w:lvl>
    <w:lvl w:ilvl="6" w:tplc="0C0A0001" w:tentative="1">
      <w:start w:val="1"/>
      <w:numFmt w:val="bullet"/>
      <w:lvlText w:val=""/>
      <w:lvlJc w:val="left"/>
      <w:pPr>
        <w:tabs>
          <w:tab w:val="num" w:pos="4778"/>
        </w:tabs>
        <w:ind w:left="4778" w:hanging="360"/>
      </w:pPr>
      <w:rPr>
        <w:rFonts w:ascii="Symbol" w:hAnsi="Symbol" w:hint="default"/>
      </w:rPr>
    </w:lvl>
    <w:lvl w:ilvl="7" w:tplc="0C0A0003" w:tentative="1">
      <w:start w:val="1"/>
      <w:numFmt w:val="bullet"/>
      <w:lvlText w:val="o"/>
      <w:lvlJc w:val="left"/>
      <w:pPr>
        <w:tabs>
          <w:tab w:val="num" w:pos="5498"/>
        </w:tabs>
        <w:ind w:left="5498" w:hanging="360"/>
      </w:pPr>
      <w:rPr>
        <w:rFonts w:ascii="Courier New" w:hAnsi="Courier New" w:hint="default"/>
      </w:rPr>
    </w:lvl>
    <w:lvl w:ilvl="8" w:tplc="0C0A0005" w:tentative="1">
      <w:start w:val="1"/>
      <w:numFmt w:val="bullet"/>
      <w:lvlText w:val=""/>
      <w:lvlJc w:val="left"/>
      <w:pPr>
        <w:tabs>
          <w:tab w:val="num" w:pos="6218"/>
        </w:tabs>
        <w:ind w:left="6218" w:hanging="360"/>
      </w:pPr>
      <w:rPr>
        <w:rFonts w:ascii="Wingdings" w:hAnsi="Wingdings" w:hint="default"/>
      </w:rPr>
    </w:lvl>
  </w:abstractNum>
  <w:abstractNum w:abstractNumId="290">
    <w:nsid w:val="7D2841E0"/>
    <w:multiLevelType w:val="multilevel"/>
    <w:tmpl w:val="0674054A"/>
    <w:lvl w:ilvl="0">
      <w:start w:val="5"/>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91">
    <w:nsid w:val="7E111481"/>
    <w:multiLevelType w:val="hybridMultilevel"/>
    <w:tmpl w:val="A350B8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nsid w:val="7E460A1D"/>
    <w:multiLevelType w:val="hybridMultilevel"/>
    <w:tmpl w:val="F9DAE2C6"/>
    <w:lvl w:ilvl="0" w:tplc="4CFA9918">
      <w:start w:val="1"/>
      <w:numFmt w:val="decimal"/>
      <w:lvlText w:val="4.1.%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3">
    <w:nsid w:val="7E94473D"/>
    <w:multiLevelType w:val="hybridMultilevel"/>
    <w:tmpl w:val="1E842B6A"/>
    <w:lvl w:ilvl="0" w:tplc="0504D0E8">
      <w:start w:val="1"/>
      <w:numFmt w:val="decimal"/>
      <w:lvlText w:val="3.2.%1."/>
      <w:lvlJc w:val="left"/>
      <w:pPr>
        <w:ind w:left="1211"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4">
    <w:nsid w:val="7EFE381C"/>
    <w:multiLevelType w:val="multilevel"/>
    <w:tmpl w:val="578E7466"/>
    <w:lvl w:ilvl="0">
      <w:start w:val="2"/>
      <w:numFmt w:val="decimal"/>
      <w:lvlText w:val="%1."/>
      <w:lvlJc w:val="left"/>
      <w:pPr>
        <w:tabs>
          <w:tab w:val="num" w:pos="360"/>
        </w:tabs>
        <w:ind w:left="360" w:hanging="360"/>
      </w:pPr>
      <w:rPr>
        <w:rFonts w:ascii="Arial" w:hAnsi="Arial" w:cs="Calibri" w:hint="default"/>
        <w:b w:val="0"/>
        <w:bCs w:val="0"/>
        <w:i w:val="0"/>
        <w:iCs w:val="0"/>
        <w:caps w:val="0"/>
        <w:strike w:val="0"/>
        <w:dstrike w:val="0"/>
        <w:outline w:val="0"/>
        <w:shadow w:val="0"/>
        <w:emboss w:val="0"/>
        <w:imprint w:val="0"/>
        <w:vanish w:val="0"/>
        <w:sz w:val="22"/>
        <w:szCs w:val="22"/>
        <w:vertAlign w:val="baseline"/>
      </w:rPr>
    </w:lvl>
    <w:lvl w:ilvl="1">
      <w:start w:val="1"/>
      <w:numFmt w:val="decimal"/>
      <w:lvlText w:val="%2."/>
      <w:lvlJc w:val="left"/>
      <w:pPr>
        <w:tabs>
          <w:tab w:val="num" w:pos="792"/>
        </w:tabs>
        <w:ind w:left="792" w:hanging="432"/>
      </w:pPr>
      <w:rPr>
        <w:rFonts w:ascii="Arial" w:eastAsiaTheme="minorHAnsi" w:hAnsi="Arial" w:cs="Arial"/>
        <w:b w:val="0"/>
        <w:bCs w:val="0"/>
        <w:i w:val="0"/>
        <w:iCs w:val="0"/>
        <w:caps w:val="0"/>
        <w:strike w:val="0"/>
        <w:dstrike w:val="0"/>
        <w:shadow w:val="0"/>
        <w:emboss w:val="0"/>
        <w:imprint w:val="0"/>
        <w:vanish w:val="0"/>
        <w:sz w:val="22"/>
        <w:szCs w:val="22"/>
        <w:vertAlign w:val="baseline"/>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295">
    <w:nsid w:val="7FD02EBE"/>
    <w:multiLevelType w:val="multilevel"/>
    <w:tmpl w:val="43DCDD3E"/>
    <w:lvl w:ilvl="0">
      <w:start w:val="3"/>
      <w:numFmt w:val="decimal"/>
      <w:lvlText w:val="%1"/>
      <w:lvlJc w:val="left"/>
      <w:pPr>
        <w:ind w:left="480" w:hanging="480"/>
      </w:pPr>
      <w:rPr>
        <w:rFonts w:hint="default"/>
      </w:rPr>
    </w:lvl>
    <w:lvl w:ilvl="1">
      <w:start w:val="6"/>
      <w:numFmt w:val="decimal"/>
      <w:lvlText w:val="%1.%2"/>
      <w:lvlJc w:val="left"/>
      <w:pPr>
        <w:ind w:left="1020" w:hanging="480"/>
      </w:pPr>
      <w:rPr>
        <w:rFonts w:hint="default"/>
      </w:rPr>
    </w:lvl>
    <w:lvl w:ilvl="2">
      <w:start w:val="2"/>
      <w:numFmt w:val="decimal"/>
      <w:lvlText w:val="%1.%2.%3"/>
      <w:lvlJc w:val="left"/>
      <w:pPr>
        <w:ind w:left="1800" w:hanging="720"/>
      </w:pPr>
      <w:rPr>
        <w:rFonts w:hint="default"/>
        <w:b/>
        <w:lang w:val="pt-P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num w:numId="1">
    <w:abstractNumId w:val="191"/>
  </w:num>
  <w:num w:numId="2">
    <w:abstractNumId w:val="199"/>
  </w:num>
  <w:num w:numId="3">
    <w:abstractNumId w:val="151"/>
  </w:num>
  <w:num w:numId="4">
    <w:abstractNumId w:val="289"/>
  </w:num>
  <w:num w:numId="5">
    <w:abstractNumId w:val="135"/>
  </w:num>
  <w:num w:numId="6">
    <w:abstractNumId w:val="129"/>
  </w:num>
  <w:num w:numId="7">
    <w:abstractNumId w:val="13"/>
  </w:num>
  <w:num w:numId="8">
    <w:abstractNumId w:val="279"/>
  </w:num>
  <w:num w:numId="9">
    <w:abstractNumId w:val="33"/>
  </w:num>
  <w:num w:numId="10">
    <w:abstractNumId w:val="85"/>
  </w:num>
  <w:num w:numId="11">
    <w:abstractNumId w:val="249"/>
  </w:num>
  <w:num w:numId="12">
    <w:abstractNumId w:val="124"/>
  </w:num>
  <w:num w:numId="13">
    <w:abstractNumId w:val="201"/>
  </w:num>
  <w:num w:numId="14">
    <w:abstractNumId w:val="115"/>
  </w:num>
  <w:num w:numId="15">
    <w:abstractNumId w:val="186"/>
  </w:num>
  <w:num w:numId="16">
    <w:abstractNumId w:val="70"/>
  </w:num>
  <w:num w:numId="17">
    <w:abstractNumId w:val="83"/>
  </w:num>
  <w:num w:numId="18">
    <w:abstractNumId w:val="141"/>
  </w:num>
  <w:num w:numId="19">
    <w:abstractNumId w:val="183"/>
  </w:num>
  <w:num w:numId="20">
    <w:abstractNumId w:val="180"/>
  </w:num>
  <w:num w:numId="21">
    <w:abstractNumId w:val="88"/>
  </w:num>
  <w:num w:numId="22">
    <w:abstractNumId w:val="60"/>
  </w:num>
  <w:num w:numId="23">
    <w:abstractNumId w:val="107"/>
  </w:num>
  <w:num w:numId="24">
    <w:abstractNumId w:val="256"/>
  </w:num>
  <w:num w:numId="25">
    <w:abstractNumId w:val="172"/>
  </w:num>
  <w:num w:numId="26">
    <w:abstractNumId w:val="25"/>
  </w:num>
  <w:num w:numId="27">
    <w:abstractNumId w:val="174"/>
  </w:num>
  <w:num w:numId="28">
    <w:abstractNumId w:val="179"/>
  </w:num>
  <w:num w:numId="29">
    <w:abstractNumId w:val="240"/>
  </w:num>
  <w:num w:numId="30">
    <w:abstractNumId w:val="294"/>
  </w:num>
  <w:num w:numId="31">
    <w:abstractNumId w:val="58"/>
  </w:num>
  <w:num w:numId="32">
    <w:abstractNumId w:val="132"/>
  </w:num>
  <w:num w:numId="33">
    <w:abstractNumId w:val="285"/>
  </w:num>
  <w:num w:numId="34">
    <w:abstractNumId w:val="248"/>
  </w:num>
  <w:num w:numId="35">
    <w:abstractNumId w:val="23"/>
  </w:num>
  <w:num w:numId="36">
    <w:abstractNumId w:val="30"/>
  </w:num>
  <w:num w:numId="37">
    <w:abstractNumId w:val="236"/>
  </w:num>
  <w:num w:numId="38">
    <w:abstractNumId w:val="26"/>
  </w:num>
  <w:num w:numId="39">
    <w:abstractNumId w:val="66"/>
  </w:num>
  <w:num w:numId="40">
    <w:abstractNumId w:val="157"/>
  </w:num>
  <w:num w:numId="41">
    <w:abstractNumId w:val="101"/>
  </w:num>
  <w:num w:numId="42">
    <w:abstractNumId w:val="148"/>
  </w:num>
  <w:num w:numId="43">
    <w:abstractNumId w:val="252"/>
  </w:num>
  <w:num w:numId="44">
    <w:abstractNumId w:val="86"/>
  </w:num>
  <w:num w:numId="45">
    <w:abstractNumId w:val="259"/>
  </w:num>
  <w:num w:numId="46">
    <w:abstractNumId w:val="49"/>
  </w:num>
  <w:num w:numId="47">
    <w:abstractNumId w:val="263"/>
  </w:num>
  <w:num w:numId="48">
    <w:abstractNumId w:val="43"/>
  </w:num>
  <w:num w:numId="49">
    <w:abstractNumId w:val="11"/>
  </w:num>
  <w:num w:numId="50">
    <w:abstractNumId w:val="34"/>
  </w:num>
  <w:num w:numId="51">
    <w:abstractNumId w:val="251"/>
  </w:num>
  <w:num w:numId="52">
    <w:abstractNumId w:val="108"/>
  </w:num>
  <w:num w:numId="53">
    <w:abstractNumId w:val="238"/>
  </w:num>
  <w:num w:numId="54">
    <w:abstractNumId w:val="290"/>
  </w:num>
  <w:num w:numId="55">
    <w:abstractNumId w:val="96"/>
  </w:num>
  <w:num w:numId="56">
    <w:abstractNumId w:val="81"/>
  </w:num>
  <w:num w:numId="57">
    <w:abstractNumId w:val="48"/>
  </w:num>
  <w:num w:numId="58">
    <w:abstractNumId w:val="72"/>
  </w:num>
  <w:num w:numId="59">
    <w:abstractNumId w:val="78"/>
  </w:num>
  <w:num w:numId="60">
    <w:abstractNumId w:val="143"/>
  </w:num>
  <w:num w:numId="61">
    <w:abstractNumId w:val="215"/>
  </w:num>
  <w:num w:numId="62">
    <w:abstractNumId w:val="63"/>
  </w:num>
  <w:num w:numId="63">
    <w:abstractNumId w:val="231"/>
  </w:num>
  <w:num w:numId="64">
    <w:abstractNumId w:val="102"/>
  </w:num>
  <w:num w:numId="65">
    <w:abstractNumId w:val="210"/>
  </w:num>
  <w:num w:numId="66">
    <w:abstractNumId w:val="203"/>
  </w:num>
  <w:num w:numId="67">
    <w:abstractNumId w:val="113"/>
  </w:num>
  <w:num w:numId="68">
    <w:abstractNumId w:val="40"/>
  </w:num>
  <w:num w:numId="69">
    <w:abstractNumId w:val="280"/>
  </w:num>
  <w:num w:numId="70">
    <w:abstractNumId w:val="1"/>
  </w:num>
  <w:num w:numId="71">
    <w:abstractNumId w:val="118"/>
  </w:num>
  <w:num w:numId="72">
    <w:abstractNumId w:val="206"/>
  </w:num>
  <w:num w:numId="73">
    <w:abstractNumId w:val="117"/>
  </w:num>
  <w:num w:numId="74">
    <w:abstractNumId w:val="38"/>
  </w:num>
  <w:num w:numId="75">
    <w:abstractNumId w:val="84"/>
  </w:num>
  <w:num w:numId="76">
    <w:abstractNumId w:val="217"/>
  </w:num>
  <w:num w:numId="77">
    <w:abstractNumId w:val="176"/>
  </w:num>
  <w:num w:numId="78">
    <w:abstractNumId w:val="189"/>
  </w:num>
  <w:num w:numId="79">
    <w:abstractNumId w:val="57"/>
  </w:num>
  <w:num w:numId="80">
    <w:abstractNumId w:val="39"/>
  </w:num>
  <w:num w:numId="81">
    <w:abstractNumId w:val="93"/>
  </w:num>
  <w:num w:numId="82">
    <w:abstractNumId w:val="77"/>
  </w:num>
  <w:num w:numId="83">
    <w:abstractNumId w:val="166"/>
  </w:num>
  <w:num w:numId="84">
    <w:abstractNumId w:val="167"/>
  </w:num>
  <w:num w:numId="85">
    <w:abstractNumId w:val="165"/>
  </w:num>
  <w:num w:numId="86">
    <w:abstractNumId w:val="74"/>
  </w:num>
  <w:num w:numId="87">
    <w:abstractNumId w:val="233"/>
  </w:num>
  <w:num w:numId="88">
    <w:abstractNumId w:val="75"/>
  </w:num>
  <w:num w:numId="89">
    <w:abstractNumId w:val="288"/>
  </w:num>
  <w:num w:numId="90">
    <w:abstractNumId w:val="16"/>
  </w:num>
  <w:num w:numId="91">
    <w:abstractNumId w:val="205"/>
  </w:num>
  <w:num w:numId="92">
    <w:abstractNumId w:val="76"/>
  </w:num>
  <w:num w:numId="93">
    <w:abstractNumId w:val="187"/>
  </w:num>
  <w:num w:numId="94">
    <w:abstractNumId w:val="92"/>
  </w:num>
  <w:num w:numId="95">
    <w:abstractNumId w:val="171"/>
  </w:num>
  <w:num w:numId="96">
    <w:abstractNumId w:val="51"/>
  </w:num>
  <w:num w:numId="97">
    <w:abstractNumId w:val="122"/>
  </w:num>
  <w:num w:numId="98">
    <w:abstractNumId w:val="15"/>
  </w:num>
  <w:num w:numId="99">
    <w:abstractNumId w:val="192"/>
  </w:num>
  <w:num w:numId="100">
    <w:abstractNumId w:val="286"/>
  </w:num>
  <w:num w:numId="101">
    <w:abstractNumId w:val="137"/>
  </w:num>
  <w:num w:numId="102">
    <w:abstractNumId w:val="295"/>
  </w:num>
  <w:num w:numId="103">
    <w:abstractNumId w:val="121"/>
  </w:num>
  <w:num w:numId="104">
    <w:abstractNumId w:val="131"/>
  </w:num>
  <w:num w:numId="105">
    <w:abstractNumId w:val="182"/>
  </w:num>
  <w:num w:numId="106">
    <w:abstractNumId w:val="154"/>
  </w:num>
  <w:num w:numId="107">
    <w:abstractNumId w:val="90"/>
  </w:num>
  <w:num w:numId="108">
    <w:abstractNumId w:val="271"/>
  </w:num>
  <w:num w:numId="109">
    <w:abstractNumId w:val="160"/>
  </w:num>
  <w:num w:numId="110">
    <w:abstractNumId w:val="64"/>
  </w:num>
  <w:num w:numId="111">
    <w:abstractNumId w:val="232"/>
  </w:num>
  <w:num w:numId="112">
    <w:abstractNumId w:val="18"/>
  </w:num>
  <w:num w:numId="113">
    <w:abstractNumId w:val="235"/>
  </w:num>
  <w:num w:numId="114">
    <w:abstractNumId w:val="253"/>
  </w:num>
  <w:num w:numId="115">
    <w:abstractNumId w:val="79"/>
  </w:num>
  <w:num w:numId="116">
    <w:abstractNumId w:val="239"/>
  </w:num>
  <w:num w:numId="117">
    <w:abstractNumId w:val="293"/>
  </w:num>
  <w:num w:numId="118">
    <w:abstractNumId w:val="214"/>
  </w:num>
  <w:num w:numId="119">
    <w:abstractNumId w:val="112"/>
  </w:num>
  <w:num w:numId="120">
    <w:abstractNumId w:val="242"/>
  </w:num>
  <w:num w:numId="121">
    <w:abstractNumId w:val="82"/>
  </w:num>
  <w:num w:numId="122">
    <w:abstractNumId w:val="260"/>
  </w:num>
  <w:num w:numId="123">
    <w:abstractNumId w:val="149"/>
  </w:num>
  <w:num w:numId="124">
    <w:abstractNumId w:val="114"/>
  </w:num>
  <w:num w:numId="125">
    <w:abstractNumId w:val="53"/>
  </w:num>
  <w:num w:numId="126">
    <w:abstractNumId w:val="87"/>
  </w:num>
  <w:num w:numId="127">
    <w:abstractNumId w:val="213"/>
  </w:num>
  <w:num w:numId="128">
    <w:abstractNumId w:val="146"/>
  </w:num>
  <w:num w:numId="129">
    <w:abstractNumId w:val="175"/>
  </w:num>
  <w:num w:numId="130">
    <w:abstractNumId w:val="267"/>
  </w:num>
  <w:num w:numId="131">
    <w:abstractNumId w:val="91"/>
  </w:num>
  <w:num w:numId="132">
    <w:abstractNumId w:val="119"/>
  </w:num>
  <w:num w:numId="133">
    <w:abstractNumId w:val="188"/>
  </w:num>
  <w:num w:numId="134">
    <w:abstractNumId w:val="257"/>
  </w:num>
  <w:num w:numId="135">
    <w:abstractNumId w:val="139"/>
  </w:num>
  <w:num w:numId="136">
    <w:abstractNumId w:val="292"/>
  </w:num>
  <w:num w:numId="137">
    <w:abstractNumId w:val="276"/>
  </w:num>
  <w:num w:numId="138">
    <w:abstractNumId w:val="97"/>
  </w:num>
  <w:num w:numId="139">
    <w:abstractNumId w:val="262"/>
  </w:num>
  <w:num w:numId="140">
    <w:abstractNumId w:val="268"/>
  </w:num>
  <w:num w:numId="141">
    <w:abstractNumId w:val="130"/>
  </w:num>
  <w:num w:numId="142">
    <w:abstractNumId w:val="144"/>
  </w:num>
  <w:num w:numId="143">
    <w:abstractNumId w:val="164"/>
  </w:num>
  <w:num w:numId="144">
    <w:abstractNumId w:val="27"/>
  </w:num>
  <w:num w:numId="145">
    <w:abstractNumId w:val="105"/>
  </w:num>
  <w:num w:numId="146">
    <w:abstractNumId w:val="24"/>
  </w:num>
  <w:num w:numId="147">
    <w:abstractNumId w:val="136"/>
  </w:num>
  <w:num w:numId="148">
    <w:abstractNumId w:val="94"/>
  </w:num>
  <w:num w:numId="149">
    <w:abstractNumId w:val="29"/>
  </w:num>
  <w:num w:numId="150">
    <w:abstractNumId w:val="274"/>
  </w:num>
  <w:num w:numId="151">
    <w:abstractNumId w:val="272"/>
  </w:num>
  <w:num w:numId="152">
    <w:abstractNumId w:val="169"/>
  </w:num>
  <w:num w:numId="153">
    <w:abstractNumId w:val="284"/>
  </w:num>
  <w:num w:numId="154">
    <w:abstractNumId w:val="133"/>
  </w:num>
  <w:num w:numId="155">
    <w:abstractNumId w:val="36"/>
  </w:num>
  <w:num w:numId="156">
    <w:abstractNumId w:val="100"/>
  </w:num>
  <w:num w:numId="157">
    <w:abstractNumId w:val="61"/>
  </w:num>
  <w:num w:numId="158">
    <w:abstractNumId w:val="227"/>
  </w:num>
  <w:num w:numId="159">
    <w:abstractNumId w:val="99"/>
  </w:num>
  <w:num w:numId="160">
    <w:abstractNumId w:val="168"/>
  </w:num>
  <w:num w:numId="161">
    <w:abstractNumId w:val="28"/>
  </w:num>
  <w:num w:numId="162">
    <w:abstractNumId w:val="126"/>
  </w:num>
  <w:num w:numId="163">
    <w:abstractNumId w:val="14"/>
  </w:num>
  <w:num w:numId="164">
    <w:abstractNumId w:val="46"/>
  </w:num>
  <w:num w:numId="165">
    <w:abstractNumId w:val="270"/>
  </w:num>
  <w:num w:numId="166">
    <w:abstractNumId w:val="50"/>
  </w:num>
  <w:num w:numId="167">
    <w:abstractNumId w:val="161"/>
  </w:num>
  <w:num w:numId="168">
    <w:abstractNumId w:val="55"/>
  </w:num>
  <w:num w:numId="169">
    <w:abstractNumId w:val="62"/>
  </w:num>
  <w:num w:numId="170">
    <w:abstractNumId w:val="199"/>
    <w:lvlOverride w:ilvl="0">
      <w:startOverride w:val="1"/>
    </w:lvlOverride>
    <w:lvlOverride w:ilvl="1">
      <w:startOverride w:val="1"/>
    </w:lvlOverride>
  </w:num>
  <w:num w:numId="171">
    <w:abstractNumId w:val="68"/>
  </w:num>
  <w:num w:numId="172">
    <w:abstractNumId w:val="202"/>
  </w:num>
  <w:num w:numId="173">
    <w:abstractNumId w:val="20"/>
  </w:num>
  <w:num w:numId="174">
    <w:abstractNumId w:val="194"/>
  </w:num>
  <w:num w:numId="175">
    <w:abstractNumId w:val="291"/>
  </w:num>
  <w:num w:numId="176">
    <w:abstractNumId w:val="199"/>
    <w:lvlOverride w:ilvl="0">
      <w:startOverride w:val="1"/>
    </w:lvlOverride>
    <w:lvlOverride w:ilvl="1">
      <w:startOverride w:val="1"/>
    </w:lvlOverride>
  </w:num>
  <w:num w:numId="177">
    <w:abstractNumId w:val="207"/>
  </w:num>
  <w:num w:numId="178">
    <w:abstractNumId w:val="109"/>
  </w:num>
  <w:num w:numId="179">
    <w:abstractNumId w:val="104"/>
  </w:num>
  <w:num w:numId="180">
    <w:abstractNumId w:val="237"/>
  </w:num>
  <w:num w:numId="181">
    <w:abstractNumId w:val="283"/>
  </w:num>
  <w:num w:numId="182">
    <w:abstractNumId w:val="111"/>
  </w:num>
  <w:num w:numId="183">
    <w:abstractNumId w:val="65"/>
  </w:num>
  <w:num w:numId="184">
    <w:abstractNumId w:val="269"/>
  </w:num>
  <w:num w:numId="185">
    <w:abstractNumId w:val="212"/>
  </w:num>
  <w:num w:numId="186">
    <w:abstractNumId w:val="277"/>
  </w:num>
  <w:num w:numId="187">
    <w:abstractNumId w:val="21"/>
  </w:num>
  <w:num w:numId="188">
    <w:abstractNumId w:val="125"/>
  </w:num>
  <w:num w:numId="189">
    <w:abstractNumId w:val="32"/>
  </w:num>
  <w:num w:numId="190">
    <w:abstractNumId w:val="73"/>
  </w:num>
  <w:num w:numId="191">
    <w:abstractNumId w:val="110"/>
  </w:num>
  <w:num w:numId="192">
    <w:abstractNumId w:val="19"/>
  </w:num>
  <w:num w:numId="193">
    <w:abstractNumId w:val="59"/>
  </w:num>
  <w:num w:numId="194">
    <w:abstractNumId w:val="204"/>
  </w:num>
  <w:num w:numId="195">
    <w:abstractNumId w:val="47"/>
  </w:num>
  <w:num w:numId="196">
    <w:abstractNumId w:val="116"/>
  </w:num>
  <w:num w:numId="197">
    <w:abstractNumId w:val="45"/>
  </w:num>
  <w:num w:numId="198">
    <w:abstractNumId w:val="197"/>
  </w:num>
  <w:num w:numId="199">
    <w:abstractNumId w:val="255"/>
  </w:num>
  <w:num w:numId="200">
    <w:abstractNumId w:val="278"/>
  </w:num>
  <w:num w:numId="201">
    <w:abstractNumId w:val="67"/>
  </w:num>
  <w:num w:numId="202">
    <w:abstractNumId w:val="199"/>
    <w:lvlOverride w:ilvl="0">
      <w:startOverride w:val="1"/>
    </w:lvlOverride>
    <w:lvlOverride w:ilvl="1">
      <w:startOverride w:val="1"/>
    </w:lvlOverride>
  </w:num>
  <w:num w:numId="203">
    <w:abstractNumId w:val="184"/>
  </w:num>
  <w:num w:numId="204">
    <w:abstractNumId w:val="56"/>
  </w:num>
  <w:num w:numId="205">
    <w:abstractNumId w:val="173"/>
  </w:num>
  <w:num w:numId="206">
    <w:abstractNumId w:val="281"/>
  </w:num>
  <w:num w:numId="207">
    <w:abstractNumId w:val="208"/>
  </w:num>
  <w:num w:numId="208">
    <w:abstractNumId w:val="265"/>
  </w:num>
  <w:num w:numId="209">
    <w:abstractNumId w:val="5"/>
  </w:num>
  <w:num w:numId="210">
    <w:abstractNumId w:val="185"/>
  </w:num>
  <w:num w:numId="211">
    <w:abstractNumId w:val="7"/>
  </w:num>
  <w:num w:numId="212">
    <w:abstractNumId w:val="150"/>
  </w:num>
  <w:num w:numId="213">
    <w:abstractNumId w:val="163"/>
  </w:num>
  <w:num w:numId="214">
    <w:abstractNumId w:val="42"/>
  </w:num>
  <w:num w:numId="215">
    <w:abstractNumId w:val="177"/>
  </w:num>
  <w:num w:numId="216">
    <w:abstractNumId w:val="230"/>
  </w:num>
  <w:num w:numId="217">
    <w:abstractNumId w:val="229"/>
  </w:num>
  <w:num w:numId="218">
    <w:abstractNumId w:val="200"/>
  </w:num>
  <w:num w:numId="219">
    <w:abstractNumId w:val="0"/>
  </w:num>
  <w:num w:numId="220">
    <w:abstractNumId w:val="145"/>
  </w:num>
  <w:num w:numId="221">
    <w:abstractNumId w:val="221"/>
  </w:num>
  <w:num w:numId="222">
    <w:abstractNumId w:val="155"/>
  </w:num>
  <w:num w:numId="223">
    <w:abstractNumId w:val="226"/>
  </w:num>
  <w:num w:numId="224">
    <w:abstractNumId w:val="44"/>
  </w:num>
  <w:num w:numId="225">
    <w:abstractNumId w:val="282"/>
  </w:num>
  <w:num w:numId="226">
    <w:abstractNumId w:val="181"/>
  </w:num>
  <w:num w:numId="227">
    <w:abstractNumId w:val="37"/>
  </w:num>
  <w:num w:numId="228">
    <w:abstractNumId w:val="196"/>
  </w:num>
  <w:num w:numId="229">
    <w:abstractNumId w:val="98"/>
  </w:num>
  <w:num w:numId="230">
    <w:abstractNumId w:val="254"/>
  </w:num>
  <w:num w:numId="231">
    <w:abstractNumId w:val="52"/>
  </w:num>
  <w:num w:numId="232">
    <w:abstractNumId w:val="244"/>
  </w:num>
  <w:num w:numId="233">
    <w:abstractNumId w:val="228"/>
  </w:num>
  <w:num w:numId="234">
    <w:abstractNumId w:val="287"/>
  </w:num>
  <w:num w:numId="235">
    <w:abstractNumId w:val="153"/>
  </w:num>
  <w:num w:numId="236">
    <w:abstractNumId w:val="209"/>
  </w:num>
  <w:num w:numId="237">
    <w:abstractNumId w:val="89"/>
  </w:num>
  <w:num w:numId="238">
    <w:abstractNumId w:val="4"/>
  </w:num>
  <w:num w:numId="239">
    <w:abstractNumId w:val="69"/>
  </w:num>
  <w:num w:numId="240">
    <w:abstractNumId w:val="193"/>
  </w:num>
  <w:num w:numId="241">
    <w:abstractNumId w:val="8"/>
  </w:num>
  <w:num w:numId="242">
    <w:abstractNumId w:val="41"/>
  </w:num>
  <w:num w:numId="243">
    <w:abstractNumId w:val="218"/>
  </w:num>
  <w:num w:numId="244">
    <w:abstractNumId w:val="220"/>
  </w:num>
  <w:num w:numId="245">
    <w:abstractNumId w:val="162"/>
  </w:num>
  <w:num w:numId="246">
    <w:abstractNumId w:val="275"/>
  </w:num>
  <w:num w:numId="247">
    <w:abstractNumId w:val="156"/>
  </w:num>
  <w:num w:numId="248">
    <w:abstractNumId w:val="247"/>
  </w:num>
  <w:num w:numId="249">
    <w:abstractNumId w:val="170"/>
  </w:num>
  <w:num w:numId="250">
    <w:abstractNumId w:val="71"/>
  </w:num>
  <w:num w:numId="251">
    <w:abstractNumId w:val="178"/>
  </w:num>
  <w:num w:numId="252">
    <w:abstractNumId w:val="31"/>
  </w:num>
  <w:num w:numId="253">
    <w:abstractNumId w:val="245"/>
  </w:num>
  <w:num w:numId="254">
    <w:abstractNumId w:val="195"/>
  </w:num>
  <w:num w:numId="255">
    <w:abstractNumId w:val="6"/>
  </w:num>
  <w:num w:numId="256">
    <w:abstractNumId w:val="95"/>
  </w:num>
  <w:num w:numId="257">
    <w:abstractNumId w:val="147"/>
  </w:num>
  <w:num w:numId="258">
    <w:abstractNumId w:val="261"/>
  </w:num>
  <w:num w:numId="259">
    <w:abstractNumId w:val="266"/>
  </w:num>
  <w:num w:numId="260">
    <w:abstractNumId w:val="22"/>
  </w:num>
  <w:num w:numId="261">
    <w:abstractNumId w:val="10"/>
  </w:num>
  <w:num w:numId="262">
    <w:abstractNumId w:val="198"/>
  </w:num>
  <w:num w:numId="263">
    <w:abstractNumId w:val="258"/>
  </w:num>
  <w:num w:numId="264">
    <w:abstractNumId w:val="159"/>
  </w:num>
  <w:num w:numId="265">
    <w:abstractNumId w:val="222"/>
  </w:num>
  <w:num w:numId="266">
    <w:abstractNumId w:val="123"/>
  </w:num>
  <w:num w:numId="267">
    <w:abstractNumId w:val="219"/>
  </w:num>
  <w:num w:numId="268">
    <w:abstractNumId w:val="223"/>
  </w:num>
  <w:num w:numId="269">
    <w:abstractNumId w:val="224"/>
  </w:num>
  <w:num w:numId="270">
    <w:abstractNumId w:val="128"/>
  </w:num>
  <w:num w:numId="271">
    <w:abstractNumId w:val="243"/>
  </w:num>
  <w:num w:numId="272">
    <w:abstractNumId w:val="216"/>
  </w:num>
  <w:num w:numId="273">
    <w:abstractNumId w:val="273"/>
  </w:num>
  <w:num w:numId="274">
    <w:abstractNumId w:val="120"/>
  </w:num>
  <w:num w:numId="275">
    <w:abstractNumId w:val="190"/>
  </w:num>
  <w:num w:numId="276">
    <w:abstractNumId w:val="103"/>
  </w:num>
  <w:num w:numId="277">
    <w:abstractNumId w:val="138"/>
  </w:num>
  <w:num w:numId="278">
    <w:abstractNumId w:val="152"/>
  </w:num>
  <w:num w:numId="279">
    <w:abstractNumId w:val="225"/>
  </w:num>
  <w:num w:numId="280">
    <w:abstractNumId w:val="234"/>
  </w:num>
  <w:num w:numId="281">
    <w:abstractNumId w:val="127"/>
  </w:num>
  <w:num w:numId="282">
    <w:abstractNumId w:val="264"/>
  </w:num>
  <w:num w:numId="283">
    <w:abstractNumId w:val="158"/>
  </w:num>
  <w:num w:numId="284">
    <w:abstractNumId w:val="54"/>
  </w:num>
  <w:num w:numId="285">
    <w:abstractNumId w:val="106"/>
  </w:num>
  <w:num w:numId="286">
    <w:abstractNumId w:val="140"/>
  </w:num>
  <w:num w:numId="287">
    <w:abstractNumId w:val="241"/>
  </w:num>
  <w:num w:numId="288">
    <w:abstractNumId w:val="9"/>
  </w:num>
  <w:num w:numId="289">
    <w:abstractNumId w:val="134"/>
  </w:num>
  <w:num w:numId="290">
    <w:abstractNumId w:val="211"/>
  </w:num>
  <w:num w:numId="291">
    <w:abstractNumId w:val="142"/>
  </w:num>
  <w:num w:numId="292">
    <w:abstractNumId w:val="246"/>
  </w:num>
  <w:num w:numId="293">
    <w:abstractNumId w:val="12"/>
  </w:num>
  <w:num w:numId="294">
    <w:abstractNumId w:val="80"/>
  </w:num>
  <w:num w:numId="295">
    <w:abstractNumId w:val="17"/>
  </w:num>
  <w:num w:numId="296">
    <w:abstractNumId w:val="3"/>
  </w:num>
  <w:num w:numId="297">
    <w:abstractNumId w:val="250"/>
  </w:num>
  <w:num w:numId="298">
    <w:abstractNumId w:val="2"/>
  </w:num>
  <w:num w:numId="299">
    <w:abstractNumId w:val="35"/>
  </w:num>
  <w:numIdMacAtCleanup w:val="2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hideGrammaticalErrors/>
  <w:proofState w:grammar="clean"/>
  <w:defaultTabStop w:val="720"/>
  <w:hyphenationZone w:val="425"/>
  <w:drawingGridHorizontalSpacing w:val="110"/>
  <w:displayHorizontalDrawingGridEvery w:val="2"/>
  <w:characterSpacingControl w:val="doNotCompress"/>
  <w:hdrShapeDefaults>
    <o:shapedefaults v:ext="edit" spidmax="2051">
      <o:colormru v:ext="edit" colors="#fc6,#ffb92d"/>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AB27B3"/>
    <w:rsid w:val="00014F48"/>
    <w:rsid w:val="00035880"/>
    <w:rsid w:val="00052EA0"/>
    <w:rsid w:val="000552D8"/>
    <w:rsid w:val="00070E4E"/>
    <w:rsid w:val="000A0B7D"/>
    <w:rsid w:val="000B161A"/>
    <w:rsid w:val="000B7EF5"/>
    <w:rsid w:val="000D0284"/>
    <w:rsid w:val="000F55FF"/>
    <w:rsid w:val="00120046"/>
    <w:rsid w:val="0013594B"/>
    <w:rsid w:val="001406DC"/>
    <w:rsid w:val="00151625"/>
    <w:rsid w:val="00174DC2"/>
    <w:rsid w:val="001A0DDE"/>
    <w:rsid w:val="001A5AEE"/>
    <w:rsid w:val="001B4CDC"/>
    <w:rsid w:val="0020788D"/>
    <w:rsid w:val="002126BB"/>
    <w:rsid w:val="00246FE8"/>
    <w:rsid w:val="00273245"/>
    <w:rsid w:val="002A6D9A"/>
    <w:rsid w:val="002C6644"/>
    <w:rsid w:val="002D49BC"/>
    <w:rsid w:val="00332932"/>
    <w:rsid w:val="003A6F83"/>
    <w:rsid w:val="003E6C11"/>
    <w:rsid w:val="003F5E7C"/>
    <w:rsid w:val="00401D67"/>
    <w:rsid w:val="00437C77"/>
    <w:rsid w:val="00447611"/>
    <w:rsid w:val="00492F0C"/>
    <w:rsid w:val="004A3858"/>
    <w:rsid w:val="004C4457"/>
    <w:rsid w:val="004D2CF5"/>
    <w:rsid w:val="004D5B16"/>
    <w:rsid w:val="00506DE0"/>
    <w:rsid w:val="0052785B"/>
    <w:rsid w:val="00531658"/>
    <w:rsid w:val="0055505E"/>
    <w:rsid w:val="00562C19"/>
    <w:rsid w:val="005630DE"/>
    <w:rsid w:val="00585E05"/>
    <w:rsid w:val="00587D80"/>
    <w:rsid w:val="005A3123"/>
    <w:rsid w:val="005A5ECA"/>
    <w:rsid w:val="005B6E6C"/>
    <w:rsid w:val="005F3F7B"/>
    <w:rsid w:val="006002A4"/>
    <w:rsid w:val="006225C7"/>
    <w:rsid w:val="00624F3E"/>
    <w:rsid w:val="00636E67"/>
    <w:rsid w:val="00652ED6"/>
    <w:rsid w:val="0067024C"/>
    <w:rsid w:val="00685068"/>
    <w:rsid w:val="0069265E"/>
    <w:rsid w:val="006976F9"/>
    <w:rsid w:val="006A2397"/>
    <w:rsid w:val="006A6C6E"/>
    <w:rsid w:val="006B444A"/>
    <w:rsid w:val="006C62EE"/>
    <w:rsid w:val="006D397B"/>
    <w:rsid w:val="006D589D"/>
    <w:rsid w:val="006D61B0"/>
    <w:rsid w:val="006E05D4"/>
    <w:rsid w:val="006E1B4C"/>
    <w:rsid w:val="006E1C72"/>
    <w:rsid w:val="006E6CB9"/>
    <w:rsid w:val="006F6A2F"/>
    <w:rsid w:val="0070097E"/>
    <w:rsid w:val="00702601"/>
    <w:rsid w:val="00717944"/>
    <w:rsid w:val="007367A6"/>
    <w:rsid w:val="0073753D"/>
    <w:rsid w:val="0074022B"/>
    <w:rsid w:val="007438CC"/>
    <w:rsid w:val="007701A8"/>
    <w:rsid w:val="00774441"/>
    <w:rsid w:val="00795116"/>
    <w:rsid w:val="007D08B5"/>
    <w:rsid w:val="007E6DD6"/>
    <w:rsid w:val="007F4638"/>
    <w:rsid w:val="0080483C"/>
    <w:rsid w:val="008141D5"/>
    <w:rsid w:val="00850CFC"/>
    <w:rsid w:val="00886965"/>
    <w:rsid w:val="008E3E9B"/>
    <w:rsid w:val="008E42BB"/>
    <w:rsid w:val="008F1B9C"/>
    <w:rsid w:val="009069D7"/>
    <w:rsid w:val="00927EAF"/>
    <w:rsid w:val="009338DC"/>
    <w:rsid w:val="009352F0"/>
    <w:rsid w:val="00951225"/>
    <w:rsid w:val="0096537C"/>
    <w:rsid w:val="0096637A"/>
    <w:rsid w:val="00973FAA"/>
    <w:rsid w:val="009A33A7"/>
    <w:rsid w:val="009A56D9"/>
    <w:rsid w:val="009B31D7"/>
    <w:rsid w:val="009B602C"/>
    <w:rsid w:val="009B700B"/>
    <w:rsid w:val="009F7E60"/>
    <w:rsid w:val="00A05CAA"/>
    <w:rsid w:val="00A32674"/>
    <w:rsid w:val="00A35C59"/>
    <w:rsid w:val="00A56A63"/>
    <w:rsid w:val="00A73F38"/>
    <w:rsid w:val="00A87810"/>
    <w:rsid w:val="00AA18FA"/>
    <w:rsid w:val="00AB27B3"/>
    <w:rsid w:val="00AB3BCC"/>
    <w:rsid w:val="00AD29AF"/>
    <w:rsid w:val="00AD2A6B"/>
    <w:rsid w:val="00AD66DD"/>
    <w:rsid w:val="00AD7F43"/>
    <w:rsid w:val="00B37027"/>
    <w:rsid w:val="00B41EAD"/>
    <w:rsid w:val="00B83E10"/>
    <w:rsid w:val="00B9600F"/>
    <w:rsid w:val="00BA3C82"/>
    <w:rsid w:val="00BD55A9"/>
    <w:rsid w:val="00BE0763"/>
    <w:rsid w:val="00BE2C41"/>
    <w:rsid w:val="00BE7D04"/>
    <w:rsid w:val="00BF72EF"/>
    <w:rsid w:val="00C46A1F"/>
    <w:rsid w:val="00C52E09"/>
    <w:rsid w:val="00C95172"/>
    <w:rsid w:val="00CA3ED0"/>
    <w:rsid w:val="00CC5F5B"/>
    <w:rsid w:val="00CD6230"/>
    <w:rsid w:val="00D1534F"/>
    <w:rsid w:val="00D37E8B"/>
    <w:rsid w:val="00D47BFA"/>
    <w:rsid w:val="00D51901"/>
    <w:rsid w:val="00D648E9"/>
    <w:rsid w:val="00D73438"/>
    <w:rsid w:val="00D76085"/>
    <w:rsid w:val="00D76F7F"/>
    <w:rsid w:val="00D77250"/>
    <w:rsid w:val="00DC3519"/>
    <w:rsid w:val="00DE0774"/>
    <w:rsid w:val="00DE1B2D"/>
    <w:rsid w:val="00DE1C2C"/>
    <w:rsid w:val="00E154E3"/>
    <w:rsid w:val="00E23B8C"/>
    <w:rsid w:val="00E44EFF"/>
    <w:rsid w:val="00E50841"/>
    <w:rsid w:val="00E76713"/>
    <w:rsid w:val="00E8674E"/>
    <w:rsid w:val="00E867B1"/>
    <w:rsid w:val="00EB2A96"/>
    <w:rsid w:val="00EC0EAB"/>
    <w:rsid w:val="00ED3A9C"/>
    <w:rsid w:val="00ED656B"/>
    <w:rsid w:val="00ED7077"/>
    <w:rsid w:val="00F02A23"/>
    <w:rsid w:val="00F23C45"/>
    <w:rsid w:val="00F3500A"/>
    <w:rsid w:val="00F46483"/>
    <w:rsid w:val="00F47FAF"/>
    <w:rsid w:val="00F6058B"/>
    <w:rsid w:val="00F73C2F"/>
    <w:rsid w:val="00F8000A"/>
    <w:rsid w:val="00F831DC"/>
    <w:rsid w:val="00F957A0"/>
    <w:rsid w:val="00FC442D"/>
    <w:rsid w:val="00FC6E81"/>
    <w:rsid w:val="00FE1E5D"/>
    <w:rsid w:val="00FF3CDB"/>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martTagType w:namespaceuri="urn:schemas-microsoft-com:office:smarttags" w:name="metricconverter"/>
  <w:shapeDefaults>
    <o:shapedefaults v:ext="edit" spidmax="2051">
      <o:colormru v:ext="edit" colors="#fc6,#ffb92d"/>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D656B"/>
    <w:rPr>
      <w:rFonts w:ascii="Arial" w:hAnsi="Arial"/>
    </w:rPr>
  </w:style>
  <w:style w:type="paragraph" w:styleId="Heading1">
    <w:name w:val="heading 1"/>
    <w:basedOn w:val="Normal"/>
    <w:next w:val="Normal"/>
    <w:link w:val="Heading1Char"/>
    <w:qFormat/>
    <w:rsid w:val="00B9600F"/>
    <w:pPr>
      <w:keepNext/>
      <w:keepLines/>
      <w:spacing w:before="120" w:after="0"/>
      <w:outlineLvl w:val="0"/>
    </w:pPr>
    <w:rPr>
      <w:rFonts w:eastAsiaTheme="majorEastAsia" w:cstheme="majorBidi"/>
      <w:b/>
      <w:bCs/>
      <w:sz w:val="24"/>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9600F"/>
    <w:rPr>
      <w:rFonts w:eastAsiaTheme="majorEastAsia" w:cstheme="majorBidi"/>
      <w:b/>
      <w:bCs/>
      <w:sz w:val="24"/>
      <w:szCs w:val="28"/>
    </w:rPr>
  </w:style>
  <w:style w:type="paragraph" w:styleId="TOCHeading">
    <w:name w:val="TOC Heading"/>
    <w:basedOn w:val="Heading1"/>
    <w:next w:val="Normal"/>
    <w:uiPriority w:val="39"/>
    <w:unhideWhenUsed/>
    <w:qFormat/>
    <w:rsid w:val="00FE1E5D"/>
    <w:pPr>
      <w:outlineLvl w:val="9"/>
    </w:pPr>
    <w:rPr>
      <w:rFonts w:asciiTheme="minorHAnsi" w:hAnsiTheme="minorHAnsi"/>
      <w:sz w:val="22"/>
    </w:rPr>
  </w:style>
  <w:style w:type="paragraph" w:styleId="BalloonText">
    <w:name w:val="Balloon Text"/>
    <w:basedOn w:val="Normal"/>
    <w:link w:val="BalloonTextChar"/>
    <w:uiPriority w:val="99"/>
    <w:semiHidden/>
    <w:unhideWhenUsed/>
    <w:rsid w:val="00AD29A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D29AF"/>
    <w:rPr>
      <w:rFonts w:ascii="Tahoma" w:hAnsi="Tahoma" w:cs="Tahoma"/>
      <w:sz w:val="16"/>
      <w:szCs w:val="16"/>
    </w:rPr>
  </w:style>
  <w:style w:type="paragraph" w:styleId="NoSpacing">
    <w:name w:val="No Spacing"/>
    <w:link w:val="NoSpacingChar"/>
    <w:uiPriority w:val="1"/>
    <w:qFormat/>
    <w:rsid w:val="00CC5F5B"/>
    <w:pPr>
      <w:spacing w:after="0" w:line="240" w:lineRule="auto"/>
    </w:pPr>
    <w:rPr>
      <w:rFonts w:eastAsiaTheme="minorEastAsia"/>
    </w:rPr>
  </w:style>
  <w:style w:type="character" w:customStyle="1" w:styleId="NoSpacingChar">
    <w:name w:val="No Spacing Char"/>
    <w:basedOn w:val="DefaultParagraphFont"/>
    <w:link w:val="NoSpacing"/>
    <w:uiPriority w:val="1"/>
    <w:rsid w:val="00CC5F5B"/>
    <w:rPr>
      <w:rFonts w:eastAsiaTheme="minorEastAsia"/>
    </w:rPr>
  </w:style>
  <w:style w:type="paragraph" w:styleId="ListParagraph">
    <w:name w:val="List Paragraph"/>
    <w:basedOn w:val="Normal"/>
    <w:link w:val="ListParagraphChar"/>
    <w:qFormat/>
    <w:rsid w:val="00FE1E5D"/>
    <w:pPr>
      <w:ind w:left="720"/>
      <w:contextualSpacing/>
    </w:pPr>
    <w:rPr>
      <w:rFonts w:eastAsia="Calibri" w:cs="Times New Roman"/>
    </w:rPr>
  </w:style>
  <w:style w:type="character" w:styleId="Hyperlink">
    <w:name w:val="Hyperlink"/>
    <w:basedOn w:val="DefaultParagraphFont"/>
    <w:uiPriority w:val="99"/>
    <w:unhideWhenUsed/>
    <w:rsid w:val="00FE1E5D"/>
    <w:rPr>
      <w:color w:val="0000FF"/>
      <w:u w:val="single"/>
    </w:rPr>
  </w:style>
  <w:style w:type="character" w:styleId="Emphasis">
    <w:name w:val="Emphasis"/>
    <w:basedOn w:val="DefaultParagraphFont"/>
    <w:uiPriority w:val="99"/>
    <w:qFormat/>
    <w:rsid w:val="00FE1E5D"/>
    <w:rPr>
      <w:i/>
      <w:iCs/>
    </w:rPr>
  </w:style>
  <w:style w:type="paragraph" w:styleId="TOC1">
    <w:name w:val="toc 1"/>
    <w:basedOn w:val="Normal"/>
    <w:next w:val="Normal"/>
    <w:autoRedefine/>
    <w:uiPriority w:val="39"/>
    <w:unhideWhenUsed/>
    <w:rsid w:val="006D61B0"/>
    <w:pPr>
      <w:tabs>
        <w:tab w:val="right" w:leader="dot" w:pos="10169"/>
      </w:tabs>
      <w:spacing w:after="100"/>
    </w:pPr>
    <w:rPr>
      <w:noProof/>
      <w:lang w:val="pt-PT"/>
    </w:rPr>
  </w:style>
  <w:style w:type="paragraph" w:styleId="TOC2">
    <w:name w:val="toc 2"/>
    <w:basedOn w:val="Normal"/>
    <w:next w:val="Normal"/>
    <w:autoRedefine/>
    <w:uiPriority w:val="39"/>
    <w:unhideWhenUsed/>
    <w:rsid w:val="00636E67"/>
    <w:pPr>
      <w:tabs>
        <w:tab w:val="right" w:leader="dot" w:pos="10169"/>
      </w:tabs>
      <w:spacing w:after="100"/>
    </w:pPr>
  </w:style>
  <w:style w:type="table" w:styleId="MediumShading2-Accent5">
    <w:name w:val="Medium Shading 2 Accent 5"/>
    <w:basedOn w:val="TableNormal"/>
    <w:uiPriority w:val="64"/>
    <w:rsid w:val="00FE1E5D"/>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CommentTextChar">
    <w:name w:val="Comment Text Char"/>
    <w:basedOn w:val="DefaultParagraphFont"/>
    <w:link w:val="CommentText"/>
    <w:uiPriority w:val="99"/>
    <w:rsid w:val="00B9600F"/>
    <w:rPr>
      <w:rFonts w:ascii="Calibri" w:eastAsia="Calibri" w:hAnsi="Calibri" w:cs="Times New Roman"/>
      <w:sz w:val="20"/>
      <w:szCs w:val="20"/>
      <w:lang w:val="pt-PT"/>
    </w:rPr>
  </w:style>
  <w:style w:type="paragraph" w:styleId="CommentText">
    <w:name w:val="annotation text"/>
    <w:basedOn w:val="Normal"/>
    <w:link w:val="CommentTextChar"/>
    <w:uiPriority w:val="99"/>
    <w:rsid w:val="00B9600F"/>
    <w:pPr>
      <w:spacing w:after="0" w:line="240" w:lineRule="auto"/>
    </w:pPr>
    <w:rPr>
      <w:rFonts w:ascii="Calibri" w:eastAsia="Calibri" w:hAnsi="Calibri" w:cs="Times New Roman"/>
      <w:sz w:val="20"/>
      <w:szCs w:val="20"/>
      <w:lang w:val="pt-PT"/>
    </w:rPr>
  </w:style>
  <w:style w:type="character" w:customStyle="1" w:styleId="HeaderChar">
    <w:name w:val="Header Char"/>
    <w:basedOn w:val="DefaultParagraphFont"/>
    <w:link w:val="Header"/>
    <w:uiPriority w:val="99"/>
    <w:rsid w:val="00B9600F"/>
    <w:rPr>
      <w:rFonts w:ascii="Calibri" w:eastAsia="Calibri" w:hAnsi="Calibri" w:cs="Times New Roman"/>
      <w:lang w:val="pt-PT"/>
    </w:rPr>
  </w:style>
  <w:style w:type="paragraph" w:styleId="Header">
    <w:name w:val="header"/>
    <w:basedOn w:val="Normal"/>
    <w:link w:val="HeaderChar"/>
    <w:uiPriority w:val="99"/>
    <w:rsid w:val="00B9600F"/>
    <w:pPr>
      <w:tabs>
        <w:tab w:val="center" w:pos="4680"/>
        <w:tab w:val="right" w:pos="9360"/>
      </w:tabs>
      <w:spacing w:after="0" w:line="240" w:lineRule="auto"/>
    </w:pPr>
    <w:rPr>
      <w:rFonts w:ascii="Calibri" w:eastAsia="Calibri" w:hAnsi="Calibri" w:cs="Times New Roman"/>
      <w:lang w:val="pt-PT"/>
    </w:rPr>
  </w:style>
  <w:style w:type="paragraph" w:styleId="Footer">
    <w:name w:val="footer"/>
    <w:basedOn w:val="Normal"/>
    <w:link w:val="FooterChar"/>
    <w:rsid w:val="00B9600F"/>
    <w:pPr>
      <w:tabs>
        <w:tab w:val="center" w:pos="4680"/>
        <w:tab w:val="right" w:pos="9360"/>
      </w:tabs>
      <w:spacing w:after="0" w:line="240" w:lineRule="auto"/>
    </w:pPr>
    <w:rPr>
      <w:rFonts w:ascii="Calibri" w:eastAsia="Calibri" w:hAnsi="Calibri" w:cs="Times New Roman"/>
      <w:lang w:val="pt-PT"/>
    </w:rPr>
  </w:style>
  <w:style w:type="character" w:customStyle="1" w:styleId="FooterChar">
    <w:name w:val="Footer Char"/>
    <w:basedOn w:val="DefaultParagraphFont"/>
    <w:link w:val="Footer"/>
    <w:rsid w:val="00B9600F"/>
    <w:rPr>
      <w:rFonts w:ascii="Calibri" w:eastAsia="Calibri" w:hAnsi="Calibri" w:cs="Times New Roman"/>
      <w:lang w:val="pt-PT"/>
    </w:rPr>
  </w:style>
  <w:style w:type="character" w:customStyle="1" w:styleId="CommentSubjectChar">
    <w:name w:val="Comment Subject Char"/>
    <w:basedOn w:val="CommentTextChar"/>
    <w:link w:val="CommentSubject"/>
    <w:uiPriority w:val="99"/>
    <w:semiHidden/>
    <w:rsid w:val="00B9600F"/>
    <w:rPr>
      <w:rFonts w:ascii="Calibri" w:eastAsia="Calibri" w:hAnsi="Calibri" w:cs="Times New Roman"/>
      <w:b/>
      <w:bCs/>
      <w:sz w:val="20"/>
      <w:szCs w:val="20"/>
      <w:lang w:val="pt-PT"/>
    </w:rPr>
  </w:style>
  <w:style w:type="paragraph" w:styleId="CommentSubject">
    <w:name w:val="annotation subject"/>
    <w:basedOn w:val="CommentText"/>
    <w:next w:val="CommentText"/>
    <w:link w:val="CommentSubjectChar"/>
    <w:uiPriority w:val="99"/>
    <w:semiHidden/>
    <w:rsid w:val="00B9600F"/>
    <w:rPr>
      <w:b/>
      <w:bCs/>
    </w:rPr>
  </w:style>
  <w:style w:type="paragraph" w:customStyle="1" w:styleId="TM-2n">
    <w:name w:val="TM-2n"/>
    <w:basedOn w:val="ListParagraph"/>
    <w:link w:val="TM-2nChar"/>
    <w:rsid w:val="009B31D7"/>
    <w:pPr>
      <w:numPr>
        <w:ilvl w:val="1"/>
        <w:numId w:val="2"/>
      </w:numPr>
      <w:spacing w:after="240" w:line="240" w:lineRule="auto"/>
      <w:contextualSpacing w:val="0"/>
      <w:jc w:val="both"/>
    </w:pPr>
    <w:rPr>
      <w:rFonts w:eastAsia="Times New Roman" w:cs="Arial"/>
      <w:szCs w:val="20"/>
      <w:lang w:val="pt-PT" w:eastAsia="es-ES"/>
    </w:rPr>
  </w:style>
  <w:style w:type="paragraph" w:customStyle="1" w:styleId="TM-3n">
    <w:name w:val="TM-3n"/>
    <w:basedOn w:val="ListParagraph"/>
    <w:rsid w:val="009B31D7"/>
    <w:pPr>
      <w:numPr>
        <w:ilvl w:val="2"/>
        <w:numId w:val="2"/>
      </w:numPr>
      <w:tabs>
        <w:tab w:val="left" w:pos="1276"/>
      </w:tabs>
      <w:spacing w:after="240" w:line="240" w:lineRule="auto"/>
      <w:contextualSpacing w:val="0"/>
      <w:jc w:val="both"/>
    </w:pPr>
    <w:rPr>
      <w:rFonts w:eastAsia="Times New Roman" w:cs="Arial"/>
      <w:szCs w:val="20"/>
      <w:lang w:val="pt-PT" w:eastAsia="es-ES"/>
    </w:rPr>
  </w:style>
  <w:style w:type="paragraph" w:customStyle="1" w:styleId="TM-1n">
    <w:name w:val="TM-1n"/>
    <w:basedOn w:val="Normal"/>
    <w:qFormat/>
    <w:rsid w:val="009B31D7"/>
    <w:pPr>
      <w:numPr>
        <w:numId w:val="2"/>
      </w:numPr>
      <w:tabs>
        <w:tab w:val="clear" w:pos="567"/>
        <w:tab w:val="num" w:pos="1134"/>
        <w:tab w:val="right" w:pos="9072"/>
      </w:tabs>
      <w:spacing w:after="240" w:line="240" w:lineRule="auto"/>
      <w:jc w:val="both"/>
    </w:pPr>
    <w:rPr>
      <w:rFonts w:eastAsia="Times New Roman" w:cs="Arial"/>
      <w:b/>
      <w:sz w:val="24"/>
      <w:szCs w:val="24"/>
      <w:lang w:val="pt-PT" w:eastAsia="es-ES"/>
    </w:rPr>
  </w:style>
  <w:style w:type="table" w:styleId="TableGrid">
    <w:name w:val="Table Grid"/>
    <w:basedOn w:val="TableNormal"/>
    <w:uiPriority w:val="59"/>
    <w:rsid w:val="009B31D7"/>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CommentReference">
    <w:name w:val="annotation reference"/>
    <w:basedOn w:val="DefaultParagraphFont"/>
    <w:uiPriority w:val="99"/>
    <w:rsid w:val="009B31D7"/>
    <w:rPr>
      <w:rFonts w:cs="Times New Roman"/>
      <w:sz w:val="16"/>
      <w:szCs w:val="16"/>
    </w:rPr>
  </w:style>
  <w:style w:type="numbering" w:customStyle="1" w:styleId="Style1">
    <w:name w:val="Style1"/>
    <w:rsid w:val="009B31D7"/>
    <w:pPr>
      <w:numPr>
        <w:numId w:val="3"/>
      </w:numPr>
    </w:pPr>
  </w:style>
  <w:style w:type="paragraph" w:styleId="Revision">
    <w:name w:val="Revision"/>
    <w:hidden/>
    <w:uiPriority w:val="99"/>
    <w:semiHidden/>
    <w:rsid w:val="009B31D7"/>
    <w:pPr>
      <w:spacing w:after="0" w:line="240" w:lineRule="auto"/>
    </w:pPr>
    <w:rPr>
      <w:rFonts w:ascii="Calibri" w:eastAsia="Calibri" w:hAnsi="Calibri" w:cs="Times New Roman"/>
    </w:rPr>
  </w:style>
  <w:style w:type="character" w:customStyle="1" w:styleId="mediumtext1">
    <w:name w:val="medium_text1"/>
    <w:basedOn w:val="DefaultParagraphFont"/>
    <w:uiPriority w:val="99"/>
    <w:rsid w:val="00052EA0"/>
    <w:rPr>
      <w:rFonts w:cs="Times New Roman"/>
      <w:sz w:val="24"/>
      <w:szCs w:val="24"/>
    </w:rPr>
  </w:style>
  <w:style w:type="character" w:customStyle="1" w:styleId="longtext1">
    <w:name w:val="long_text1"/>
    <w:basedOn w:val="DefaultParagraphFont"/>
    <w:uiPriority w:val="99"/>
    <w:rsid w:val="00A73F38"/>
    <w:rPr>
      <w:rFonts w:cs="Times New Roman"/>
      <w:sz w:val="20"/>
      <w:szCs w:val="20"/>
    </w:rPr>
  </w:style>
  <w:style w:type="character" w:customStyle="1" w:styleId="ListParagraphChar">
    <w:name w:val="List Paragraph Char"/>
    <w:basedOn w:val="DefaultParagraphFont"/>
    <w:link w:val="ListParagraph"/>
    <w:uiPriority w:val="34"/>
    <w:rsid w:val="00A73F38"/>
    <w:rPr>
      <w:rFonts w:ascii="Arial" w:eastAsia="Calibri" w:hAnsi="Arial" w:cs="Times New Roman"/>
    </w:rPr>
  </w:style>
  <w:style w:type="paragraph" w:styleId="NormalWeb">
    <w:name w:val="Normal (Web)"/>
    <w:basedOn w:val="Normal"/>
    <w:uiPriority w:val="99"/>
    <w:rsid w:val="00A73F38"/>
    <w:pPr>
      <w:spacing w:before="100" w:beforeAutospacing="1" w:after="100" w:afterAutospacing="1" w:line="336" w:lineRule="atLeast"/>
    </w:pPr>
    <w:rPr>
      <w:rFonts w:ascii="Times New Roman" w:eastAsia="Times New Roman" w:hAnsi="Times New Roman" w:cs="Times New Roman"/>
      <w:sz w:val="24"/>
      <w:szCs w:val="24"/>
    </w:rPr>
  </w:style>
  <w:style w:type="paragraph" w:customStyle="1" w:styleId="Default">
    <w:name w:val="Default"/>
    <w:rsid w:val="00A73F38"/>
    <w:pPr>
      <w:autoSpaceDE w:val="0"/>
      <w:autoSpaceDN w:val="0"/>
      <w:adjustRightInd w:val="0"/>
      <w:spacing w:after="0" w:line="240" w:lineRule="auto"/>
    </w:pPr>
    <w:rPr>
      <w:rFonts w:ascii="Arial" w:eastAsia="Calibri" w:hAnsi="Arial" w:cs="Arial"/>
      <w:color w:val="000000"/>
      <w:sz w:val="24"/>
      <w:szCs w:val="24"/>
    </w:rPr>
  </w:style>
  <w:style w:type="paragraph" w:customStyle="1" w:styleId="h4">
    <w:name w:val="h4"/>
    <w:basedOn w:val="Normal"/>
    <w:uiPriority w:val="99"/>
    <w:rsid w:val="00A73F38"/>
    <w:pPr>
      <w:spacing w:before="100" w:beforeAutospacing="1" w:after="100" w:afterAutospacing="1" w:line="192" w:lineRule="atLeast"/>
    </w:pPr>
    <w:rPr>
      <w:rFonts w:eastAsia="Times New Roman" w:cs="Arial"/>
      <w:b/>
      <w:bCs/>
      <w:color w:val="92563E"/>
      <w:sz w:val="17"/>
      <w:szCs w:val="17"/>
    </w:rPr>
  </w:style>
  <w:style w:type="paragraph" w:customStyle="1" w:styleId="TM-3">
    <w:name w:val="TM-3"/>
    <w:basedOn w:val="ListParagraph"/>
    <w:rsid w:val="00A73F38"/>
    <w:pPr>
      <w:spacing w:after="240" w:line="240" w:lineRule="auto"/>
      <w:ind w:left="851" w:firstLine="425"/>
      <w:contextualSpacing w:val="0"/>
      <w:jc w:val="both"/>
    </w:pPr>
    <w:rPr>
      <w:rFonts w:eastAsia="Times New Roman" w:cs="Arial"/>
      <w:szCs w:val="20"/>
      <w:lang w:val="pt-PT" w:eastAsia="es-ES"/>
    </w:rPr>
  </w:style>
  <w:style w:type="paragraph" w:customStyle="1" w:styleId="TM-2">
    <w:name w:val="TM-2"/>
    <w:basedOn w:val="ListParagraph"/>
    <w:uiPriority w:val="99"/>
    <w:rsid w:val="00A73F38"/>
    <w:pPr>
      <w:spacing w:after="240" w:line="240" w:lineRule="auto"/>
      <w:ind w:left="284" w:firstLine="283"/>
      <w:contextualSpacing w:val="0"/>
      <w:jc w:val="both"/>
    </w:pPr>
    <w:rPr>
      <w:rFonts w:eastAsia="Times New Roman" w:cs="Arial"/>
      <w:szCs w:val="20"/>
      <w:lang w:val="pt-PT" w:eastAsia="es-ES"/>
    </w:rPr>
  </w:style>
  <w:style w:type="paragraph" w:customStyle="1" w:styleId="TM-0">
    <w:name w:val="TM-0"/>
    <w:basedOn w:val="Normal"/>
    <w:rsid w:val="00A73F38"/>
    <w:pPr>
      <w:spacing w:after="240" w:line="240" w:lineRule="auto"/>
    </w:pPr>
    <w:rPr>
      <w:rFonts w:eastAsia="Times New Roman" w:cs="Arial"/>
      <w:szCs w:val="20"/>
      <w:lang w:val="pt-PT" w:eastAsia="es-ES"/>
    </w:rPr>
  </w:style>
  <w:style w:type="paragraph" w:customStyle="1" w:styleId="TM-4n">
    <w:name w:val="TM-4n"/>
    <w:basedOn w:val="Normal"/>
    <w:link w:val="TM-4nChar"/>
    <w:rsid w:val="00A73F38"/>
    <w:pPr>
      <w:numPr>
        <w:numId w:val="4"/>
      </w:numPr>
      <w:tabs>
        <w:tab w:val="left" w:pos="1134"/>
      </w:tabs>
      <w:spacing w:after="240" w:line="240" w:lineRule="auto"/>
      <w:jc w:val="both"/>
    </w:pPr>
    <w:rPr>
      <w:rFonts w:eastAsia="Times New Roman" w:cs="Arial"/>
      <w:szCs w:val="20"/>
      <w:lang w:val="pt-PT" w:eastAsia="es-ES"/>
    </w:rPr>
  </w:style>
  <w:style w:type="paragraph" w:customStyle="1" w:styleId="TM-4">
    <w:name w:val="TM-4"/>
    <w:basedOn w:val="TM-4n"/>
    <w:uiPriority w:val="99"/>
    <w:rsid w:val="00A73F38"/>
    <w:pPr>
      <w:numPr>
        <w:numId w:val="0"/>
      </w:numPr>
      <w:tabs>
        <w:tab w:val="clear" w:pos="1134"/>
      </w:tabs>
      <w:ind w:left="851" w:firstLine="283"/>
    </w:pPr>
  </w:style>
  <w:style w:type="character" w:customStyle="1" w:styleId="mw-headline">
    <w:name w:val="mw-headline"/>
    <w:basedOn w:val="DefaultParagraphFont"/>
    <w:uiPriority w:val="99"/>
    <w:rsid w:val="00401D67"/>
    <w:rPr>
      <w:rFonts w:cs="Times New Roman"/>
    </w:rPr>
  </w:style>
  <w:style w:type="character" w:styleId="PageNumber">
    <w:name w:val="page number"/>
    <w:basedOn w:val="DefaultParagraphFont"/>
    <w:rsid w:val="00014F48"/>
  </w:style>
  <w:style w:type="character" w:customStyle="1" w:styleId="TM-4nChar">
    <w:name w:val="TM-4n Char"/>
    <w:basedOn w:val="DefaultParagraphFont"/>
    <w:link w:val="TM-4n"/>
    <w:rsid w:val="004D5B16"/>
    <w:rPr>
      <w:rFonts w:ascii="Arial" w:eastAsia="Times New Roman" w:hAnsi="Arial" w:cs="Arial"/>
      <w:szCs w:val="20"/>
      <w:lang w:val="pt-PT" w:eastAsia="es-ES"/>
    </w:rPr>
  </w:style>
  <w:style w:type="character" w:customStyle="1" w:styleId="TM-2nChar">
    <w:name w:val="TM-2n Char"/>
    <w:basedOn w:val="DefaultParagraphFont"/>
    <w:link w:val="TM-2n"/>
    <w:locked/>
    <w:rsid w:val="004D5B16"/>
    <w:rPr>
      <w:rFonts w:ascii="Arial" w:eastAsia="Times New Roman" w:hAnsi="Arial" w:cs="Arial"/>
      <w:szCs w:val="20"/>
      <w:lang w:val="pt-PT" w:eastAsia="es-ES"/>
    </w:rPr>
  </w:style>
  <w:style w:type="character" w:customStyle="1" w:styleId="apple-style-span">
    <w:name w:val="apple-style-span"/>
    <w:basedOn w:val="DefaultParagraphFont"/>
    <w:rsid w:val="00F47FA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ZW" w:eastAsia="en-ZW"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image" Target="media/image83.jpeg"/><Relationship Id="rId21" Type="http://schemas.openxmlformats.org/officeDocument/2006/relationships/diagramColors" Target="diagrams/colors1.xml"/><Relationship Id="rId42" Type="http://schemas.openxmlformats.org/officeDocument/2006/relationships/image" Target="media/image21.png"/><Relationship Id="rId47" Type="http://schemas.openxmlformats.org/officeDocument/2006/relationships/image" Target="media/image26.png"/><Relationship Id="rId63" Type="http://schemas.openxmlformats.org/officeDocument/2006/relationships/image" Target="media/image36.png"/><Relationship Id="rId68" Type="http://schemas.openxmlformats.org/officeDocument/2006/relationships/image" Target="media/image41.png"/><Relationship Id="rId84" Type="http://schemas.openxmlformats.org/officeDocument/2006/relationships/image" Target="media/image57.jpeg"/><Relationship Id="rId89" Type="http://schemas.openxmlformats.org/officeDocument/2006/relationships/diagramData" Target="diagrams/data4.xml"/><Relationship Id="rId112" Type="http://schemas.openxmlformats.org/officeDocument/2006/relationships/image" Target="media/image78.jpeg"/><Relationship Id="rId133" Type="http://schemas.openxmlformats.org/officeDocument/2006/relationships/image" Target="media/image98.jpeg"/><Relationship Id="rId138" Type="http://schemas.openxmlformats.org/officeDocument/2006/relationships/image" Target="media/image103.jpeg"/><Relationship Id="rId154" Type="http://schemas.openxmlformats.org/officeDocument/2006/relationships/hyperlink" Target="http://www.criasaude.com.br/N2808/doencas/tuberculose.html" TargetMode="External"/><Relationship Id="rId159" Type="http://schemas.openxmlformats.org/officeDocument/2006/relationships/image" Target="media/image108.png"/><Relationship Id="rId16" Type="http://schemas.openxmlformats.org/officeDocument/2006/relationships/footer" Target="footer1.xml"/><Relationship Id="rId107" Type="http://schemas.openxmlformats.org/officeDocument/2006/relationships/hyperlink" Target="http://en.wikipedia.org/wiki/File:Trypanosoma_sp._PHIL_613_lores.jpg" TargetMode="External"/><Relationship Id="rId11" Type="http://schemas.openxmlformats.org/officeDocument/2006/relationships/image" Target="media/image2.jpeg"/><Relationship Id="rId32" Type="http://schemas.openxmlformats.org/officeDocument/2006/relationships/image" Target="media/image11.png"/><Relationship Id="rId37" Type="http://schemas.openxmlformats.org/officeDocument/2006/relationships/image" Target="media/image16.png"/><Relationship Id="rId53" Type="http://schemas.openxmlformats.org/officeDocument/2006/relationships/image" Target="media/image31.png"/><Relationship Id="rId58" Type="http://schemas.openxmlformats.org/officeDocument/2006/relationships/diagramColors" Target="diagrams/colors3.xml"/><Relationship Id="rId74" Type="http://schemas.openxmlformats.org/officeDocument/2006/relationships/image" Target="media/image47.jpeg"/><Relationship Id="rId79" Type="http://schemas.openxmlformats.org/officeDocument/2006/relationships/image" Target="media/image52.png"/><Relationship Id="rId102" Type="http://schemas.openxmlformats.org/officeDocument/2006/relationships/image" Target="media/image69.jpeg"/><Relationship Id="rId123" Type="http://schemas.openxmlformats.org/officeDocument/2006/relationships/image" Target="media/image88.jpeg"/><Relationship Id="rId128" Type="http://schemas.openxmlformats.org/officeDocument/2006/relationships/image" Target="media/image93.jpeg"/><Relationship Id="rId144" Type="http://schemas.microsoft.com/office/2007/relationships/diagramDrawing" Target="diagrams/drawing5.xml"/><Relationship Id="rId149" Type="http://schemas.openxmlformats.org/officeDocument/2006/relationships/hyperlink" Target="http://www.criasaude.com.br/N2666/doencas/pneumonia.html" TargetMode="External"/><Relationship Id="rId5" Type="http://schemas.microsoft.com/office/2007/relationships/stylesWithEffects" Target="stylesWithEffects.xml"/><Relationship Id="rId90" Type="http://schemas.openxmlformats.org/officeDocument/2006/relationships/diagramLayout" Target="diagrams/layout4.xml"/><Relationship Id="rId95" Type="http://schemas.openxmlformats.org/officeDocument/2006/relationships/hyperlink" Target="http://student.ccbcmd.edu/courses/bio141/labmanua/lab22/trypan.html" TargetMode="External"/><Relationship Id="rId160" Type="http://schemas.openxmlformats.org/officeDocument/2006/relationships/image" Target="media/image109.wmf"/><Relationship Id="rId165" Type="http://schemas.openxmlformats.org/officeDocument/2006/relationships/oleObject" Target="embeddings/oleObject4.bin"/><Relationship Id="rId22" Type="http://schemas.microsoft.com/office/2007/relationships/diagramDrawing" Target="diagrams/drawing1.xml"/><Relationship Id="rId27" Type="http://schemas.openxmlformats.org/officeDocument/2006/relationships/diagramData" Target="diagrams/data2.xml"/><Relationship Id="rId43" Type="http://schemas.openxmlformats.org/officeDocument/2006/relationships/image" Target="media/image22.gif"/><Relationship Id="rId48" Type="http://schemas.openxmlformats.org/officeDocument/2006/relationships/image" Target="media/image27.png"/><Relationship Id="rId64" Type="http://schemas.openxmlformats.org/officeDocument/2006/relationships/image" Target="media/image37.png"/><Relationship Id="rId69" Type="http://schemas.openxmlformats.org/officeDocument/2006/relationships/image" Target="media/image42.png"/><Relationship Id="rId113" Type="http://schemas.openxmlformats.org/officeDocument/2006/relationships/image" Target="media/image79.jpeg"/><Relationship Id="rId118" Type="http://schemas.openxmlformats.org/officeDocument/2006/relationships/image" Target="media/image84.jpeg"/><Relationship Id="rId134" Type="http://schemas.openxmlformats.org/officeDocument/2006/relationships/image" Target="media/image99.jpeg"/><Relationship Id="rId139" Type="http://schemas.openxmlformats.org/officeDocument/2006/relationships/image" Target="media/image104.gif"/><Relationship Id="rId80" Type="http://schemas.openxmlformats.org/officeDocument/2006/relationships/image" Target="media/image53.png"/><Relationship Id="rId85" Type="http://schemas.openxmlformats.org/officeDocument/2006/relationships/image" Target="media/image58.jpeg"/><Relationship Id="rId150" Type="http://schemas.openxmlformats.org/officeDocument/2006/relationships/hyperlink" Target="http://www.criasaude.com.br/N1901/doencas/meningite.html" TargetMode="External"/><Relationship Id="rId155" Type="http://schemas.openxmlformats.org/officeDocument/2006/relationships/hyperlink" Target="http://www.criasaude.com.br/N1881/doencas/cistite.html" TargetMode="External"/><Relationship Id="rId12" Type="http://schemas.openxmlformats.org/officeDocument/2006/relationships/image" Target="media/image3.emf"/><Relationship Id="rId17" Type="http://schemas.openxmlformats.org/officeDocument/2006/relationships/image" Target="media/image6.png"/><Relationship Id="rId33" Type="http://schemas.openxmlformats.org/officeDocument/2006/relationships/image" Target="media/image12.png"/><Relationship Id="rId38" Type="http://schemas.openxmlformats.org/officeDocument/2006/relationships/image" Target="media/image17.png"/><Relationship Id="rId59" Type="http://schemas.microsoft.com/office/2007/relationships/diagramDrawing" Target="diagrams/drawing3.xml"/><Relationship Id="rId103" Type="http://schemas.openxmlformats.org/officeDocument/2006/relationships/image" Target="media/image70.jpeg"/><Relationship Id="rId108" Type="http://schemas.openxmlformats.org/officeDocument/2006/relationships/image" Target="media/image74.jpeg"/><Relationship Id="rId124" Type="http://schemas.openxmlformats.org/officeDocument/2006/relationships/image" Target="media/image89.png"/><Relationship Id="rId129" Type="http://schemas.openxmlformats.org/officeDocument/2006/relationships/image" Target="media/image94.jpeg"/><Relationship Id="rId54" Type="http://schemas.openxmlformats.org/officeDocument/2006/relationships/image" Target="media/image32.png"/><Relationship Id="rId70" Type="http://schemas.openxmlformats.org/officeDocument/2006/relationships/image" Target="media/image43.png"/><Relationship Id="rId75" Type="http://schemas.openxmlformats.org/officeDocument/2006/relationships/image" Target="media/image48.jpeg"/><Relationship Id="rId91" Type="http://schemas.openxmlformats.org/officeDocument/2006/relationships/diagramQuickStyle" Target="diagrams/quickStyle4.xml"/><Relationship Id="rId96" Type="http://schemas.openxmlformats.org/officeDocument/2006/relationships/image" Target="media/image63.jpeg"/><Relationship Id="rId140" Type="http://schemas.openxmlformats.org/officeDocument/2006/relationships/diagramData" Target="diagrams/data5.xml"/><Relationship Id="rId145" Type="http://schemas.openxmlformats.org/officeDocument/2006/relationships/header" Target="header1.xml"/><Relationship Id="rId161" Type="http://schemas.openxmlformats.org/officeDocument/2006/relationships/oleObject" Target="embeddings/oleObject2.bin"/><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5.gif"/><Relationship Id="rId23" Type="http://schemas.openxmlformats.org/officeDocument/2006/relationships/image" Target="media/image7.png"/><Relationship Id="rId28" Type="http://schemas.openxmlformats.org/officeDocument/2006/relationships/diagramLayout" Target="diagrams/layout2.xml"/><Relationship Id="rId36" Type="http://schemas.openxmlformats.org/officeDocument/2006/relationships/image" Target="media/image15.png"/><Relationship Id="rId49" Type="http://schemas.openxmlformats.org/officeDocument/2006/relationships/image" Target="media/image28.png"/><Relationship Id="rId57" Type="http://schemas.openxmlformats.org/officeDocument/2006/relationships/diagramQuickStyle" Target="diagrams/quickStyle3.xml"/><Relationship Id="rId106" Type="http://schemas.openxmlformats.org/officeDocument/2006/relationships/image" Target="media/image73.jpeg"/><Relationship Id="rId114" Type="http://schemas.openxmlformats.org/officeDocument/2006/relationships/image" Target="media/image80.jpeg"/><Relationship Id="rId119" Type="http://schemas.openxmlformats.org/officeDocument/2006/relationships/hyperlink" Target="http://www.dpd.cdc.gov/" TargetMode="External"/><Relationship Id="rId127" Type="http://schemas.openxmlformats.org/officeDocument/2006/relationships/image" Target="media/image92.gif"/><Relationship Id="rId10" Type="http://schemas.openxmlformats.org/officeDocument/2006/relationships/image" Target="media/image1.gif"/><Relationship Id="rId31" Type="http://schemas.microsoft.com/office/2007/relationships/diagramDrawing" Target="diagrams/drawing2.xml"/><Relationship Id="rId44" Type="http://schemas.openxmlformats.org/officeDocument/2006/relationships/image" Target="media/image23.png"/><Relationship Id="rId52" Type="http://schemas.openxmlformats.org/officeDocument/2006/relationships/hyperlink" Target="http://pathmicro.med.sc.edu/portuguese/immuno-port-chapter17.htm" TargetMode="External"/><Relationship Id="rId60" Type="http://schemas.openxmlformats.org/officeDocument/2006/relationships/image" Target="media/image33.png"/><Relationship Id="rId65" Type="http://schemas.openxmlformats.org/officeDocument/2006/relationships/image" Target="media/image38.png"/><Relationship Id="rId73" Type="http://schemas.openxmlformats.org/officeDocument/2006/relationships/image" Target="media/image46.jpeg"/><Relationship Id="rId78" Type="http://schemas.openxmlformats.org/officeDocument/2006/relationships/image" Target="media/image51.jpeg"/><Relationship Id="rId81" Type="http://schemas.openxmlformats.org/officeDocument/2006/relationships/image" Target="media/image54.jpeg"/><Relationship Id="rId86" Type="http://schemas.openxmlformats.org/officeDocument/2006/relationships/image" Target="media/image59.jpeg"/><Relationship Id="rId94" Type="http://schemas.openxmlformats.org/officeDocument/2006/relationships/image" Target="media/image62.jpeg"/><Relationship Id="rId99" Type="http://schemas.openxmlformats.org/officeDocument/2006/relationships/image" Target="media/image66.jpeg"/><Relationship Id="rId101" Type="http://schemas.openxmlformats.org/officeDocument/2006/relationships/image" Target="media/image68.jpeg"/><Relationship Id="rId122" Type="http://schemas.openxmlformats.org/officeDocument/2006/relationships/image" Target="media/image87.jpeg"/><Relationship Id="rId130" Type="http://schemas.openxmlformats.org/officeDocument/2006/relationships/image" Target="media/image95.jpeg"/><Relationship Id="rId135" Type="http://schemas.openxmlformats.org/officeDocument/2006/relationships/image" Target="media/image100.jpeg"/><Relationship Id="rId143" Type="http://schemas.openxmlformats.org/officeDocument/2006/relationships/diagramColors" Target="diagrams/colors5.xml"/><Relationship Id="rId148" Type="http://schemas.openxmlformats.org/officeDocument/2006/relationships/hyperlink" Target="http://www.criasaude.com.br/N2228/doencas/bronquite.html" TargetMode="External"/><Relationship Id="rId151" Type="http://schemas.openxmlformats.org/officeDocument/2006/relationships/hyperlink" Target="http://www.criasaude.com.br/N2228/doencas/bronquite.html" TargetMode="External"/><Relationship Id="rId156" Type="http://schemas.openxmlformats.org/officeDocument/2006/relationships/image" Target="media/image105.jpeg"/><Relationship Id="rId164" Type="http://schemas.openxmlformats.org/officeDocument/2006/relationships/image" Target="media/image111.wmf"/><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diagramData" Target="diagrams/data1.xml"/><Relationship Id="rId39" Type="http://schemas.openxmlformats.org/officeDocument/2006/relationships/image" Target="media/image18.png"/><Relationship Id="rId109" Type="http://schemas.openxmlformats.org/officeDocument/2006/relationships/image" Target="media/image75.gif"/><Relationship Id="rId34" Type="http://schemas.openxmlformats.org/officeDocument/2006/relationships/image" Target="media/image13.png"/><Relationship Id="rId50" Type="http://schemas.openxmlformats.org/officeDocument/2006/relationships/image" Target="media/image29.emf"/><Relationship Id="rId55" Type="http://schemas.openxmlformats.org/officeDocument/2006/relationships/diagramData" Target="diagrams/data3.xml"/><Relationship Id="rId76" Type="http://schemas.openxmlformats.org/officeDocument/2006/relationships/image" Target="media/image49.png"/><Relationship Id="rId97" Type="http://schemas.openxmlformats.org/officeDocument/2006/relationships/image" Target="media/image64.gif"/><Relationship Id="rId104" Type="http://schemas.openxmlformats.org/officeDocument/2006/relationships/image" Target="media/image71.jpeg"/><Relationship Id="rId120" Type="http://schemas.openxmlformats.org/officeDocument/2006/relationships/image" Target="media/image85.jpeg"/><Relationship Id="rId125" Type="http://schemas.openxmlformats.org/officeDocument/2006/relationships/image" Target="media/image90.jpeg"/><Relationship Id="rId141" Type="http://schemas.openxmlformats.org/officeDocument/2006/relationships/diagramLayout" Target="diagrams/layout5.xml"/><Relationship Id="rId146" Type="http://schemas.openxmlformats.org/officeDocument/2006/relationships/footer" Target="footer2.xml"/><Relationship Id="rId167"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image" Target="media/image44.png"/><Relationship Id="rId92" Type="http://schemas.openxmlformats.org/officeDocument/2006/relationships/diagramColors" Target="diagrams/colors4.xml"/><Relationship Id="rId162" Type="http://schemas.openxmlformats.org/officeDocument/2006/relationships/image" Target="media/image110.wmf"/><Relationship Id="rId2" Type="http://schemas.openxmlformats.org/officeDocument/2006/relationships/customXml" Target="../customXml/item2.xml"/><Relationship Id="rId29" Type="http://schemas.openxmlformats.org/officeDocument/2006/relationships/diagramQuickStyle" Target="diagrams/quickStyle2.xml"/><Relationship Id="rId24" Type="http://schemas.openxmlformats.org/officeDocument/2006/relationships/image" Target="media/image8.png"/><Relationship Id="rId40" Type="http://schemas.openxmlformats.org/officeDocument/2006/relationships/image" Target="media/image19.png"/><Relationship Id="rId45" Type="http://schemas.openxmlformats.org/officeDocument/2006/relationships/image" Target="media/image24.png"/><Relationship Id="rId66" Type="http://schemas.openxmlformats.org/officeDocument/2006/relationships/image" Target="media/image39.png"/><Relationship Id="rId87" Type="http://schemas.openxmlformats.org/officeDocument/2006/relationships/image" Target="media/image60.jpeg"/><Relationship Id="rId110" Type="http://schemas.openxmlformats.org/officeDocument/2006/relationships/image" Target="media/image76.jpeg"/><Relationship Id="rId115" Type="http://schemas.openxmlformats.org/officeDocument/2006/relationships/image" Target="media/image81.jpeg"/><Relationship Id="rId131" Type="http://schemas.openxmlformats.org/officeDocument/2006/relationships/image" Target="media/image96.jpeg"/><Relationship Id="rId136" Type="http://schemas.openxmlformats.org/officeDocument/2006/relationships/image" Target="media/image101.jpeg"/><Relationship Id="rId157" Type="http://schemas.openxmlformats.org/officeDocument/2006/relationships/image" Target="media/image106.jpeg"/><Relationship Id="rId61" Type="http://schemas.openxmlformats.org/officeDocument/2006/relationships/image" Target="media/image34.png"/><Relationship Id="rId82" Type="http://schemas.openxmlformats.org/officeDocument/2006/relationships/image" Target="media/image55.jpeg"/><Relationship Id="rId152" Type="http://schemas.openxmlformats.org/officeDocument/2006/relationships/hyperlink" Target="http://www.criasaude.com.br/N2666/doencas/pneumonia.html" TargetMode="External"/><Relationship Id="rId19" Type="http://schemas.openxmlformats.org/officeDocument/2006/relationships/diagramLayout" Target="diagrams/layout1.xml"/><Relationship Id="rId14" Type="http://schemas.openxmlformats.org/officeDocument/2006/relationships/image" Target="media/image4.jpeg"/><Relationship Id="rId30" Type="http://schemas.openxmlformats.org/officeDocument/2006/relationships/diagramColors" Target="diagrams/colors2.xml"/><Relationship Id="rId35" Type="http://schemas.openxmlformats.org/officeDocument/2006/relationships/image" Target="media/image14.png"/><Relationship Id="rId56" Type="http://schemas.openxmlformats.org/officeDocument/2006/relationships/diagramLayout" Target="diagrams/layout3.xml"/><Relationship Id="rId77" Type="http://schemas.openxmlformats.org/officeDocument/2006/relationships/image" Target="media/image50.png"/><Relationship Id="rId100" Type="http://schemas.openxmlformats.org/officeDocument/2006/relationships/image" Target="media/image67.jpeg"/><Relationship Id="rId105" Type="http://schemas.openxmlformats.org/officeDocument/2006/relationships/image" Target="media/image72.jpeg"/><Relationship Id="rId126" Type="http://schemas.openxmlformats.org/officeDocument/2006/relationships/image" Target="media/image91.jpeg"/><Relationship Id="rId147" Type="http://schemas.openxmlformats.org/officeDocument/2006/relationships/header" Target="header2.xml"/><Relationship Id="rId8" Type="http://schemas.openxmlformats.org/officeDocument/2006/relationships/footnotes" Target="footnotes.xml"/><Relationship Id="rId51" Type="http://schemas.openxmlformats.org/officeDocument/2006/relationships/image" Target="media/image30.emf"/><Relationship Id="rId72" Type="http://schemas.openxmlformats.org/officeDocument/2006/relationships/image" Target="media/image45.jpeg"/><Relationship Id="rId93" Type="http://schemas.microsoft.com/office/2007/relationships/diagramDrawing" Target="diagrams/drawing4.xml"/><Relationship Id="rId98" Type="http://schemas.openxmlformats.org/officeDocument/2006/relationships/image" Target="media/image65.gif"/><Relationship Id="rId121" Type="http://schemas.openxmlformats.org/officeDocument/2006/relationships/image" Target="media/image86.png"/><Relationship Id="rId142" Type="http://schemas.openxmlformats.org/officeDocument/2006/relationships/diagramQuickStyle" Target="diagrams/quickStyle5.xml"/><Relationship Id="rId163" Type="http://schemas.openxmlformats.org/officeDocument/2006/relationships/oleObject" Target="embeddings/oleObject3.bin"/><Relationship Id="rId3" Type="http://schemas.openxmlformats.org/officeDocument/2006/relationships/numbering" Target="numbering.xml"/><Relationship Id="rId25" Type="http://schemas.openxmlformats.org/officeDocument/2006/relationships/image" Target="media/image9.png"/><Relationship Id="rId46" Type="http://schemas.openxmlformats.org/officeDocument/2006/relationships/image" Target="media/image25.png"/><Relationship Id="rId67" Type="http://schemas.openxmlformats.org/officeDocument/2006/relationships/image" Target="media/image40.png"/><Relationship Id="rId116" Type="http://schemas.openxmlformats.org/officeDocument/2006/relationships/image" Target="media/image82.jpeg"/><Relationship Id="rId137" Type="http://schemas.openxmlformats.org/officeDocument/2006/relationships/image" Target="media/image102.jpeg"/><Relationship Id="rId158" Type="http://schemas.openxmlformats.org/officeDocument/2006/relationships/image" Target="media/image107.jpeg"/><Relationship Id="rId20" Type="http://schemas.openxmlformats.org/officeDocument/2006/relationships/diagramQuickStyle" Target="diagrams/quickStyle1.xml"/><Relationship Id="rId41" Type="http://schemas.openxmlformats.org/officeDocument/2006/relationships/image" Target="media/image20.png"/><Relationship Id="rId62" Type="http://schemas.openxmlformats.org/officeDocument/2006/relationships/image" Target="media/image35.png"/><Relationship Id="rId83" Type="http://schemas.openxmlformats.org/officeDocument/2006/relationships/image" Target="media/image56.jpeg"/><Relationship Id="rId88" Type="http://schemas.openxmlformats.org/officeDocument/2006/relationships/image" Target="media/image61.jpeg"/><Relationship Id="rId111" Type="http://schemas.openxmlformats.org/officeDocument/2006/relationships/image" Target="media/image77.jpeg"/><Relationship Id="rId132" Type="http://schemas.openxmlformats.org/officeDocument/2006/relationships/image" Target="media/image97.jpeg"/><Relationship Id="rId153" Type="http://schemas.openxmlformats.org/officeDocument/2006/relationships/hyperlink" Target="http://www.criasaude.com.br/N1901/doencas/meningite.html"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05D4757-C713-46E5-BD3C-EA424EEBF6E3}" type="doc">
      <dgm:prSet loTypeId="urn:microsoft.com/office/officeart/2005/8/layout/hierarchy1" loCatId="hierarchy" qsTypeId="urn:microsoft.com/office/officeart/2005/8/quickstyle/simple3" qsCatId="simple" csTypeId="urn:microsoft.com/office/officeart/2005/8/colors/accent1_2" csCatId="accent1" phldr="1"/>
      <dgm:spPr/>
      <dgm:t>
        <a:bodyPr/>
        <a:lstStyle/>
        <a:p>
          <a:endParaRPr lang="en-GB"/>
        </a:p>
      </dgm:t>
    </dgm:pt>
    <dgm:pt modelId="{6E951453-E4ED-46A6-8BD5-19796522E8DD}">
      <dgm:prSet phldrT="[Text]" custT="1"/>
      <dgm:spPr/>
      <dgm:t>
        <a:bodyPr/>
        <a:lstStyle/>
        <a:p>
          <a:r>
            <a:rPr lang="en-GB" sz="1100" b="1">
              <a:latin typeface="Arial" pitchFamily="34" charset="0"/>
              <a:cs typeface="Arial" pitchFamily="34" charset="0"/>
            </a:rPr>
            <a:t>Células</a:t>
          </a:r>
        </a:p>
      </dgm:t>
    </dgm:pt>
    <dgm:pt modelId="{8B2849F3-96D7-4663-A189-C52C6DD49E1B}" type="parTrans" cxnId="{68BCA71D-AE78-4E16-B783-DB7F932216F6}">
      <dgm:prSet/>
      <dgm:spPr/>
      <dgm:t>
        <a:bodyPr/>
        <a:lstStyle/>
        <a:p>
          <a:endParaRPr lang="en-GB" sz="1100" b="1">
            <a:latin typeface="Arial" pitchFamily="34" charset="0"/>
            <a:cs typeface="Arial" pitchFamily="34" charset="0"/>
          </a:endParaRPr>
        </a:p>
      </dgm:t>
    </dgm:pt>
    <dgm:pt modelId="{4C80D5F0-A79B-4301-A1A5-6F3F7F890D23}" type="sibTrans" cxnId="{68BCA71D-AE78-4E16-B783-DB7F932216F6}">
      <dgm:prSet/>
      <dgm:spPr/>
      <dgm:t>
        <a:bodyPr/>
        <a:lstStyle/>
        <a:p>
          <a:endParaRPr lang="en-GB" sz="1100" b="1">
            <a:latin typeface="Arial" pitchFamily="34" charset="0"/>
            <a:cs typeface="Arial" pitchFamily="34" charset="0"/>
          </a:endParaRPr>
        </a:p>
      </dgm:t>
    </dgm:pt>
    <dgm:pt modelId="{A3990704-266D-47D1-A77C-4665C1857ECA}">
      <dgm:prSet phldrT="[Text]" custT="1"/>
      <dgm:spPr/>
      <dgm:t>
        <a:bodyPr/>
        <a:lstStyle/>
        <a:p>
          <a:r>
            <a:rPr lang="en-GB" sz="1100" b="1">
              <a:latin typeface="Arial" pitchFamily="34" charset="0"/>
              <a:cs typeface="Arial" pitchFamily="34" charset="0"/>
            </a:rPr>
            <a:t>Eucariontes </a:t>
          </a:r>
        </a:p>
      </dgm:t>
    </dgm:pt>
    <dgm:pt modelId="{FDBA8C6F-BFFA-4982-B059-AEC16D5F25ED}" type="parTrans" cxnId="{943503E2-E608-4501-9D99-A7A795457762}">
      <dgm:prSet/>
      <dgm:spPr/>
      <dgm:t>
        <a:bodyPr/>
        <a:lstStyle/>
        <a:p>
          <a:endParaRPr lang="en-GB" sz="1100" b="1">
            <a:latin typeface="Arial" pitchFamily="34" charset="0"/>
            <a:cs typeface="Arial" pitchFamily="34" charset="0"/>
          </a:endParaRPr>
        </a:p>
      </dgm:t>
    </dgm:pt>
    <dgm:pt modelId="{CEC01E1E-43E9-4A08-B2C7-8498E90E7C22}" type="sibTrans" cxnId="{943503E2-E608-4501-9D99-A7A795457762}">
      <dgm:prSet/>
      <dgm:spPr/>
      <dgm:t>
        <a:bodyPr/>
        <a:lstStyle/>
        <a:p>
          <a:endParaRPr lang="en-GB" sz="1100" b="1">
            <a:latin typeface="Arial" pitchFamily="34" charset="0"/>
            <a:cs typeface="Arial" pitchFamily="34" charset="0"/>
          </a:endParaRPr>
        </a:p>
      </dgm:t>
    </dgm:pt>
    <dgm:pt modelId="{464B4175-19BA-49F3-9A85-31A9536C4236}">
      <dgm:prSet phldrT="[Text]" custT="1"/>
      <dgm:spPr/>
      <dgm:t>
        <a:bodyPr/>
        <a:lstStyle/>
        <a:p>
          <a:r>
            <a:rPr lang="en-GB" sz="1100" b="1">
              <a:latin typeface="Arial" pitchFamily="34" charset="0"/>
              <a:cs typeface="Arial" pitchFamily="34" charset="0"/>
            </a:rPr>
            <a:t>Células humanas e animais</a:t>
          </a:r>
        </a:p>
        <a:p>
          <a:r>
            <a:rPr lang="en-GB" sz="1100" b="1">
              <a:latin typeface="Arial" pitchFamily="34" charset="0"/>
              <a:cs typeface="Arial" pitchFamily="34" charset="0"/>
            </a:rPr>
            <a:t>Protozoários</a:t>
          </a:r>
        </a:p>
        <a:p>
          <a:r>
            <a:rPr lang="en-GB" sz="1100" b="1">
              <a:latin typeface="Arial" pitchFamily="34" charset="0"/>
              <a:cs typeface="Arial" pitchFamily="34" charset="0"/>
            </a:rPr>
            <a:t>Fungos</a:t>
          </a:r>
        </a:p>
        <a:p>
          <a:r>
            <a:rPr lang="en-GB" sz="1100" b="1">
              <a:latin typeface="Arial" pitchFamily="34" charset="0"/>
              <a:cs typeface="Arial" pitchFamily="34" charset="0"/>
            </a:rPr>
            <a:t>Plantas</a:t>
          </a:r>
        </a:p>
      </dgm:t>
    </dgm:pt>
    <dgm:pt modelId="{9BA3FA54-57C1-43BA-90E7-78B2F6EC5438}" type="parTrans" cxnId="{8F4AEFFF-B71E-4E95-BB2E-C0B1533DB3B7}">
      <dgm:prSet/>
      <dgm:spPr/>
      <dgm:t>
        <a:bodyPr/>
        <a:lstStyle/>
        <a:p>
          <a:endParaRPr lang="en-GB" sz="1100" b="1">
            <a:latin typeface="Arial" pitchFamily="34" charset="0"/>
            <a:cs typeface="Arial" pitchFamily="34" charset="0"/>
          </a:endParaRPr>
        </a:p>
      </dgm:t>
    </dgm:pt>
    <dgm:pt modelId="{4D8B54FA-29E7-4464-A2C4-B377E5F6B83C}" type="sibTrans" cxnId="{8F4AEFFF-B71E-4E95-BB2E-C0B1533DB3B7}">
      <dgm:prSet/>
      <dgm:spPr/>
      <dgm:t>
        <a:bodyPr/>
        <a:lstStyle/>
        <a:p>
          <a:endParaRPr lang="en-GB" sz="1100" b="1">
            <a:latin typeface="Arial" pitchFamily="34" charset="0"/>
            <a:cs typeface="Arial" pitchFamily="34" charset="0"/>
          </a:endParaRPr>
        </a:p>
      </dgm:t>
    </dgm:pt>
    <dgm:pt modelId="{F5A043C8-E23D-457E-9208-E240A3CF5B63}">
      <dgm:prSet phldrT="[Text]" custT="1"/>
      <dgm:spPr/>
      <dgm:t>
        <a:bodyPr/>
        <a:lstStyle/>
        <a:p>
          <a:r>
            <a:rPr lang="en-GB" sz="1100" b="1">
              <a:latin typeface="Arial" pitchFamily="34" charset="0"/>
              <a:cs typeface="Arial" pitchFamily="34" charset="0"/>
            </a:rPr>
            <a:t>Procariontes</a:t>
          </a:r>
        </a:p>
      </dgm:t>
    </dgm:pt>
    <dgm:pt modelId="{A115C594-FA04-4DA8-A7D8-F18778AB7E24}" type="parTrans" cxnId="{040671E5-A8CB-4E57-A2CD-33FADF6BB271}">
      <dgm:prSet/>
      <dgm:spPr/>
      <dgm:t>
        <a:bodyPr/>
        <a:lstStyle/>
        <a:p>
          <a:endParaRPr lang="en-GB" sz="1100" b="1">
            <a:latin typeface="Arial" pitchFamily="34" charset="0"/>
            <a:cs typeface="Arial" pitchFamily="34" charset="0"/>
          </a:endParaRPr>
        </a:p>
      </dgm:t>
    </dgm:pt>
    <dgm:pt modelId="{9C4620CC-FD81-4998-AF35-C1EFC21F96B5}" type="sibTrans" cxnId="{040671E5-A8CB-4E57-A2CD-33FADF6BB271}">
      <dgm:prSet/>
      <dgm:spPr/>
      <dgm:t>
        <a:bodyPr/>
        <a:lstStyle/>
        <a:p>
          <a:endParaRPr lang="en-GB" sz="1100" b="1">
            <a:latin typeface="Arial" pitchFamily="34" charset="0"/>
            <a:cs typeface="Arial" pitchFamily="34" charset="0"/>
          </a:endParaRPr>
        </a:p>
      </dgm:t>
    </dgm:pt>
    <dgm:pt modelId="{9E771271-3301-4B98-A5AF-769C170FFDF3}">
      <dgm:prSet phldrT="[Text]" custT="1"/>
      <dgm:spPr/>
      <dgm:t>
        <a:bodyPr/>
        <a:lstStyle/>
        <a:p>
          <a:r>
            <a:rPr lang="en-GB" sz="1100" b="1">
              <a:latin typeface="Arial" pitchFamily="34" charset="0"/>
              <a:cs typeface="Arial" pitchFamily="34" charset="0"/>
            </a:rPr>
            <a:t>Bactérias</a:t>
          </a:r>
        </a:p>
      </dgm:t>
    </dgm:pt>
    <dgm:pt modelId="{D38440FE-E9F3-4D5A-94C9-4527BC4F1E75}" type="parTrans" cxnId="{B2E522BA-0EF8-4248-9AC8-3D6232EA98C9}">
      <dgm:prSet/>
      <dgm:spPr/>
      <dgm:t>
        <a:bodyPr/>
        <a:lstStyle/>
        <a:p>
          <a:endParaRPr lang="en-GB" sz="1100" b="1">
            <a:latin typeface="Arial" pitchFamily="34" charset="0"/>
            <a:cs typeface="Arial" pitchFamily="34" charset="0"/>
          </a:endParaRPr>
        </a:p>
      </dgm:t>
    </dgm:pt>
    <dgm:pt modelId="{8DAD345A-95A0-4047-9198-EA2739A977B2}" type="sibTrans" cxnId="{B2E522BA-0EF8-4248-9AC8-3D6232EA98C9}">
      <dgm:prSet/>
      <dgm:spPr/>
      <dgm:t>
        <a:bodyPr/>
        <a:lstStyle/>
        <a:p>
          <a:endParaRPr lang="en-GB" sz="1100" b="1">
            <a:latin typeface="Arial" pitchFamily="34" charset="0"/>
            <a:cs typeface="Arial" pitchFamily="34" charset="0"/>
          </a:endParaRPr>
        </a:p>
      </dgm:t>
    </dgm:pt>
    <dgm:pt modelId="{D041773D-F3DD-450D-BF68-1B002D43ADA3}" type="pres">
      <dgm:prSet presAssocID="{505D4757-C713-46E5-BD3C-EA424EEBF6E3}" presName="hierChild1" presStyleCnt="0">
        <dgm:presLayoutVars>
          <dgm:chPref val="1"/>
          <dgm:dir/>
          <dgm:animOne val="branch"/>
          <dgm:animLvl val="lvl"/>
          <dgm:resizeHandles/>
        </dgm:presLayoutVars>
      </dgm:prSet>
      <dgm:spPr/>
      <dgm:t>
        <a:bodyPr/>
        <a:lstStyle/>
        <a:p>
          <a:endParaRPr lang="en-US"/>
        </a:p>
      </dgm:t>
    </dgm:pt>
    <dgm:pt modelId="{E60C77A6-0170-40AC-927D-4CDDFDA653CE}" type="pres">
      <dgm:prSet presAssocID="{6E951453-E4ED-46A6-8BD5-19796522E8DD}" presName="hierRoot1" presStyleCnt="0"/>
      <dgm:spPr/>
    </dgm:pt>
    <dgm:pt modelId="{1652688C-495A-4287-A016-D22DBCD92CFF}" type="pres">
      <dgm:prSet presAssocID="{6E951453-E4ED-46A6-8BD5-19796522E8DD}" presName="composite" presStyleCnt="0"/>
      <dgm:spPr/>
    </dgm:pt>
    <dgm:pt modelId="{7FAF0F5B-6CE1-4F9B-A89C-8320285F54DD}" type="pres">
      <dgm:prSet presAssocID="{6E951453-E4ED-46A6-8BD5-19796522E8DD}" presName="background" presStyleLbl="node0" presStyleIdx="0" presStyleCnt="1"/>
      <dgm:spPr/>
    </dgm:pt>
    <dgm:pt modelId="{88793566-CF23-47A9-A246-3FB94CEB4CD7}" type="pres">
      <dgm:prSet presAssocID="{6E951453-E4ED-46A6-8BD5-19796522E8DD}" presName="text" presStyleLbl="fgAcc0" presStyleIdx="0" presStyleCnt="1">
        <dgm:presLayoutVars>
          <dgm:chPref val="3"/>
        </dgm:presLayoutVars>
      </dgm:prSet>
      <dgm:spPr/>
      <dgm:t>
        <a:bodyPr/>
        <a:lstStyle/>
        <a:p>
          <a:endParaRPr lang="en-US"/>
        </a:p>
      </dgm:t>
    </dgm:pt>
    <dgm:pt modelId="{8C7384CC-8372-42E1-89E7-B842E5CD9020}" type="pres">
      <dgm:prSet presAssocID="{6E951453-E4ED-46A6-8BD5-19796522E8DD}" presName="hierChild2" presStyleCnt="0"/>
      <dgm:spPr/>
    </dgm:pt>
    <dgm:pt modelId="{BF7F2977-B07E-42B3-A304-D0A4E7FF4110}" type="pres">
      <dgm:prSet presAssocID="{FDBA8C6F-BFFA-4982-B059-AEC16D5F25ED}" presName="Name10" presStyleLbl="parChTrans1D2" presStyleIdx="0" presStyleCnt="2"/>
      <dgm:spPr/>
      <dgm:t>
        <a:bodyPr/>
        <a:lstStyle/>
        <a:p>
          <a:endParaRPr lang="en-US"/>
        </a:p>
      </dgm:t>
    </dgm:pt>
    <dgm:pt modelId="{6095EE95-4325-470E-832C-03A270F53178}" type="pres">
      <dgm:prSet presAssocID="{A3990704-266D-47D1-A77C-4665C1857ECA}" presName="hierRoot2" presStyleCnt="0"/>
      <dgm:spPr/>
    </dgm:pt>
    <dgm:pt modelId="{B1F641F5-BC83-42F7-A48D-643CC00850CE}" type="pres">
      <dgm:prSet presAssocID="{A3990704-266D-47D1-A77C-4665C1857ECA}" presName="composite2" presStyleCnt="0"/>
      <dgm:spPr/>
    </dgm:pt>
    <dgm:pt modelId="{6F78ED8F-35C7-4101-B18F-EEF9678C4C33}" type="pres">
      <dgm:prSet presAssocID="{A3990704-266D-47D1-A77C-4665C1857ECA}" presName="background2" presStyleLbl="node2" presStyleIdx="0" presStyleCnt="2"/>
      <dgm:spPr/>
    </dgm:pt>
    <dgm:pt modelId="{6D8EC188-0AA9-4550-9F6C-348D943CA084}" type="pres">
      <dgm:prSet presAssocID="{A3990704-266D-47D1-A77C-4665C1857ECA}" presName="text2" presStyleLbl="fgAcc2" presStyleIdx="0" presStyleCnt="2">
        <dgm:presLayoutVars>
          <dgm:chPref val="3"/>
        </dgm:presLayoutVars>
      </dgm:prSet>
      <dgm:spPr/>
      <dgm:t>
        <a:bodyPr/>
        <a:lstStyle/>
        <a:p>
          <a:endParaRPr lang="en-US"/>
        </a:p>
      </dgm:t>
    </dgm:pt>
    <dgm:pt modelId="{F1A942AE-655A-4B23-9FFD-C6F37DDE7723}" type="pres">
      <dgm:prSet presAssocID="{A3990704-266D-47D1-A77C-4665C1857ECA}" presName="hierChild3" presStyleCnt="0"/>
      <dgm:spPr/>
    </dgm:pt>
    <dgm:pt modelId="{D9FC3D16-71D6-4678-AB97-286523C1F3AD}" type="pres">
      <dgm:prSet presAssocID="{9BA3FA54-57C1-43BA-90E7-78B2F6EC5438}" presName="Name17" presStyleLbl="parChTrans1D3" presStyleIdx="0" presStyleCnt="2"/>
      <dgm:spPr/>
      <dgm:t>
        <a:bodyPr/>
        <a:lstStyle/>
        <a:p>
          <a:endParaRPr lang="en-US"/>
        </a:p>
      </dgm:t>
    </dgm:pt>
    <dgm:pt modelId="{62C6BD53-0A6B-4657-B9E5-338009338E52}" type="pres">
      <dgm:prSet presAssocID="{464B4175-19BA-49F3-9A85-31A9536C4236}" presName="hierRoot3" presStyleCnt="0"/>
      <dgm:spPr/>
    </dgm:pt>
    <dgm:pt modelId="{A6850AFC-1FE2-436A-B73D-20AD5DB4028F}" type="pres">
      <dgm:prSet presAssocID="{464B4175-19BA-49F3-9A85-31A9536C4236}" presName="composite3" presStyleCnt="0"/>
      <dgm:spPr/>
    </dgm:pt>
    <dgm:pt modelId="{FFDE711A-FB64-4A7A-BBCF-7895BA651018}" type="pres">
      <dgm:prSet presAssocID="{464B4175-19BA-49F3-9A85-31A9536C4236}" presName="background3" presStyleLbl="node3" presStyleIdx="0" presStyleCnt="2"/>
      <dgm:spPr/>
    </dgm:pt>
    <dgm:pt modelId="{E63037A8-A63E-472B-B6CE-E00268CBF253}" type="pres">
      <dgm:prSet presAssocID="{464B4175-19BA-49F3-9A85-31A9536C4236}" presName="text3" presStyleLbl="fgAcc3" presStyleIdx="0" presStyleCnt="2" custScaleX="199671" custScaleY="115567">
        <dgm:presLayoutVars>
          <dgm:chPref val="3"/>
        </dgm:presLayoutVars>
      </dgm:prSet>
      <dgm:spPr/>
      <dgm:t>
        <a:bodyPr/>
        <a:lstStyle/>
        <a:p>
          <a:endParaRPr lang="en-GB"/>
        </a:p>
      </dgm:t>
    </dgm:pt>
    <dgm:pt modelId="{AF828585-F799-4106-9407-E3B53AC7870B}" type="pres">
      <dgm:prSet presAssocID="{464B4175-19BA-49F3-9A85-31A9536C4236}" presName="hierChild4" presStyleCnt="0"/>
      <dgm:spPr/>
    </dgm:pt>
    <dgm:pt modelId="{84722A19-FB25-4419-9026-6EE28ED8A51E}" type="pres">
      <dgm:prSet presAssocID="{A115C594-FA04-4DA8-A7D8-F18778AB7E24}" presName="Name10" presStyleLbl="parChTrans1D2" presStyleIdx="1" presStyleCnt="2"/>
      <dgm:spPr/>
      <dgm:t>
        <a:bodyPr/>
        <a:lstStyle/>
        <a:p>
          <a:endParaRPr lang="en-US"/>
        </a:p>
      </dgm:t>
    </dgm:pt>
    <dgm:pt modelId="{6BD56811-3272-4D2A-9FF6-3A902B9DD4A2}" type="pres">
      <dgm:prSet presAssocID="{F5A043C8-E23D-457E-9208-E240A3CF5B63}" presName="hierRoot2" presStyleCnt="0"/>
      <dgm:spPr/>
    </dgm:pt>
    <dgm:pt modelId="{AA4CBD7D-541A-43F4-A3D0-0EB8EE942568}" type="pres">
      <dgm:prSet presAssocID="{F5A043C8-E23D-457E-9208-E240A3CF5B63}" presName="composite2" presStyleCnt="0"/>
      <dgm:spPr/>
    </dgm:pt>
    <dgm:pt modelId="{2D333852-921B-4ADC-9037-69201F2CFFB2}" type="pres">
      <dgm:prSet presAssocID="{F5A043C8-E23D-457E-9208-E240A3CF5B63}" presName="background2" presStyleLbl="node2" presStyleIdx="1" presStyleCnt="2"/>
      <dgm:spPr/>
    </dgm:pt>
    <dgm:pt modelId="{5BDCCD19-AE80-496E-8355-894C8856D4E3}" type="pres">
      <dgm:prSet presAssocID="{F5A043C8-E23D-457E-9208-E240A3CF5B63}" presName="text2" presStyleLbl="fgAcc2" presStyleIdx="1" presStyleCnt="2">
        <dgm:presLayoutVars>
          <dgm:chPref val="3"/>
        </dgm:presLayoutVars>
      </dgm:prSet>
      <dgm:spPr/>
      <dgm:t>
        <a:bodyPr/>
        <a:lstStyle/>
        <a:p>
          <a:endParaRPr lang="en-US"/>
        </a:p>
      </dgm:t>
    </dgm:pt>
    <dgm:pt modelId="{65664F4F-29AA-4AE8-8326-38AFD7094D7C}" type="pres">
      <dgm:prSet presAssocID="{F5A043C8-E23D-457E-9208-E240A3CF5B63}" presName="hierChild3" presStyleCnt="0"/>
      <dgm:spPr/>
    </dgm:pt>
    <dgm:pt modelId="{9B45428D-F1D6-432F-A89E-4D2A5910F3C9}" type="pres">
      <dgm:prSet presAssocID="{D38440FE-E9F3-4D5A-94C9-4527BC4F1E75}" presName="Name17" presStyleLbl="parChTrans1D3" presStyleIdx="1" presStyleCnt="2"/>
      <dgm:spPr/>
      <dgm:t>
        <a:bodyPr/>
        <a:lstStyle/>
        <a:p>
          <a:endParaRPr lang="en-US"/>
        </a:p>
      </dgm:t>
    </dgm:pt>
    <dgm:pt modelId="{C75F9D76-6469-48B1-855F-398B739E0DB5}" type="pres">
      <dgm:prSet presAssocID="{9E771271-3301-4B98-A5AF-769C170FFDF3}" presName="hierRoot3" presStyleCnt="0"/>
      <dgm:spPr/>
    </dgm:pt>
    <dgm:pt modelId="{C69DD5E0-CF42-4323-ABDE-01F85BF5E714}" type="pres">
      <dgm:prSet presAssocID="{9E771271-3301-4B98-A5AF-769C170FFDF3}" presName="composite3" presStyleCnt="0"/>
      <dgm:spPr/>
    </dgm:pt>
    <dgm:pt modelId="{DCD8811D-7B84-41CB-871B-2344E66DE7B2}" type="pres">
      <dgm:prSet presAssocID="{9E771271-3301-4B98-A5AF-769C170FFDF3}" presName="background3" presStyleLbl="node3" presStyleIdx="1" presStyleCnt="2"/>
      <dgm:spPr/>
    </dgm:pt>
    <dgm:pt modelId="{DDA5BD50-3A6C-4DB2-B71A-912E80EFB197}" type="pres">
      <dgm:prSet presAssocID="{9E771271-3301-4B98-A5AF-769C170FFDF3}" presName="text3" presStyleLbl="fgAcc3" presStyleIdx="1" presStyleCnt="2" custScaleX="112911" custScaleY="118031">
        <dgm:presLayoutVars>
          <dgm:chPref val="3"/>
        </dgm:presLayoutVars>
      </dgm:prSet>
      <dgm:spPr/>
      <dgm:t>
        <a:bodyPr/>
        <a:lstStyle/>
        <a:p>
          <a:endParaRPr lang="en-US"/>
        </a:p>
      </dgm:t>
    </dgm:pt>
    <dgm:pt modelId="{DB639E74-CCEE-478A-B5F6-EC045FDC79B4}" type="pres">
      <dgm:prSet presAssocID="{9E771271-3301-4B98-A5AF-769C170FFDF3}" presName="hierChild4" presStyleCnt="0"/>
      <dgm:spPr/>
    </dgm:pt>
  </dgm:ptLst>
  <dgm:cxnLst>
    <dgm:cxn modelId="{EB386911-8C98-4CE8-AFC6-00BD1A9634CB}" type="presOf" srcId="{A115C594-FA04-4DA8-A7D8-F18778AB7E24}" destId="{84722A19-FB25-4419-9026-6EE28ED8A51E}" srcOrd="0" destOrd="0" presId="urn:microsoft.com/office/officeart/2005/8/layout/hierarchy1"/>
    <dgm:cxn modelId="{1C19E8F4-2E0B-4561-8F1B-AC112EF819E7}" type="presOf" srcId="{D38440FE-E9F3-4D5A-94C9-4527BC4F1E75}" destId="{9B45428D-F1D6-432F-A89E-4D2A5910F3C9}" srcOrd="0" destOrd="0" presId="urn:microsoft.com/office/officeart/2005/8/layout/hierarchy1"/>
    <dgm:cxn modelId="{DA32F96C-A291-4542-B177-7A99622F7E28}" type="presOf" srcId="{464B4175-19BA-49F3-9A85-31A9536C4236}" destId="{E63037A8-A63E-472B-B6CE-E00268CBF253}" srcOrd="0" destOrd="0" presId="urn:microsoft.com/office/officeart/2005/8/layout/hierarchy1"/>
    <dgm:cxn modelId="{68BCA71D-AE78-4E16-B783-DB7F932216F6}" srcId="{505D4757-C713-46E5-BD3C-EA424EEBF6E3}" destId="{6E951453-E4ED-46A6-8BD5-19796522E8DD}" srcOrd="0" destOrd="0" parTransId="{8B2849F3-96D7-4663-A189-C52C6DD49E1B}" sibTransId="{4C80D5F0-A79B-4301-A1A5-6F3F7F890D23}"/>
    <dgm:cxn modelId="{8F4AEFFF-B71E-4E95-BB2E-C0B1533DB3B7}" srcId="{A3990704-266D-47D1-A77C-4665C1857ECA}" destId="{464B4175-19BA-49F3-9A85-31A9536C4236}" srcOrd="0" destOrd="0" parTransId="{9BA3FA54-57C1-43BA-90E7-78B2F6EC5438}" sibTransId="{4D8B54FA-29E7-4464-A2C4-B377E5F6B83C}"/>
    <dgm:cxn modelId="{D144A56B-0453-4CF7-AF51-4F3642B91E2F}" type="presOf" srcId="{9BA3FA54-57C1-43BA-90E7-78B2F6EC5438}" destId="{D9FC3D16-71D6-4678-AB97-286523C1F3AD}" srcOrd="0" destOrd="0" presId="urn:microsoft.com/office/officeart/2005/8/layout/hierarchy1"/>
    <dgm:cxn modelId="{B4C84817-0290-497F-8292-605EBDFDE44B}" type="presOf" srcId="{FDBA8C6F-BFFA-4982-B059-AEC16D5F25ED}" destId="{BF7F2977-B07E-42B3-A304-D0A4E7FF4110}" srcOrd="0" destOrd="0" presId="urn:microsoft.com/office/officeart/2005/8/layout/hierarchy1"/>
    <dgm:cxn modelId="{79B0327B-4A56-4A5F-96B8-3193E131DFA8}" type="presOf" srcId="{9E771271-3301-4B98-A5AF-769C170FFDF3}" destId="{DDA5BD50-3A6C-4DB2-B71A-912E80EFB197}" srcOrd="0" destOrd="0" presId="urn:microsoft.com/office/officeart/2005/8/layout/hierarchy1"/>
    <dgm:cxn modelId="{943503E2-E608-4501-9D99-A7A795457762}" srcId="{6E951453-E4ED-46A6-8BD5-19796522E8DD}" destId="{A3990704-266D-47D1-A77C-4665C1857ECA}" srcOrd="0" destOrd="0" parTransId="{FDBA8C6F-BFFA-4982-B059-AEC16D5F25ED}" sibTransId="{CEC01E1E-43E9-4A08-B2C7-8498E90E7C22}"/>
    <dgm:cxn modelId="{B1CB9618-2F03-407B-B4B2-41D66564F2D8}" type="presOf" srcId="{505D4757-C713-46E5-BD3C-EA424EEBF6E3}" destId="{D041773D-F3DD-450D-BF68-1B002D43ADA3}" srcOrd="0" destOrd="0" presId="urn:microsoft.com/office/officeart/2005/8/layout/hierarchy1"/>
    <dgm:cxn modelId="{8535DD21-18D5-42FD-8097-4FAAE2AB9D3A}" type="presOf" srcId="{A3990704-266D-47D1-A77C-4665C1857ECA}" destId="{6D8EC188-0AA9-4550-9F6C-348D943CA084}" srcOrd="0" destOrd="0" presId="urn:microsoft.com/office/officeart/2005/8/layout/hierarchy1"/>
    <dgm:cxn modelId="{040671E5-A8CB-4E57-A2CD-33FADF6BB271}" srcId="{6E951453-E4ED-46A6-8BD5-19796522E8DD}" destId="{F5A043C8-E23D-457E-9208-E240A3CF5B63}" srcOrd="1" destOrd="0" parTransId="{A115C594-FA04-4DA8-A7D8-F18778AB7E24}" sibTransId="{9C4620CC-FD81-4998-AF35-C1EFC21F96B5}"/>
    <dgm:cxn modelId="{C63F9EE2-0889-4423-8D7A-554E2EC0A47B}" type="presOf" srcId="{6E951453-E4ED-46A6-8BD5-19796522E8DD}" destId="{88793566-CF23-47A9-A246-3FB94CEB4CD7}" srcOrd="0" destOrd="0" presId="urn:microsoft.com/office/officeart/2005/8/layout/hierarchy1"/>
    <dgm:cxn modelId="{B2E522BA-0EF8-4248-9AC8-3D6232EA98C9}" srcId="{F5A043C8-E23D-457E-9208-E240A3CF5B63}" destId="{9E771271-3301-4B98-A5AF-769C170FFDF3}" srcOrd="0" destOrd="0" parTransId="{D38440FE-E9F3-4D5A-94C9-4527BC4F1E75}" sibTransId="{8DAD345A-95A0-4047-9198-EA2739A977B2}"/>
    <dgm:cxn modelId="{50433A38-F20E-4F68-88F9-8E234A9E9533}" type="presOf" srcId="{F5A043C8-E23D-457E-9208-E240A3CF5B63}" destId="{5BDCCD19-AE80-496E-8355-894C8856D4E3}" srcOrd="0" destOrd="0" presId="urn:microsoft.com/office/officeart/2005/8/layout/hierarchy1"/>
    <dgm:cxn modelId="{027D9EA6-6AAB-48F0-A746-3D92212C8064}" type="presParOf" srcId="{D041773D-F3DD-450D-BF68-1B002D43ADA3}" destId="{E60C77A6-0170-40AC-927D-4CDDFDA653CE}" srcOrd="0" destOrd="0" presId="urn:microsoft.com/office/officeart/2005/8/layout/hierarchy1"/>
    <dgm:cxn modelId="{80313936-962C-431E-8BF9-25C3AFB9077C}" type="presParOf" srcId="{E60C77A6-0170-40AC-927D-4CDDFDA653CE}" destId="{1652688C-495A-4287-A016-D22DBCD92CFF}" srcOrd="0" destOrd="0" presId="urn:microsoft.com/office/officeart/2005/8/layout/hierarchy1"/>
    <dgm:cxn modelId="{77D3D826-8170-4759-ACF1-107D1FFF9812}" type="presParOf" srcId="{1652688C-495A-4287-A016-D22DBCD92CFF}" destId="{7FAF0F5B-6CE1-4F9B-A89C-8320285F54DD}" srcOrd="0" destOrd="0" presId="urn:microsoft.com/office/officeart/2005/8/layout/hierarchy1"/>
    <dgm:cxn modelId="{E0849C1F-2E0A-4735-8BA5-1E23D2376959}" type="presParOf" srcId="{1652688C-495A-4287-A016-D22DBCD92CFF}" destId="{88793566-CF23-47A9-A246-3FB94CEB4CD7}" srcOrd="1" destOrd="0" presId="urn:microsoft.com/office/officeart/2005/8/layout/hierarchy1"/>
    <dgm:cxn modelId="{FD9C5992-8AE7-403C-88BB-ADB83128274A}" type="presParOf" srcId="{E60C77A6-0170-40AC-927D-4CDDFDA653CE}" destId="{8C7384CC-8372-42E1-89E7-B842E5CD9020}" srcOrd="1" destOrd="0" presId="urn:microsoft.com/office/officeart/2005/8/layout/hierarchy1"/>
    <dgm:cxn modelId="{4EA0B4F8-878C-4BAE-9823-A870485BDE63}" type="presParOf" srcId="{8C7384CC-8372-42E1-89E7-B842E5CD9020}" destId="{BF7F2977-B07E-42B3-A304-D0A4E7FF4110}" srcOrd="0" destOrd="0" presId="urn:microsoft.com/office/officeart/2005/8/layout/hierarchy1"/>
    <dgm:cxn modelId="{BCC63130-3E2A-4F6E-BE72-51EC521A63EE}" type="presParOf" srcId="{8C7384CC-8372-42E1-89E7-B842E5CD9020}" destId="{6095EE95-4325-470E-832C-03A270F53178}" srcOrd="1" destOrd="0" presId="urn:microsoft.com/office/officeart/2005/8/layout/hierarchy1"/>
    <dgm:cxn modelId="{063AF6E6-5BA9-4E58-93BA-555330ED9ACD}" type="presParOf" srcId="{6095EE95-4325-470E-832C-03A270F53178}" destId="{B1F641F5-BC83-42F7-A48D-643CC00850CE}" srcOrd="0" destOrd="0" presId="urn:microsoft.com/office/officeart/2005/8/layout/hierarchy1"/>
    <dgm:cxn modelId="{23380A05-0D5E-4D69-9FFB-E312B29997DF}" type="presParOf" srcId="{B1F641F5-BC83-42F7-A48D-643CC00850CE}" destId="{6F78ED8F-35C7-4101-B18F-EEF9678C4C33}" srcOrd="0" destOrd="0" presId="urn:microsoft.com/office/officeart/2005/8/layout/hierarchy1"/>
    <dgm:cxn modelId="{62B5B0A2-D642-4556-B10F-65BB90A37914}" type="presParOf" srcId="{B1F641F5-BC83-42F7-A48D-643CC00850CE}" destId="{6D8EC188-0AA9-4550-9F6C-348D943CA084}" srcOrd="1" destOrd="0" presId="urn:microsoft.com/office/officeart/2005/8/layout/hierarchy1"/>
    <dgm:cxn modelId="{825B6D71-E1A3-47E6-95DA-6EACA3DFB686}" type="presParOf" srcId="{6095EE95-4325-470E-832C-03A270F53178}" destId="{F1A942AE-655A-4B23-9FFD-C6F37DDE7723}" srcOrd="1" destOrd="0" presId="urn:microsoft.com/office/officeart/2005/8/layout/hierarchy1"/>
    <dgm:cxn modelId="{C7E98475-2CBE-4D3B-A779-E9FF52969FC4}" type="presParOf" srcId="{F1A942AE-655A-4B23-9FFD-C6F37DDE7723}" destId="{D9FC3D16-71D6-4678-AB97-286523C1F3AD}" srcOrd="0" destOrd="0" presId="urn:microsoft.com/office/officeart/2005/8/layout/hierarchy1"/>
    <dgm:cxn modelId="{1F3CB7B8-A637-4866-82E1-84B004E66CA8}" type="presParOf" srcId="{F1A942AE-655A-4B23-9FFD-C6F37DDE7723}" destId="{62C6BD53-0A6B-4657-B9E5-338009338E52}" srcOrd="1" destOrd="0" presId="urn:microsoft.com/office/officeart/2005/8/layout/hierarchy1"/>
    <dgm:cxn modelId="{F334869F-BB78-44D9-8E8D-5CEC71212556}" type="presParOf" srcId="{62C6BD53-0A6B-4657-B9E5-338009338E52}" destId="{A6850AFC-1FE2-436A-B73D-20AD5DB4028F}" srcOrd="0" destOrd="0" presId="urn:microsoft.com/office/officeart/2005/8/layout/hierarchy1"/>
    <dgm:cxn modelId="{C197319A-BFB4-44D9-8C80-6301295D063C}" type="presParOf" srcId="{A6850AFC-1FE2-436A-B73D-20AD5DB4028F}" destId="{FFDE711A-FB64-4A7A-BBCF-7895BA651018}" srcOrd="0" destOrd="0" presId="urn:microsoft.com/office/officeart/2005/8/layout/hierarchy1"/>
    <dgm:cxn modelId="{AFA7FB77-95B9-445A-B0BA-A82A9A5A3E79}" type="presParOf" srcId="{A6850AFC-1FE2-436A-B73D-20AD5DB4028F}" destId="{E63037A8-A63E-472B-B6CE-E00268CBF253}" srcOrd="1" destOrd="0" presId="urn:microsoft.com/office/officeart/2005/8/layout/hierarchy1"/>
    <dgm:cxn modelId="{55FE0D73-C186-46AD-A558-81893BE7A241}" type="presParOf" srcId="{62C6BD53-0A6B-4657-B9E5-338009338E52}" destId="{AF828585-F799-4106-9407-E3B53AC7870B}" srcOrd="1" destOrd="0" presId="urn:microsoft.com/office/officeart/2005/8/layout/hierarchy1"/>
    <dgm:cxn modelId="{B39E3255-FF6C-43A3-A1A9-F82FC9A51619}" type="presParOf" srcId="{8C7384CC-8372-42E1-89E7-B842E5CD9020}" destId="{84722A19-FB25-4419-9026-6EE28ED8A51E}" srcOrd="2" destOrd="0" presId="urn:microsoft.com/office/officeart/2005/8/layout/hierarchy1"/>
    <dgm:cxn modelId="{06E982D9-8308-44FC-AEE4-614E1E95B918}" type="presParOf" srcId="{8C7384CC-8372-42E1-89E7-B842E5CD9020}" destId="{6BD56811-3272-4D2A-9FF6-3A902B9DD4A2}" srcOrd="3" destOrd="0" presId="urn:microsoft.com/office/officeart/2005/8/layout/hierarchy1"/>
    <dgm:cxn modelId="{B59A5BA3-FD8F-449A-8D79-C3229D8EF76D}" type="presParOf" srcId="{6BD56811-3272-4D2A-9FF6-3A902B9DD4A2}" destId="{AA4CBD7D-541A-43F4-A3D0-0EB8EE942568}" srcOrd="0" destOrd="0" presId="urn:microsoft.com/office/officeart/2005/8/layout/hierarchy1"/>
    <dgm:cxn modelId="{5AB1C72A-6FD8-4B08-8791-2FF8D2313C06}" type="presParOf" srcId="{AA4CBD7D-541A-43F4-A3D0-0EB8EE942568}" destId="{2D333852-921B-4ADC-9037-69201F2CFFB2}" srcOrd="0" destOrd="0" presId="urn:microsoft.com/office/officeart/2005/8/layout/hierarchy1"/>
    <dgm:cxn modelId="{E6962185-D0F5-4925-A43D-287CE899D799}" type="presParOf" srcId="{AA4CBD7D-541A-43F4-A3D0-0EB8EE942568}" destId="{5BDCCD19-AE80-496E-8355-894C8856D4E3}" srcOrd="1" destOrd="0" presId="urn:microsoft.com/office/officeart/2005/8/layout/hierarchy1"/>
    <dgm:cxn modelId="{D87A6255-41B9-4CD8-85A9-01AC4D11AD7E}" type="presParOf" srcId="{6BD56811-3272-4D2A-9FF6-3A902B9DD4A2}" destId="{65664F4F-29AA-4AE8-8326-38AFD7094D7C}" srcOrd="1" destOrd="0" presId="urn:microsoft.com/office/officeart/2005/8/layout/hierarchy1"/>
    <dgm:cxn modelId="{4CA23640-FC01-4168-8242-E6E86BA3AAC9}" type="presParOf" srcId="{65664F4F-29AA-4AE8-8326-38AFD7094D7C}" destId="{9B45428D-F1D6-432F-A89E-4D2A5910F3C9}" srcOrd="0" destOrd="0" presId="urn:microsoft.com/office/officeart/2005/8/layout/hierarchy1"/>
    <dgm:cxn modelId="{C9EE09CC-4B8A-4CE8-AF76-AA23DC98922B}" type="presParOf" srcId="{65664F4F-29AA-4AE8-8326-38AFD7094D7C}" destId="{C75F9D76-6469-48B1-855F-398B739E0DB5}" srcOrd="1" destOrd="0" presId="urn:microsoft.com/office/officeart/2005/8/layout/hierarchy1"/>
    <dgm:cxn modelId="{0565D9ED-1609-4BE9-BD2B-73D7CF06BDA4}" type="presParOf" srcId="{C75F9D76-6469-48B1-855F-398B739E0DB5}" destId="{C69DD5E0-CF42-4323-ABDE-01F85BF5E714}" srcOrd="0" destOrd="0" presId="urn:microsoft.com/office/officeart/2005/8/layout/hierarchy1"/>
    <dgm:cxn modelId="{B7A7B6AA-3C62-4FBA-9B31-244C442F8E4C}" type="presParOf" srcId="{C69DD5E0-CF42-4323-ABDE-01F85BF5E714}" destId="{DCD8811D-7B84-41CB-871B-2344E66DE7B2}" srcOrd="0" destOrd="0" presId="urn:microsoft.com/office/officeart/2005/8/layout/hierarchy1"/>
    <dgm:cxn modelId="{EAE8C452-7892-4D7F-A155-C3E42F795E89}" type="presParOf" srcId="{C69DD5E0-CF42-4323-ABDE-01F85BF5E714}" destId="{DDA5BD50-3A6C-4DB2-B71A-912E80EFB197}" srcOrd="1" destOrd="0" presId="urn:microsoft.com/office/officeart/2005/8/layout/hierarchy1"/>
    <dgm:cxn modelId="{DEDDB715-A595-4543-A39E-DAECE1A3BC5E}" type="presParOf" srcId="{C75F9D76-6469-48B1-855F-398B739E0DB5}" destId="{DB639E74-CCEE-478A-B5F6-EC045FDC79B4}" srcOrd="1" destOrd="0" presId="urn:microsoft.com/office/officeart/2005/8/layout/hierarchy1"/>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E364E94-943C-4DB2-8138-40FFE9D31F1C}" type="doc">
      <dgm:prSet loTypeId="urn:microsoft.com/office/officeart/2005/8/layout/hierarchy1" loCatId="hierarchy" qsTypeId="urn:microsoft.com/office/officeart/2005/8/quickstyle/simple3" qsCatId="simple" csTypeId="urn:microsoft.com/office/officeart/2005/8/colors/accent1_2" csCatId="accent1" phldr="1"/>
      <dgm:spPr/>
      <dgm:t>
        <a:bodyPr/>
        <a:lstStyle/>
        <a:p>
          <a:endParaRPr lang="en-GB"/>
        </a:p>
      </dgm:t>
    </dgm:pt>
    <dgm:pt modelId="{AE80F238-2A2D-4B08-AB79-EA18FDE49B6D}">
      <dgm:prSet phldrT="[Text]" custT="1"/>
      <dgm:spPr/>
      <dgm:t>
        <a:bodyPr/>
        <a:lstStyle/>
        <a:p>
          <a:r>
            <a:rPr lang="en-GB" sz="1100" b="1">
              <a:latin typeface="Arial" pitchFamily="34" charset="0"/>
              <a:cs typeface="Arial" pitchFamily="34" charset="0"/>
            </a:rPr>
            <a:t>Biomoléculas</a:t>
          </a:r>
        </a:p>
      </dgm:t>
    </dgm:pt>
    <dgm:pt modelId="{77003E93-B809-4D7B-BC9F-CC32D4F6393B}" type="parTrans" cxnId="{4F727118-44DE-4CF0-A358-A79DEFB7CDE7}">
      <dgm:prSet/>
      <dgm:spPr/>
      <dgm:t>
        <a:bodyPr/>
        <a:lstStyle/>
        <a:p>
          <a:endParaRPr lang="en-GB" sz="1100" b="1">
            <a:latin typeface="Arial" pitchFamily="34" charset="0"/>
            <a:cs typeface="Arial" pitchFamily="34" charset="0"/>
          </a:endParaRPr>
        </a:p>
      </dgm:t>
    </dgm:pt>
    <dgm:pt modelId="{3F992BB4-56A0-4E41-ABDA-15B9FC7396C6}" type="sibTrans" cxnId="{4F727118-44DE-4CF0-A358-A79DEFB7CDE7}">
      <dgm:prSet/>
      <dgm:spPr/>
      <dgm:t>
        <a:bodyPr/>
        <a:lstStyle/>
        <a:p>
          <a:endParaRPr lang="en-GB" sz="1100" b="1">
            <a:latin typeface="Arial" pitchFamily="34" charset="0"/>
            <a:cs typeface="Arial" pitchFamily="34" charset="0"/>
          </a:endParaRPr>
        </a:p>
      </dgm:t>
    </dgm:pt>
    <dgm:pt modelId="{BC3D2156-7A0F-42BE-97C1-5943E2EDC065}">
      <dgm:prSet phldrT="[Text]" custT="1"/>
      <dgm:spPr/>
      <dgm:t>
        <a:bodyPr/>
        <a:lstStyle/>
        <a:p>
          <a:r>
            <a:rPr lang="en-GB" sz="1100" b="1">
              <a:latin typeface="Arial" pitchFamily="34" charset="0"/>
              <a:cs typeface="Arial" pitchFamily="34" charset="0"/>
            </a:rPr>
            <a:t>Orgânicos</a:t>
          </a:r>
        </a:p>
      </dgm:t>
    </dgm:pt>
    <dgm:pt modelId="{27A2BD09-92AD-4C9E-A377-5BE23BD4BFF9}" type="parTrans" cxnId="{91274AF5-BBE3-4AC9-82CF-A07D806AE22E}">
      <dgm:prSet/>
      <dgm:spPr/>
      <dgm:t>
        <a:bodyPr/>
        <a:lstStyle/>
        <a:p>
          <a:endParaRPr lang="en-GB" sz="1100" b="1">
            <a:latin typeface="Arial" pitchFamily="34" charset="0"/>
            <a:cs typeface="Arial" pitchFamily="34" charset="0"/>
          </a:endParaRPr>
        </a:p>
      </dgm:t>
    </dgm:pt>
    <dgm:pt modelId="{F455B3D7-EB3A-4881-9415-3A23E4C3A5BD}" type="sibTrans" cxnId="{91274AF5-BBE3-4AC9-82CF-A07D806AE22E}">
      <dgm:prSet/>
      <dgm:spPr/>
      <dgm:t>
        <a:bodyPr/>
        <a:lstStyle/>
        <a:p>
          <a:endParaRPr lang="en-GB" sz="1100" b="1">
            <a:latin typeface="Arial" pitchFamily="34" charset="0"/>
            <a:cs typeface="Arial" pitchFamily="34" charset="0"/>
          </a:endParaRPr>
        </a:p>
      </dgm:t>
    </dgm:pt>
    <dgm:pt modelId="{E89CA370-62AD-420B-AEB6-DCF560F87D56}">
      <dgm:prSet phldrT="[Text]" custT="1"/>
      <dgm:spPr/>
      <dgm:t>
        <a:bodyPr/>
        <a:lstStyle/>
        <a:p>
          <a:r>
            <a:rPr lang="en-GB" sz="1100" b="1">
              <a:latin typeface="Arial" pitchFamily="34" charset="0"/>
              <a:cs typeface="Arial" pitchFamily="34" charset="0"/>
            </a:rPr>
            <a:t>Proteinas</a:t>
          </a:r>
        </a:p>
        <a:p>
          <a:r>
            <a:rPr lang="en-GB" sz="1100" b="1">
              <a:latin typeface="Arial" pitchFamily="34" charset="0"/>
              <a:cs typeface="Arial" pitchFamily="34" charset="0"/>
            </a:rPr>
            <a:t>Lípidos</a:t>
          </a:r>
        </a:p>
        <a:p>
          <a:r>
            <a:rPr lang="en-GB" sz="1100" b="1">
              <a:latin typeface="Arial" pitchFamily="34" charset="0"/>
              <a:cs typeface="Arial" pitchFamily="34" charset="0"/>
            </a:rPr>
            <a:t>Carboidratos</a:t>
          </a:r>
        </a:p>
        <a:p>
          <a:r>
            <a:rPr lang="en-GB" sz="1100" b="1">
              <a:latin typeface="Arial" pitchFamily="34" charset="0"/>
              <a:cs typeface="Arial" pitchFamily="34" charset="0"/>
            </a:rPr>
            <a:t>Ácidos Nucléicos</a:t>
          </a:r>
        </a:p>
      </dgm:t>
    </dgm:pt>
    <dgm:pt modelId="{31479BEA-7AAB-4E40-BF4C-D73A8E82813A}" type="parTrans" cxnId="{FD7C9F8A-92C8-41FB-A25C-925DA33BCD59}">
      <dgm:prSet/>
      <dgm:spPr/>
      <dgm:t>
        <a:bodyPr/>
        <a:lstStyle/>
        <a:p>
          <a:endParaRPr lang="en-GB" sz="1100" b="1">
            <a:latin typeface="Arial" pitchFamily="34" charset="0"/>
            <a:cs typeface="Arial" pitchFamily="34" charset="0"/>
          </a:endParaRPr>
        </a:p>
      </dgm:t>
    </dgm:pt>
    <dgm:pt modelId="{F571A098-D831-4A5A-94F4-5138E6C4E6AD}" type="sibTrans" cxnId="{FD7C9F8A-92C8-41FB-A25C-925DA33BCD59}">
      <dgm:prSet/>
      <dgm:spPr/>
      <dgm:t>
        <a:bodyPr/>
        <a:lstStyle/>
        <a:p>
          <a:endParaRPr lang="en-GB" sz="1100" b="1">
            <a:latin typeface="Arial" pitchFamily="34" charset="0"/>
            <a:cs typeface="Arial" pitchFamily="34" charset="0"/>
          </a:endParaRPr>
        </a:p>
      </dgm:t>
    </dgm:pt>
    <dgm:pt modelId="{B538EA3B-2D9A-4370-AADB-F90976ABE6BA}">
      <dgm:prSet phldrT="[Text]" custT="1"/>
      <dgm:spPr/>
      <dgm:t>
        <a:bodyPr/>
        <a:lstStyle/>
        <a:p>
          <a:r>
            <a:rPr lang="en-GB" sz="1100" b="1">
              <a:latin typeface="Arial" pitchFamily="34" charset="0"/>
              <a:cs typeface="Arial" pitchFamily="34" charset="0"/>
            </a:rPr>
            <a:t>Inorgânicos</a:t>
          </a:r>
        </a:p>
      </dgm:t>
    </dgm:pt>
    <dgm:pt modelId="{C3B32098-CB7D-4624-ACB6-03B2B1E79664}" type="parTrans" cxnId="{3BC3801E-E88C-4BBC-ADB5-205FEDD11AAC}">
      <dgm:prSet/>
      <dgm:spPr/>
      <dgm:t>
        <a:bodyPr/>
        <a:lstStyle/>
        <a:p>
          <a:endParaRPr lang="en-GB" sz="1100" b="1">
            <a:latin typeface="Arial" pitchFamily="34" charset="0"/>
            <a:cs typeface="Arial" pitchFamily="34" charset="0"/>
          </a:endParaRPr>
        </a:p>
      </dgm:t>
    </dgm:pt>
    <dgm:pt modelId="{0C4EBF7D-AE4D-42E5-8443-7C5A46128741}" type="sibTrans" cxnId="{3BC3801E-E88C-4BBC-ADB5-205FEDD11AAC}">
      <dgm:prSet/>
      <dgm:spPr/>
      <dgm:t>
        <a:bodyPr/>
        <a:lstStyle/>
        <a:p>
          <a:endParaRPr lang="en-GB" sz="1100" b="1">
            <a:latin typeface="Arial" pitchFamily="34" charset="0"/>
            <a:cs typeface="Arial" pitchFamily="34" charset="0"/>
          </a:endParaRPr>
        </a:p>
      </dgm:t>
    </dgm:pt>
    <dgm:pt modelId="{4957844A-7643-425D-9D71-3C8067AD11AE}">
      <dgm:prSet phldrT="[Text]" custT="1"/>
      <dgm:spPr/>
      <dgm:t>
        <a:bodyPr/>
        <a:lstStyle/>
        <a:p>
          <a:r>
            <a:rPr lang="en-GB" sz="1100" b="1">
              <a:latin typeface="Arial" pitchFamily="34" charset="0"/>
              <a:cs typeface="Arial" pitchFamily="34" charset="0"/>
            </a:rPr>
            <a:t>Água</a:t>
          </a:r>
        </a:p>
        <a:p>
          <a:r>
            <a:rPr lang="en-GB" sz="1100" b="1">
              <a:latin typeface="Arial" pitchFamily="34" charset="0"/>
              <a:cs typeface="Arial" pitchFamily="34" charset="0"/>
            </a:rPr>
            <a:t>Sais Minerais</a:t>
          </a:r>
        </a:p>
      </dgm:t>
    </dgm:pt>
    <dgm:pt modelId="{EB5AB43C-8B6D-4EF6-B49F-5C0C3E100F47}" type="parTrans" cxnId="{7497D3D3-477E-4A27-A851-73FA2DDE3902}">
      <dgm:prSet/>
      <dgm:spPr/>
      <dgm:t>
        <a:bodyPr/>
        <a:lstStyle/>
        <a:p>
          <a:endParaRPr lang="en-GB" sz="1100" b="1">
            <a:latin typeface="Arial" pitchFamily="34" charset="0"/>
            <a:cs typeface="Arial" pitchFamily="34" charset="0"/>
          </a:endParaRPr>
        </a:p>
      </dgm:t>
    </dgm:pt>
    <dgm:pt modelId="{0FBF7281-2822-47B1-A6E5-E2A63A4BC08A}" type="sibTrans" cxnId="{7497D3D3-477E-4A27-A851-73FA2DDE3902}">
      <dgm:prSet/>
      <dgm:spPr/>
      <dgm:t>
        <a:bodyPr/>
        <a:lstStyle/>
        <a:p>
          <a:endParaRPr lang="en-GB" sz="1100" b="1">
            <a:latin typeface="Arial" pitchFamily="34" charset="0"/>
            <a:cs typeface="Arial" pitchFamily="34" charset="0"/>
          </a:endParaRPr>
        </a:p>
      </dgm:t>
    </dgm:pt>
    <dgm:pt modelId="{0B270E90-49E9-4996-965C-0506A26287A7}" type="pres">
      <dgm:prSet presAssocID="{EE364E94-943C-4DB2-8138-40FFE9D31F1C}" presName="hierChild1" presStyleCnt="0">
        <dgm:presLayoutVars>
          <dgm:chPref val="1"/>
          <dgm:dir/>
          <dgm:animOne val="branch"/>
          <dgm:animLvl val="lvl"/>
          <dgm:resizeHandles/>
        </dgm:presLayoutVars>
      </dgm:prSet>
      <dgm:spPr/>
      <dgm:t>
        <a:bodyPr/>
        <a:lstStyle/>
        <a:p>
          <a:endParaRPr lang="en-US"/>
        </a:p>
      </dgm:t>
    </dgm:pt>
    <dgm:pt modelId="{94A63439-FAC6-4334-9F44-D4612C77EC55}" type="pres">
      <dgm:prSet presAssocID="{AE80F238-2A2D-4B08-AB79-EA18FDE49B6D}" presName="hierRoot1" presStyleCnt="0"/>
      <dgm:spPr/>
    </dgm:pt>
    <dgm:pt modelId="{D0E2DDE4-48EE-464D-8822-493C89CAF40C}" type="pres">
      <dgm:prSet presAssocID="{AE80F238-2A2D-4B08-AB79-EA18FDE49B6D}" presName="composite" presStyleCnt="0"/>
      <dgm:spPr/>
    </dgm:pt>
    <dgm:pt modelId="{8E6E3A32-D6E3-44ED-9245-3182A383AA02}" type="pres">
      <dgm:prSet presAssocID="{AE80F238-2A2D-4B08-AB79-EA18FDE49B6D}" presName="background" presStyleLbl="node0" presStyleIdx="0" presStyleCnt="1"/>
      <dgm:spPr/>
    </dgm:pt>
    <dgm:pt modelId="{EE535673-0C15-436C-8598-C3A37EC0AD2E}" type="pres">
      <dgm:prSet presAssocID="{AE80F238-2A2D-4B08-AB79-EA18FDE49B6D}" presName="text" presStyleLbl="fgAcc0" presStyleIdx="0" presStyleCnt="1">
        <dgm:presLayoutVars>
          <dgm:chPref val="3"/>
        </dgm:presLayoutVars>
      </dgm:prSet>
      <dgm:spPr/>
      <dgm:t>
        <a:bodyPr/>
        <a:lstStyle/>
        <a:p>
          <a:endParaRPr lang="en-US"/>
        </a:p>
      </dgm:t>
    </dgm:pt>
    <dgm:pt modelId="{F78E584A-ACCD-486A-8683-A569C69917FF}" type="pres">
      <dgm:prSet presAssocID="{AE80F238-2A2D-4B08-AB79-EA18FDE49B6D}" presName="hierChild2" presStyleCnt="0"/>
      <dgm:spPr/>
    </dgm:pt>
    <dgm:pt modelId="{1319CA13-245C-410A-9339-767CE0AA4CE9}" type="pres">
      <dgm:prSet presAssocID="{27A2BD09-92AD-4C9E-A377-5BE23BD4BFF9}" presName="Name10" presStyleLbl="parChTrans1D2" presStyleIdx="0" presStyleCnt="2"/>
      <dgm:spPr/>
      <dgm:t>
        <a:bodyPr/>
        <a:lstStyle/>
        <a:p>
          <a:endParaRPr lang="en-US"/>
        </a:p>
      </dgm:t>
    </dgm:pt>
    <dgm:pt modelId="{D4A5B5F5-C0C2-438B-A6B5-0FA77313D17C}" type="pres">
      <dgm:prSet presAssocID="{BC3D2156-7A0F-42BE-97C1-5943E2EDC065}" presName="hierRoot2" presStyleCnt="0"/>
      <dgm:spPr/>
    </dgm:pt>
    <dgm:pt modelId="{5E31E260-4F0D-4602-8AF6-CE7A2CB8C073}" type="pres">
      <dgm:prSet presAssocID="{BC3D2156-7A0F-42BE-97C1-5943E2EDC065}" presName="composite2" presStyleCnt="0"/>
      <dgm:spPr/>
    </dgm:pt>
    <dgm:pt modelId="{C95CF187-A8DD-4627-A47B-D4A3426DA55D}" type="pres">
      <dgm:prSet presAssocID="{BC3D2156-7A0F-42BE-97C1-5943E2EDC065}" presName="background2" presStyleLbl="node2" presStyleIdx="0" presStyleCnt="2"/>
      <dgm:spPr/>
    </dgm:pt>
    <dgm:pt modelId="{8B08480B-8A75-4F43-8430-FE274716BE84}" type="pres">
      <dgm:prSet presAssocID="{BC3D2156-7A0F-42BE-97C1-5943E2EDC065}" presName="text2" presStyleLbl="fgAcc2" presStyleIdx="0" presStyleCnt="2">
        <dgm:presLayoutVars>
          <dgm:chPref val="3"/>
        </dgm:presLayoutVars>
      </dgm:prSet>
      <dgm:spPr/>
      <dgm:t>
        <a:bodyPr/>
        <a:lstStyle/>
        <a:p>
          <a:endParaRPr lang="en-US"/>
        </a:p>
      </dgm:t>
    </dgm:pt>
    <dgm:pt modelId="{47AB9507-15A5-4B03-A85E-54DA50694D28}" type="pres">
      <dgm:prSet presAssocID="{BC3D2156-7A0F-42BE-97C1-5943E2EDC065}" presName="hierChild3" presStyleCnt="0"/>
      <dgm:spPr/>
    </dgm:pt>
    <dgm:pt modelId="{AC7D6EB1-78FC-4A9E-AB74-C66823DA42AA}" type="pres">
      <dgm:prSet presAssocID="{31479BEA-7AAB-4E40-BF4C-D73A8E82813A}" presName="Name17" presStyleLbl="parChTrans1D3" presStyleIdx="0" presStyleCnt="2"/>
      <dgm:spPr/>
      <dgm:t>
        <a:bodyPr/>
        <a:lstStyle/>
        <a:p>
          <a:endParaRPr lang="en-US"/>
        </a:p>
      </dgm:t>
    </dgm:pt>
    <dgm:pt modelId="{4FB014EA-98BD-43A3-A7F4-F2C8807E0F21}" type="pres">
      <dgm:prSet presAssocID="{E89CA370-62AD-420B-AEB6-DCF560F87D56}" presName="hierRoot3" presStyleCnt="0"/>
      <dgm:spPr/>
    </dgm:pt>
    <dgm:pt modelId="{4991C6B0-985C-4A64-88F6-272C97397725}" type="pres">
      <dgm:prSet presAssocID="{E89CA370-62AD-420B-AEB6-DCF560F87D56}" presName="composite3" presStyleCnt="0"/>
      <dgm:spPr/>
    </dgm:pt>
    <dgm:pt modelId="{90B05580-5ADB-444F-8188-1D96E74CBCB0}" type="pres">
      <dgm:prSet presAssocID="{E89CA370-62AD-420B-AEB6-DCF560F87D56}" presName="background3" presStyleLbl="node3" presStyleIdx="0" presStyleCnt="2"/>
      <dgm:spPr/>
    </dgm:pt>
    <dgm:pt modelId="{7810A635-A6BB-4379-8D86-00224EDD5D46}" type="pres">
      <dgm:prSet presAssocID="{E89CA370-62AD-420B-AEB6-DCF560F87D56}" presName="text3" presStyleLbl="fgAcc3" presStyleIdx="0" presStyleCnt="2" custScaleX="129629">
        <dgm:presLayoutVars>
          <dgm:chPref val="3"/>
        </dgm:presLayoutVars>
      </dgm:prSet>
      <dgm:spPr/>
      <dgm:t>
        <a:bodyPr/>
        <a:lstStyle/>
        <a:p>
          <a:endParaRPr lang="en-GB"/>
        </a:p>
      </dgm:t>
    </dgm:pt>
    <dgm:pt modelId="{11769DD8-09CC-4C62-8BF7-7C623A8B68C8}" type="pres">
      <dgm:prSet presAssocID="{E89CA370-62AD-420B-AEB6-DCF560F87D56}" presName="hierChild4" presStyleCnt="0"/>
      <dgm:spPr/>
    </dgm:pt>
    <dgm:pt modelId="{2CD29C69-5A77-4CB1-B09C-78EBE5FEB813}" type="pres">
      <dgm:prSet presAssocID="{C3B32098-CB7D-4624-ACB6-03B2B1E79664}" presName="Name10" presStyleLbl="parChTrans1D2" presStyleIdx="1" presStyleCnt="2"/>
      <dgm:spPr/>
      <dgm:t>
        <a:bodyPr/>
        <a:lstStyle/>
        <a:p>
          <a:endParaRPr lang="en-US"/>
        </a:p>
      </dgm:t>
    </dgm:pt>
    <dgm:pt modelId="{DD67CDF2-D273-4EA0-95A1-ED1B475A76B8}" type="pres">
      <dgm:prSet presAssocID="{B538EA3B-2D9A-4370-AADB-F90976ABE6BA}" presName="hierRoot2" presStyleCnt="0"/>
      <dgm:spPr/>
    </dgm:pt>
    <dgm:pt modelId="{CD67CF99-AA6E-4983-8378-1D98D66BC35A}" type="pres">
      <dgm:prSet presAssocID="{B538EA3B-2D9A-4370-AADB-F90976ABE6BA}" presName="composite2" presStyleCnt="0"/>
      <dgm:spPr/>
    </dgm:pt>
    <dgm:pt modelId="{CF573303-B9E8-4DBB-A2A5-DDD7C52E829C}" type="pres">
      <dgm:prSet presAssocID="{B538EA3B-2D9A-4370-AADB-F90976ABE6BA}" presName="background2" presStyleLbl="node2" presStyleIdx="1" presStyleCnt="2"/>
      <dgm:spPr/>
    </dgm:pt>
    <dgm:pt modelId="{9AE5C5CE-D4C5-42DD-9591-64372329A596}" type="pres">
      <dgm:prSet presAssocID="{B538EA3B-2D9A-4370-AADB-F90976ABE6BA}" presName="text2" presStyleLbl="fgAcc2" presStyleIdx="1" presStyleCnt="2">
        <dgm:presLayoutVars>
          <dgm:chPref val="3"/>
        </dgm:presLayoutVars>
      </dgm:prSet>
      <dgm:spPr/>
      <dgm:t>
        <a:bodyPr/>
        <a:lstStyle/>
        <a:p>
          <a:endParaRPr lang="en-US"/>
        </a:p>
      </dgm:t>
    </dgm:pt>
    <dgm:pt modelId="{2E62569B-D93E-4F8F-A4A7-1F733F687B6B}" type="pres">
      <dgm:prSet presAssocID="{B538EA3B-2D9A-4370-AADB-F90976ABE6BA}" presName="hierChild3" presStyleCnt="0"/>
      <dgm:spPr/>
    </dgm:pt>
    <dgm:pt modelId="{A7F7A40B-1504-40C6-8B4A-A6E48F2CE835}" type="pres">
      <dgm:prSet presAssocID="{EB5AB43C-8B6D-4EF6-B49F-5C0C3E100F47}" presName="Name17" presStyleLbl="parChTrans1D3" presStyleIdx="1" presStyleCnt="2"/>
      <dgm:spPr/>
      <dgm:t>
        <a:bodyPr/>
        <a:lstStyle/>
        <a:p>
          <a:endParaRPr lang="en-US"/>
        </a:p>
      </dgm:t>
    </dgm:pt>
    <dgm:pt modelId="{A3CD04D7-E228-47A0-BDFC-930D8777048F}" type="pres">
      <dgm:prSet presAssocID="{4957844A-7643-425D-9D71-3C8067AD11AE}" presName="hierRoot3" presStyleCnt="0"/>
      <dgm:spPr/>
    </dgm:pt>
    <dgm:pt modelId="{8414B92E-4D28-4D48-9B98-278E4FF32A2C}" type="pres">
      <dgm:prSet presAssocID="{4957844A-7643-425D-9D71-3C8067AD11AE}" presName="composite3" presStyleCnt="0"/>
      <dgm:spPr/>
    </dgm:pt>
    <dgm:pt modelId="{2DB30EA4-499B-4809-B766-30BCE294E57F}" type="pres">
      <dgm:prSet presAssocID="{4957844A-7643-425D-9D71-3C8067AD11AE}" presName="background3" presStyleLbl="node3" presStyleIdx="1" presStyleCnt="2"/>
      <dgm:spPr/>
    </dgm:pt>
    <dgm:pt modelId="{2FE6FEF5-97FF-4CFB-8F4B-62AB9ECC4B7B}" type="pres">
      <dgm:prSet presAssocID="{4957844A-7643-425D-9D71-3C8067AD11AE}" presName="text3" presStyleLbl="fgAcc3" presStyleIdx="1" presStyleCnt="2">
        <dgm:presLayoutVars>
          <dgm:chPref val="3"/>
        </dgm:presLayoutVars>
      </dgm:prSet>
      <dgm:spPr/>
      <dgm:t>
        <a:bodyPr/>
        <a:lstStyle/>
        <a:p>
          <a:endParaRPr lang="en-GB"/>
        </a:p>
      </dgm:t>
    </dgm:pt>
    <dgm:pt modelId="{5A39F5D9-551C-4466-99AB-E3800BDE8F30}" type="pres">
      <dgm:prSet presAssocID="{4957844A-7643-425D-9D71-3C8067AD11AE}" presName="hierChild4" presStyleCnt="0"/>
      <dgm:spPr/>
    </dgm:pt>
  </dgm:ptLst>
  <dgm:cxnLst>
    <dgm:cxn modelId="{AF54FEA8-4808-4409-8CA8-A97FD8FECAEF}" type="presOf" srcId="{27A2BD09-92AD-4C9E-A377-5BE23BD4BFF9}" destId="{1319CA13-245C-410A-9339-767CE0AA4CE9}" srcOrd="0" destOrd="0" presId="urn:microsoft.com/office/officeart/2005/8/layout/hierarchy1"/>
    <dgm:cxn modelId="{4B989D04-A063-42C2-BF7B-DC9F48FBF5CA}" type="presOf" srcId="{4957844A-7643-425D-9D71-3C8067AD11AE}" destId="{2FE6FEF5-97FF-4CFB-8F4B-62AB9ECC4B7B}" srcOrd="0" destOrd="0" presId="urn:microsoft.com/office/officeart/2005/8/layout/hierarchy1"/>
    <dgm:cxn modelId="{62FC7F1F-9FE4-4CBE-BBC5-2BFB7F88035E}" type="presOf" srcId="{B538EA3B-2D9A-4370-AADB-F90976ABE6BA}" destId="{9AE5C5CE-D4C5-42DD-9591-64372329A596}" srcOrd="0" destOrd="0" presId="urn:microsoft.com/office/officeart/2005/8/layout/hierarchy1"/>
    <dgm:cxn modelId="{3921015E-C85C-4237-848F-89A9F27D6943}" type="presOf" srcId="{C3B32098-CB7D-4624-ACB6-03B2B1E79664}" destId="{2CD29C69-5A77-4CB1-B09C-78EBE5FEB813}" srcOrd="0" destOrd="0" presId="urn:microsoft.com/office/officeart/2005/8/layout/hierarchy1"/>
    <dgm:cxn modelId="{2DC61C42-75AC-46BB-B239-1F49F5C6FF74}" type="presOf" srcId="{E89CA370-62AD-420B-AEB6-DCF560F87D56}" destId="{7810A635-A6BB-4379-8D86-00224EDD5D46}" srcOrd="0" destOrd="0" presId="urn:microsoft.com/office/officeart/2005/8/layout/hierarchy1"/>
    <dgm:cxn modelId="{91274AF5-BBE3-4AC9-82CF-A07D806AE22E}" srcId="{AE80F238-2A2D-4B08-AB79-EA18FDE49B6D}" destId="{BC3D2156-7A0F-42BE-97C1-5943E2EDC065}" srcOrd="0" destOrd="0" parTransId="{27A2BD09-92AD-4C9E-A377-5BE23BD4BFF9}" sibTransId="{F455B3D7-EB3A-4881-9415-3A23E4C3A5BD}"/>
    <dgm:cxn modelId="{4F727118-44DE-4CF0-A358-A79DEFB7CDE7}" srcId="{EE364E94-943C-4DB2-8138-40FFE9D31F1C}" destId="{AE80F238-2A2D-4B08-AB79-EA18FDE49B6D}" srcOrd="0" destOrd="0" parTransId="{77003E93-B809-4D7B-BC9F-CC32D4F6393B}" sibTransId="{3F992BB4-56A0-4E41-ABDA-15B9FC7396C6}"/>
    <dgm:cxn modelId="{6AAF93AD-82F7-46D2-BDEA-B71CCBD4EAC3}" type="presOf" srcId="{AE80F238-2A2D-4B08-AB79-EA18FDE49B6D}" destId="{EE535673-0C15-436C-8598-C3A37EC0AD2E}" srcOrd="0" destOrd="0" presId="urn:microsoft.com/office/officeart/2005/8/layout/hierarchy1"/>
    <dgm:cxn modelId="{2499B96C-C04C-4A0D-8FE9-13DF613712F9}" type="presOf" srcId="{31479BEA-7AAB-4E40-BF4C-D73A8E82813A}" destId="{AC7D6EB1-78FC-4A9E-AB74-C66823DA42AA}" srcOrd="0" destOrd="0" presId="urn:microsoft.com/office/officeart/2005/8/layout/hierarchy1"/>
    <dgm:cxn modelId="{06321A4F-C5F8-4A17-9B99-0ED31C6090AE}" type="presOf" srcId="{EE364E94-943C-4DB2-8138-40FFE9D31F1C}" destId="{0B270E90-49E9-4996-965C-0506A26287A7}" srcOrd="0" destOrd="0" presId="urn:microsoft.com/office/officeart/2005/8/layout/hierarchy1"/>
    <dgm:cxn modelId="{FD7C9F8A-92C8-41FB-A25C-925DA33BCD59}" srcId="{BC3D2156-7A0F-42BE-97C1-5943E2EDC065}" destId="{E89CA370-62AD-420B-AEB6-DCF560F87D56}" srcOrd="0" destOrd="0" parTransId="{31479BEA-7AAB-4E40-BF4C-D73A8E82813A}" sibTransId="{F571A098-D831-4A5A-94F4-5138E6C4E6AD}"/>
    <dgm:cxn modelId="{A46B5976-D21A-45F4-90FD-AAACECCB8189}" type="presOf" srcId="{BC3D2156-7A0F-42BE-97C1-5943E2EDC065}" destId="{8B08480B-8A75-4F43-8430-FE274716BE84}" srcOrd="0" destOrd="0" presId="urn:microsoft.com/office/officeart/2005/8/layout/hierarchy1"/>
    <dgm:cxn modelId="{3BC3801E-E88C-4BBC-ADB5-205FEDD11AAC}" srcId="{AE80F238-2A2D-4B08-AB79-EA18FDE49B6D}" destId="{B538EA3B-2D9A-4370-AADB-F90976ABE6BA}" srcOrd="1" destOrd="0" parTransId="{C3B32098-CB7D-4624-ACB6-03B2B1E79664}" sibTransId="{0C4EBF7D-AE4D-42E5-8443-7C5A46128741}"/>
    <dgm:cxn modelId="{02D53244-E080-49A8-803A-148B0FFE0F92}" type="presOf" srcId="{EB5AB43C-8B6D-4EF6-B49F-5C0C3E100F47}" destId="{A7F7A40B-1504-40C6-8B4A-A6E48F2CE835}" srcOrd="0" destOrd="0" presId="urn:microsoft.com/office/officeart/2005/8/layout/hierarchy1"/>
    <dgm:cxn modelId="{7497D3D3-477E-4A27-A851-73FA2DDE3902}" srcId="{B538EA3B-2D9A-4370-AADB-F90976ABE6BA}" destId="{4957844A-7643-425D-9D71-3C8067AD11AE}" srcOrd="0" destOrd="0" parTransId="{EB5AB43C-8B6D-4EF6-B49F-5C0C3E100F47}" sibTransId="{0FBF7281-2822-47B1-A6E5-E2A63A4BC08A}"/>
    <dgm:cxn modelId="{7194FD18-68C3-4065-9FAA-0A65CF79CAEA}" type="presParOf" srcId="{0B270E90-49E9-4996-965C-0506A26287A7}" destId="{94A63439-FAC6-4334-9F44-D4612C77EC55}" srcOrd="0" destOrd="0" presId="urn:microsoft.com/office/officeart/2005/8/layout/hierarchy1"/>
    <dgm:cxn modelId="{FBEA9953-2CD3-4292-B483-6D9525512125}" type="presParOf" srcId="{94A63439-FAC6-4334-9F44-D4612C77EC55}" destId="{D0E2DDE4-48EE-464D-8822-493C89CAF40C}" srcOrd="0" destOrd="0" presId="urn:microsoft.com/office/officeart/2005/8/layout/hierarchy1"/>
    <dgm:cxn modelId="{D624D659-9A8D-49B6-9D0B-77DF01D53ABB}" type="presParOf" srcId="{D0E2DDE4-48EE-464D-8822-493C89CAF40C}" destId="{8E6E3A32-D6E3-44ED-9245-3182A383AA02}" srcOrd="0" destOrd="0" presId="urn:microsoft.com/office/officeart/2005/8/layout/hierarchy1"/>
    <dgm:cxn modelId="{0A398F6C-2A33-4312-9035-3A03706A1B6C}" type="presParOf" srcId="{D0E2DDE4-48EE-464D-8822-493C89CAF40C}" destId="{EE535673-0C15-436C-8598-C3A37EC0AD2E}" srcOrd="1" destOrd="0" presId="urn:microsoft.com/office/officeart/2005/8/layout/hierarchy1"/>
    <dgm:cxn modelId="{1E446063-9C98-4A07-B6A2-79784DBA1BB4}" type="presParOf" srcId="{94A63439-FAC6-4334-9F44-D4612C77EC55}" destId="{F78E584A-ACCD-486A-8683-A569C69917FF}" srcOrd="1" destOrd="0" presId="urn:microsoft.com/office/officeart/2005/8/layout/hierarchy1"/>
    <dgm:cxn modelId="{7633E5EC-BB93-41EE-95C8-DF56F8BD703F}" type="presParOf" srcId="{F78E584A-ACCD-486A-8683-A569C69917FF}" destId="{1319CA13-245C-410A-9339-767CE0AA4CE9}" srcOrd="0" destOrd="0" presId="urn:microsoft.com/office/officeart/2005/8/layout/hierarchy1"/>
    <dgm:cxn modelId="{B3616836-F1B5-4EC7-A955-D2733815C190}" type="presParOf" srcId="{F78E584A-ACCD-486A-8683-A569C69917FF}" destId="{D4A5B5F5-C0C2-438B-A6B5-0FA77313D17C}" srcOrd="1" destOrd="0" presId="urn:microsoft.com/office/officeart/2005/8/layout/hierarchy1"/>
    <dgm:cxn modelId="{8F17F6DF-916F-44DA-B985-39DF3C3E2097}" type="presParOf" srcId="{D4A5B5F5-C0C2-438B-A6B5-0FA77313D17C}" destId="{5E31E260-4F0D-4602-8AF6-CE7A2CB8C073}" srcOrd="0" destOrd="0" presId="urn:microsoft.com/office/officeart/2005/8/layout/hierarchy1"/>
    <dgm:cxn modelId="{5EE39169-74F3-416F-934C-EF8315A1E0AA}" type="presParOf" srcId="{5E31E260-4F0D-4602-8AF6-CE7A2CB8C073}" destId="{C95CF187-A8DD-4627-A47B-D4A3426DA55D}" srcOrd="0" destOrd="0" presId="urn:microsoft.com/office/officeart/2005/8/layout/hierarchy1"/>
    <dgm:cxn modelId="{06E73435-4B50-4F91-A60A-EF8FC5C67E0C}" type="presParOf" srcId="{5E31E260-4F0D-4602-8AF6-CE7A2CB8C073}" destId="{8B08480B-8A75-4F43-8430-FE274716BE84}" srcOrd="1" destOrd="0" presId="urn:microsoft.com/office/officeart/2005/8/layout/hierarchy1"/>
    <dgm:cxn modelId="{FE83A2F9-0B01-4C00-B425-1D23DCEB3113}" type="presParOf" srcId="{D4A5B5F5-C0C2-438B-A6B5-0FA77313D17C}" destId="{47AB9507-15A5-4B03-A85E-54DA50694D28}" srcOrd="1" destOrd="0" presId="urn:microsoft.com/office/officeart/2005/8/layout/hierarchy1"/>
    <dgm:cxn modelId="{1E50B84E-3BF0-410F-940B-065B8C65A068}" type="presParOf" srcId="{47AB9507-15A5-4B03-A85E-54DA50694D28}" destId="{AC7D6EB1-78FC-4A9E-AB74-C66823DA42AA}" srcOrd="0" destOrd="0" presId="urn:microsoft.com/office/officeart/2005/8/layout/hierarchy1"/>
    <dgm:cxn modelId="{09C94563-98F6-49C7-A94E-481A748FC1AB}" type="presParOf" srcId="{47AB9507-15A5-4B03-A85E-54DA50694D28}" destId="{4FB014EA-98BD-43A3-A7F4-F2C8807E0F21}" srcOrd="1" destOrd="0" presId="urn:microsoft.com/office/officeart/2005/8/layout/hierarchy1"/>
    <dgm:cxn modelId="{2AA798CD-0122-4A75-BF06-1E152391B357}" type="presParOf" srcId="{4FB014EA-98BD-43A3-A7F4-F2C8807E0F21}" destId="{4991C6B0-985C-4A64-88F6-272C97397725}" srcOrd="0" destOrd="0" presId="urn:microsoft.com/office/officeart/2005/8/layout/hierarchy1"/>
    <dgm:cxn modelId="{477B8A7F-D98F-47BC-9242-65F3BDAF1F38}" type="presParOf" srcId="{4991C6B0-985C-4A64-88F6-272C97397725}" destId="{90B05580-5ADB-444F-8188-1D96E74CBCB0}" srcOrd="0" destOrd="0" presId="urn:microsoft.com/office/officeart/2005/8/layout/hierarchy1"/>
    <dgm:cxn modelId="{EDAD3876-3738-4739-9330-AFA16E51E07D}" type="presParOf" srcId="{4991C6B0-985C-4A64-88F6-272C97397725}" destId="{7810A635-A6BB-4379-8D86-00224EDD5D46}" srcOrd="1" destOrd="0" presId="urn:microsoft.com/office/officeart/2005/8/layout/hierarchy1"/>
    <dgm:cxn modelId="{93A4C128-8FC5-4C7A-B4E6-38B886AE6664}" type="presParOf" srcId="{4FB014EA-98BD-43A3-A7F4-F2C8807E0F21}" destId="{11769DD8-09CC-4C62-8BF7-7C623A8B68C8}" srcOrd="1" destOrd="0" presId="urn:microsoft.com/office/officeart/2005/8/layout/hierarchy1"/>
    <dgm:cxn modelId="{CEA6774D-4DA4-46E9-B7BF-7383A23C384D}" type="presParOf" srcId="{F78E584A-ACCD-486A-8683-A569C69917FF}" destId="{2CD29C69-5A77-4CB1-B09C-78EBE5FEB813}" srcOrd="2" destOrd="0" presId="urn:microsoft.com/office/officeart/2005/8/layout/hierarchy1"/>
    <dgm:cxn modelId="{713893AC-B9DE-4885-817C-DB06B685BC26}" type="presParOf" srcId="{F78E584A-ACCD-486A-8683-A569C69917FF}" destId="{DD67CDF2-D273-4EA0-95A1-ED1B475A76B8}" srcOrd="3" destOrd="0" presId="urn:microsoft.com/office/officeart/2005/8/layout/hierarchy1"/>
    <dgm:cxn modelId="{B02B3007-6D35-4B9B-85DE-33757A406224}" type="presParOf" srcId="{DD67CDF2-D273-4EA0-95A1-ED1B475A76B8}" destId="{CD67CF99-AA6E-4983-8378-1D98D66BC35A}" srcOrd="0" destOrd="0" presId="urn:microsoft.com/office/officeart/2005/8/layout/hierarchy1"/>
    <dgm:cxn modelId="{962AA526-A8C5-4C10-9ACE-CD280B3C5D0A}" type="presParOf" srcId="{CD67CF99-AA6E-4983-8378-1D98D66BC35A}" destId="{CF573303-B9E8-4DBB-A2A5-DDD7C52E829C}" srcOrd="0" destOrd="0" presId="urn:microsoft.com/office/officeart/2005/8/layout/hierarchy1"/>
    <dgm:cxn modelId="{1AD8008B-D8BD-4B93-B607-BD0EC0CEE81F}" type="presParOf" srcId="{CD67CF99-AA6E-4983-8378-1D98D66BC35A}" destId="{9AE5C5CE-D4C5-42DD-9591-64372329A596}" srcOrd="1" destOrd="0" presId="urn:microsoft.com/office/officeart/2005/8/layout/hierarchy1"/>
    <dgm:cxn modelId="{25489AE9-3011-46BB-96FD-E0F16C452A29}" type="presParOf" srcId="{DD67CDF2-D273-4EA0-95A1-ED1B475A76B8}" destId="{2E62569B-D93E-4F8F-A4A7-1F733F687B6B}" srcOrd="1" destOrd="0" presId="urn:microsoft.com/office/officeart/2005/8/layout/hierarchy1"/>
    <dgm:cxn modelId="{25BCB653-1224-4437-B9E8-760F8D08B66D}" type="presParOf" srcId="{2E62569B-D93E-4F8F-A4A7-1F733F687B6B}" destId="{A7F7A40B-1504-40C6-8B4A-A6E48F2CE835}" srcOrd="0" destOrd="0" presId="urn:microsoft.com/office/officeart/2005/8/layout/hierarchy1"/>
    <dgm:cxn modelId="{CB66D180-0EC2-4E47-BEA0-0DB7685462AD}" type="presParOf" srcId="{2E62569B-D93E-4F8F-A4A7-1F733F687B6B}" destId="{A3CD04D7-E228-47A0-BDFC-930D8777048F}" srcOrd="1" destOrd="0" presId="urn:microsoft.com/office/officeart/2005/8/layout/hierarchy1"/>
    <dgm:cxn modelId="{C5A2D781-6F1C-4AF6-8DD6-6CB10A76F0E4}" type="presParOf" srcId="{A3CD04D7-E228-47A0-BDFC-930D8777048F}" destId="{8414B92E-4D28-4D48-9B98-278E4FF32A2C}" srcOrd="0" destOrd="0" presId="urn:microsoft.com/office/officeart/2005/8/layout/hierarchy1"/>
    <dgm:cxn modelId="{7F684D82-8464-4EF3-B3FC-542C5F987DBF}" type="presParOf" srcId="{8414B92E-4D28-4D48-9B98-278E4FF32A2C}" destId="{2DB30EA4-499B-4809-B766-30BCE294E57F}" srcOrd="0" destOrd="0" presId="urn:microsoft.com/office/officeart/2005/8/layout/hierarchy1"/>
    <dgm:cxn modelId="{A1C5B421-4447-4917-AA7C-398D2239E457}" type="presParOf" srcId="{8414B92E-4D28-4D48-9B98-278E4FF32A2C}" destId="{2FE6FEF5-97FF-4CFB-8F4B-62AB9ECC4B7B}" srcOrd="1" destOrd="0" presId="urn:microsoft.com/office/officeart/2005/8/layout/hierarchy1"/>
    <dgm:cxn modelId="{F32CA8CC-4756-41C2-BC9F-EFD2AA08436E}" type="presParOf" srcId="{A3CD04D7-E228-47A0-BDFC-930D8777048F}" destId="{5A39F5D9-551C-4466-99AB-E3800BDE8F30}" srcOrd="1" destOrd="0" presId="urn:microsoft.com/office/officeart/2005/8/layout/hierarchy1"/>
  </dgm:cxnLst>
  <dgm:bg/>
  <dgm:whole/>
  <dgm:extLst>
    <a:ext uri="http://schemas.microsoft.com/office/drawing/2008/diagram">
      <dsp:dataModelExt xmlns:dsp="http://schemas.microsoft.com/office/drawing/2008/diagram" relId="rId31"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3EF606C4-170E-4297-A7B1-3CE746156EB1}" type="doc">
      <dgm:prSet loTypeId="urn:microsoft.com/office/officeart/2005/8/layout/hierarchy2" loCatId="hierarchy" qsTypeId="urn:microsoft.com/office/officeart/2005/8/quickstyle/simple3" qsCatId="simple" csTypeId="urn:microsoft.com/office/officeart/2005/8/colors/accent1_2" csCatId="accent1" phldr="1"/>
      <dgm:spPr/>
      <dgm:t>
        <a:bodyPr/>
        <a:lstStyle/>
        <a:p>
          <a:endParaRPr lang="en-GB"/>
        </a:p>
      </dgm:t>
    </dgm:pt>
    <dgm:pt modelId="{355E18EA-E9FA-4FA3-AD1D-22D0BD2BC82A}">
      <dgm:prSet phldrT="[Text]" custT="1"/>
      <dgm:spPr/>
      <dgm:t>
        <a:bodyPr/>
        <a:lstStyle/>
        <a:p>
          <a:r>
            <a:rPr lang="en-GB" sz="1000" b="1"/>
            <a:t>Exposição ao agente infeccioso</a:t>
          </a:r>
        </a:p>
      </dgm:t>
    </dgm:pt>
    <dgm:pt modelId="{9DAAE6E1-956B-4984-BD45-ABDCD056A066}" type="parTrans" cxnId="{40906798-9B24-4CFE-9307-13341B7EE522}">
      <dgm:prSet/>
      <dgm:spPr/>
      <dgm:t>
        <a:bodyPr/>
        <a:lstStyle/>
        <a:p>
          <a:endParaRPr lang="en-GB" b="1"/>
        </a:p>
      </dgm:t>
    </dgm:pt>
    <dgm:pt modelId="{CB13D1B6-72AE-414C-87AE-5339EB2D5A76}" type="sibTrans" cxnId="{40906798-9B24-4CFE-9307-13341B7EE522}">
      <dgm:prSet/>
      <dgm:spPr/>
      <dgm:t>
        <a:bodyPr/>
        <a:lstStyle/>
        <a:p>
          <a:endParaRPr lang="en-GB" b="1"/>
        </a:p>
      </dgm:t>
    </dgm:pt>
    <dgm:pt modelId="{198CC835-97C3-4B0F-8E14-6CF5B55CB0B9}">
      <dgm:prSet phldrT="[Text]" custT="1"/>
      <dgm:spPr/>
      <dgm:t>
        <a:bodyPr/>
        <a:lstStyle/>
        <a:p>
          <a:r>
            <a:rPr lang="en-GB" sz="1000" b="1"/>
            <a:t>período de incubação</a:t>
          </a:r>
        </a:p>
      </dgm:t>
    </dgm:pt>
    <dgm:pt modelId="{DFBA9439-B1CA-40E5-BAA8-8DDDB7D78386}" type="parTrans" cxnId="{34248A0A-A211-4A78-A7FA-6A308078B2D9}">
      <dgm:prSet/>
      <dgm:spPr/>
      <dgm:t>
        <a:bodyPr/>
        <a:lstStyle/>
        <a:p>
          <a:endParaRPr lang="en-GB" b="1"/>
        </a:p>
      </dgm:t>
    </dgm:pt>
    <dgm:pt modelId="{91498729-6AC9-44F9-8C51-394A20DEA13C}" type="sibTrans" cxnId="{34248A0A-A211-4A78-A7FA-6A308078B2D9}">
      <dgm:prSet/>
      <dgm:spPr/>
      <dgm:t>
        <a:bodyPr/>
        <a:lstStyle/>
        <a:p>
          <a:endParaRPr lang="en-GB" b="1"/>
        </a:p>
      </dgm:t>
    </dgm:pt>
    <dgm:pt modelId="{2547BFF1-7EC4-4BE1-B077-B49D79E51FAD}">
      <dgm:prSet phldrT="[Text]" custT="1"/>
      <dgm:spPr/>
      <dgm:t>
        <a:bodyPr/>
        <a:lstStyle/>
        <a:p>
          <a:r>
            <a:rPr lang="en-GB" sz="1000" b="1"/>
            <a:t>período prodrômico</a:t>
          </a:r>
        </a:p>
      </dgm:t>
    </dgm:pt>
    <dgm:pt modelId="{647B9F4D-13A0-443C-AAB3-DD45C7C0091D}" type="parTrans" cxnId="{963408A3-F91F-443A-BD3E-E4D1018EBB42}">
      <dgm:prSet/>
      <dgm:spPr/>
      <dgm:t>
        <a:bodyPr/>
        <a:lstStyle/>
        <a:p>
          <a:endParaRPr lang="en-GB" b="1"/>
        </a:p>
      </dgm:t>
    </dgm:pt>
    <dgm:pt modelId="{5691274C-ECB2-435A-B5E7-ABA5B7DAC23C}" type="sibTrans" cxnId="{963408A3-F91F-443A-BD3E-E4D1018EBB42}">
      <dgm:prSet/>
      <dgm:spPr/>
      <dgm:t>
        <a:bodyPr/>
        <a:lstStyle/>
        <a:p>
          <a:endParaRPr lang="en-GB" b="1"/>
        </a:p>
      </dgm:t>
    </dgm:pt>
    <dgm:pt modelId="{897192EA-FEA3-4964-8BCF-CA31031EE483}">
      <dgm:prSet custT="1"/>
      <dgm:spPr/>
      <dgm:t>
        <a:bodyPr/>
        <a:lstStyle/>
        <a:p>
          <a:r>
            <a:rPr lang="en-GB" sz="1000" b="1"/>
            <a:t>período de doença</a:t>
          </a:r>
        </a:p>
      </dgm:t>
    </dgm:pt>
    <dgm:pt modelId="{8A3FFC7E-1150-41F7-BE54-270BF4CB8DCB}" type="parTrans" cxnId="{27CA5B01-A6B2-4368-A0C1-50464A0A98DE}">
      <dgm:prSet/>
      <dgm:spPr/>
      <dgm:t>
        <a:bodyPr/>
        <a:lstStyle/>
        <a:p>
          <a:endParaRPr lang="en-GB" b="1"/>
        </a:p>
      </dgm:t>
    </dgm:pt>
    <dgm:pt modelId="{518FF16C-7F2A-491E-8DA6-351F6442CF48}" type="sibTrans" cxnId="{27CA5B01-A6B2-4368-A0C1-50464A0A98DE}">
      <dgm:prSet/>
      <dgm:spPr/>
      <dgm:t>
        <a:bodyPr/>
        <a:lstStyle/>
        <a:p>
          <a:endParaRPr lang="en-GB" b="1"/>
        </a:p>
      </dgm:t>
    </dgm:pt>
    <dgm:pt modelId="{56040849-D961-4D6E-A728-DA64D14B4891}">
      <dgm:prSet custT="1"/>
      <dgm:spPr/>
      <dgm:t>
        <a:bodyPr/>
        <a:lstStyle/>
        <a:p>
          <a:r>
            <a:rPr lang="en-GB" sz="1000" b="1"/>
            <a:t>Convalescência</a:t>
          </a:r>
        </a:p>
      </dgm:t>
    </dgm:pt>
    <dgm:pt modelId="{72FEE967-C0EF-4DC8-B8A4-72B557912C7E}" type="parTrans" cxnId="{4415D535-79EE-4E7A-9394-9D6E10828004}">
      <dgm:prSet/>
      <dgm:spPr/>
      <dgm:t>
        <a:bodyPr/>
        <a:lstStyle/>
        <a:p>
          <a:endParaRPr lang="en-GB" b="1"/>
        </a:p>
      </dgm:t>
    </dgm:pt>
    <dgm:pt modelId="{7A8C5C94-3307-48D6-85BC-2FCF257278D0}" type="sibTrans" cxnId="{4415D535-79EE-4E7A-9394-9D6E10828004}">
      <dgm:prSet/>
      <dgm:spPr/>
      <dgm:t>
        <a:bodyPr/>
        <a:lstStyle/>
        <a:p>
          <a:endParaRPr lang="en-GB" b="1"/>
        </a:p>
      </dgm:t>
    </dgm:pt>
    <dgm:pt modelId="{93BC1E51-08A8-4782-ABF9-0071A3D9503C}">
      <dgm:prSet custT="1"/>
      <dgm:spPr/>
      <dgm:t>
        <a:bodyPr/>
        <a:lstStyle/>
        <a:p>
          <a:r>
            <a:rPr lang="en-GB" sz="1000" b="1"/>
            <a:t>Incapacidade</a:t>
          </a:r>
        </a:p>
      </dgm:t>
    </dgm:pt>
    <dgm:pt modelId="{511683A7-6270-4859-A24F-18B2ECC997C7}" type="parTrans" cxnId="{4FF69ACA-E8F2-4494-AC52-FF3D12DFCD43}">
      <dgm:prSet/>
      <dgm:spPr/>
      <dgm:t>
        <a:bodyPr/>
        <a:lstStyle/>
        <a:p>
          <a:endParaRPr lang="en-GB" b="1"/>
        </a:p>
      </dgm:t>
    </dgm:pt>
    <dgm:pt modelId="{3D96AFDF-DCAF-414C-AA75-C4ED79B3FC37}" type="sibTrans" cxnId="{4FF69ACA-E8F2-4494-AC52-FF3D12DFCD43}">
      <dgm:prSet/>
      <dgm:spPr/>
      <dgm:t>
        <a:bodyPr/>
        <a:lstStyle/>
        <a:p>
          <a:endParaRPr lang="en-GB" b="1"/>
        </a:p>
      </dgm:t>
    </dgm:pt>
    <dgm:pt modelId="{C374E781-0037-4AC8-9077-13079605413E}">
      <dgm:prSet custT="1"/>
      <dgm:spPr/>
      <dgm:t>
        <a:bodyPr/>
        <a:lstStyle/>
        <a:p>
          <a:r>
            <a:rPr lang="en-GB" sz="1000" b="1"/>
            <a:t>Morte</a:t>
          </a:r>
        </a:p>
      </dgm:t>
    </dgm:pt>
    <dgm:pt modelId="{03ED2C88-20FC-4143-B039-F2AAE3EF2D32}" type="parTrans" cxnId="{2D8D3668-4AF2-462F-B575-75A626D68D36}">
      <dgm:prSet/>
      <dgm:spPr/>
      <dgm:t>
        <a:bodyPr/>
        <a:lstStyle/>
        <a:p>
          <a:endParaRPr lang="en-GB" b="1"/>
        </a:p>
      </dgm:t>
    </dgm:pt>
    <dgm:pt modelId="{9F39951A-8813-4895-9787-681769DB5461}" type="sibTrans" cxnId="{2D8D3668-4AF2-462F-B575-75A626D68D36}">
      <dgm:prSet/>
      <dgm:spPr/>
      <dgm:t>
        <a:bodyPr/>
        <a:lstStyle/>
        <a:p>
          <a:endParaRPr lang="en-GB" b="1"/>
        </a:p>
      </dgm:t>
    </dgm:pt>
    <dgm:pt modelId="{FCDC603D-3131-4F08-AF44-A9D6C8C8D6E6}" type="pres">
      <dgm:prSet presAssocID="{3EF606C4-170E-4297-A7B1-3CE746156EB1}" presName="diagram" presStyleCnt="0">
        <dgm:presLayoutVars>
          <dgm:chPref val="1"/>
          <dgm:dir/>
          <dgm:animOne val="branch"/>
          <dgm:animLvl val="lvl"/>
          <dgm:resizeHandles val="exact"/>
        </dgm:presLayoutVars>
      </dgm:prSet>
      <dgm:spPr/>
      <dgm:t>
        <a:bodyPr/>
        <a:lstStyle/>
        <a:p>
          <a:endParaRPr lang="en-US"/>
        </a:p>
      </dgm:t>
    </dgm:pt>
    <dgm:pt modelId="{3C47C2D8-CF94-42C2-B2B6-F416E85499B2}" type="pres">
      <dgm:prSet presAssocID="{355E18EA-E9FA-4FA3-AD1D-22D0BD2BC82A}" presName="root1" presStyleCnt="0"/>
      <dgm:spPr/>
    </dgm:pt>
    <dgm:pt modelId="{114AD84F-00AE-4BC4-8C42-2414E6247A87}" type="pres">
      <dgm:prSet presAssocID="{355E18EA-E9FA-4FA3-AD1D-22D0BD2BC82A}" presName="LevelOneTextNode" presStyleLbl="node0" presStyleIdx="0" presStyleCnt="1" custScaleX="132522" custScaleY="168450">
        <dgm:presLayoutVars>
          <dgm:chPref val="3"/>
        </dgm:presLayoutVars>
      </dgm:prSet>
      <dgm:spPr/>
      <dgm:t>
        <a:bodyPr/>
        <a:lstStyle/>
        <a:p>
          <a:endParaRPr lang="en-GB"/>
        </a:p>
      </dgm:t>
    </dgm:pt>
    <dgm:pt modelId="{D7995C44-3720-4CF7-9519-69C50EA78185}" type="pres">
      <dgm:prSet presAssocID="{355E18EA-E9FA-4FA3-AD1D-22D0BD2BC82A}" presName="level2hierChild" presStyleCnt="0"/>
      <dgm:spPr/>
    </dgm:pt>
    <dgm:pt modelId="{E365D743-2ACC-4497-B191-0452146697B2}" type="pres">
      <dgm:prSet presAssocID="{DFBA9439-B1CA-40E5-BAA8-8DDDB7D78386}" presName="conn2-1" presStyleLbl="parChTrans1D2" presStyleIdx="0" presStyleCnt="1"/>
      <dgm:spPr/>
      <dgm:t>
        <a:bodyPr/>
        <a:lstStyle/>
        <a:p>
          <a:endParaRPr lang="en-US"/>
        </a:p>
      </dgm:t>
    </dgm:pt>
    <dgm:pt modelId="{7189C179-CC35-42F0-AD91-354BB709D2DB}" type="pres">
      <dgm:prSet presAssocID="{DFBA9439-B1CA-40E5-BAA8-8DDDB7D78386}" presName="connTx" presStyleLbl="parChTrans1D2" presStyleIdx="0" presStyleCnt="1"/>
      <dgm:spPr/>
      <dgm:t>
        <a:bodyPr/>
        <a:lstStyle/>
        <a:p>
          <a:endParaRPr lang="en-US"/>
        </a:p>
      </dgm:t>
    </dgm:pt>
    <dgm:pt modelId="{F0C9F7CD-2A7A-4C5C-8DCF-AE133814CA6D}" type="pres">
      <dgm:prSet presAssocID="{198CC835-97C3-4B0F-8E14-6CF5B55CB0B9}" presName="root2" presStyleCnt="0"/>
      <dgm:spPr/>
    </dgm:pt>
    <dgm:pt modelId="{946FEF02-4667-4195-9219-531D3DCBBE7E}" type="pres">
      <dgm:prSet presAssocID="{198CC835-97C3-4B0F-8E14-6CF5B55CB0B9}" presName="LevelTwoTextNode" presStyleLbl="node2" presStyleIdx="0" presStyleCnt="1" custScaleY="171961">
        <dgm:presLayoutVars>
          <dgm:chPref val="3"/>
        </dgm:presLayoutVars>
      </dgm:prSet>
      <dgm:spPr/>
      <dgm:t>
        <a:bodyPr/>
        <a:lstStyle/>
        <a:p>
          <a:endParaRPr lang="en-US"/>
        </a:p>
      </dgm:t>
    </dgm:pt>
    <dgm:pt modelId="{C420DFD9-DF30-457C-8FDD-E6044020C628}" type="pres">
      <dgm:prSet presAssocID="{198CC835-97C3-4B0F-8E14-6CF5B55CB0B9}" presName="level3hierChild" presStyleCnt="0"/>
      <dgm:spPr/>
    </dgm:pt>
    <dgm:pt modelId="{E9C07AFC-2C24-456D-A01E-09956F556A57}" type="pres">
      <dgm:prSet presAssocID="{647B9F4D-13A0-443C-AAB3-DD45C7C0091D}" presName="conn2-1" presStyleLbl="parChTrans1D3" presStyleIdx="0" presStyleCnt="1"/>
      <dgm:spPr/>
      <dgm:t>
        <a:bodyPr/>
        <a:lstStyle/>
        <a:p>
          <a:endParaRPr lang="en-US"/>
        </a:p>
      </dgm:t>
    </dgm:pt>
    <dgm:pt modelId="{4F8840DD-1F94-4FCB-9A37-1EE1A9D9422F}" type="pres">
      <dgm:prSet presAssocID="{647B9F4D-13A0-443C-AAB3-DD45C7C0091D}" presName="connTx" presStyleLbl="parChTrans1D3" presStyleIdx="0" presStyleCnt="1"/>
      <dgm:spPr/>
      <dgm:t>
        <a:bodyPr/>
        <a:lstStyle/>
        <a:p>
          <a:endParaRPr lang="en-US"/>
        </a:p>
      </dgm:t>
    </dgm:pt>
    <dgm:pt modelId="{C93ACBEF-5D9D-4A65-A417-BFF5031F9FB0}" type="pres">
      <dgm:prSet presAssocID="{2547BFF1-7EC4-4BE1-B077-B49D79E51FAD}" presName="root2" presStyleCnt="0"/>
      <dgm:spPr/>
    </dgm:pt>
    <dgm:pt modelId="{CE1ED3A4-173A-4C5C-8E8F-9DD5933BDAFB}" type="pres">
      <dgm:prSet presAssocID="{2547BFF1-7EC4-4BE1-B077-B49D79E51FAD}" presName="LevelTwoTextNode" presStyleLbl="node3" presStyleIdx="0" presStyleCnt="1" custScaleY="157819" custLinFactNeighborX="187">
        <dgm:presLayoutVars>
          <dgm:chPref val="3"/>
        </dgm:presLayoutVars>
      </dgm:prSet>
      <dgm:spPr/>
      <dgm:t>
        <a:bodyPr/>
        <a:lstStyle/>
        <a:p>
          <a:endParaRPr lang="en-US"/>
        </a:p>
      </dgm:t>
    </dgm:pt>
    <dgm:pt modelId="{C8AD3367-C8CA-4F28-B7C1-5B09B4A2651E}" type="pres">
      <dgm:prSet presAssocID="{2547BFF1-7EC4-4BE1-B077-B49D79E51FAD}" presName="level3hierChild" presStyleCnt="0"/>
      <dgm:spPr/>
    </dgm:pt>
    <dgm:pt modelId="{95B5E7C5-EB48-4101-A350-71581D8DFAEE}" type="pres">
      <dgm:prSet presAssocID="{8A3FFC7E-1150-41F7-BE54-270BF4CB8DCB}" presName="conn2-1" presStyleLbl="parChTrans1D4" presStyleIdx="0" presStyleCnt="4"/>
      <dgm:spPr/>
      <dgm:t>
        <a:bodyPr/>
        <a:lstStyle/>
        <a:p>
          <a:endParaRPr lang="en-US"/>
        </a:p>
      </dgm:t>
    </dgm:pt>
    <dgm:pt modelId="{F027C298-263B-484E-8A27-0D1D5B37317E}" type="pres">
      <dgm:prSet presAssocID="{8A3FFC7E-1150-41F7-BE54-270BF4CB8DCB}" presName="connTx" presStyleLbl="parChTrans1D4" presStyleIdx="0" presStyleCnt="4"/>
      <dgm:spPr/>
      <dgm:t>
        <a:bodyPr/>
        <a:lstStyle/>
        <a:p>
          <a:endParaRPr lang="en-US"/>
        </a:p>
      </dgm:t>
    </dgm:pt>
    <dgm:pt modelId="{8A090563-915B-4300-917E-85A2DB4FFA2F}" type="pres">
      <dgm:prSet presAssocID="{897192EA-FEA3-4964-8BCF-CA31031EE483}" presName="root2" presStyleCnt="0"/>
      <dgm:spPr/>
    </dgm:pt>
    <dgm:pt modelId="{5CAB8489-579F-4CCC-B2B5-009DA8BD569B}" type="pres">
      <dgm:prSet presAssocID="{897192EA-FEA3-4964-8BCF-CA31031EE483}" presName="LevelTwoTextNode" presStyleLbl="node4" presStyleIdx="0" presStyleCnt="4" custScaleY="157820">
        <dgm:presLayoutVars>
          <dgm:chPref val="3"/>
        </dgm:presLayoutVars>
      </dgm:prSet>
      <dgm:spPr/>
      <dgm:t>
        <a:bodyPr/>
        <a:lstStyle/>
        <a:p>
          <a:endParaRPr lang="en-US"/>
        </a:p>
      </dgm:t>
    </dgm:pt>
    <dgm:pt modelId="{79F14085-1FBA-4597-804A-E45221B6BBD8}" type="pres">
      <dgm:prSet presAssocID="{897192EA-FEA3-4964-8BCF-CA31031EE483}" presName="level3hierChild" presStyleCnt="0"/>
      <dgm:spPr/>
    </dgm:pt>
    <dgm:pt modelId="{EB2E30BB-390D-453F-BDE0-B96D53FBF1CE}" type="pres">
      <dgm:prSet presAssocID="{03ED2C88-20FC-4143-B039-F2AAE3EF2D32}" presName="conn2-1" presStyleLbl="parChTrans1D4" presStyleIdx="1" presStyleCnt="4"/>
      <dgm:spPr/>
      <dgm:t>
        <a:bodyPr/>
        <a:lstStyle/>
        <a:p>
          <a:endParaRPr lang="en-US"/>
        </a:p>
      </dgm:t>
    </dgm:pt>
    <dgm:pt modelId="{7A4FA275-EEEB-424A-8BF6-6F603DD9D2E8}" type="pres">
      <dgm:prSet presAssocID="{03ED2C88-20FC-4143-B039-F2AAE3EF2D32}" presName="connTx" presStyleLbl="parChTrans1D4" presStyleIdx="1" presStyleCnt="4"/>
      <dgm:spPr/>
      <dgm:t>
        <a:bodyPr/>
        <a:lstStyle/>
        <a:p>
          <a:endParaRPr lang="en-US"/>
        </a:p>
      </dgm:t>
    </dgm:pt>
    <dgm:pt modelId="{1EDC716A-9F8C-42E5-BA27-5C0D47F70259}" type="pres">
      <dgm:prSet presAssocID="{C374E781-0037-4AC8-9077-13079605413E}" presName="root2" presStyleCnt="0"/>
      <dgm:spPr/>
    </dgm:pt>
    <dgm:pt modelId="{F405063E-9B88-4D17-B516-168D9419FF43}" type="pres">
      <dgm:prSet presAssocID="{C374E781-0037-4AC8-9077-13079605413E}" presName="LevelTwoTextNode" presStyleLbl="node4" presStyleIdx="1" presStyleCnt="4" custScaleY="144665">
        <dgm:presLayoutVars>
          <dgm:chPref val="3"/>
        </dgm:presLayoutVars>
      </dgm:prSet>
      <dgm:spPr/>
      <dgm:t>
        <a:bodyPr/>
        <a:lstStyle/>
        <a:p>
          <a:endParaRPr lang="en-GB"/>
        </a:p>
      </dgm:t>
    </dgm:pt>
    <dgm:pt modelId="{F2BC2FC7-1580-4D71-A265-CCCA945E5932}" type="pres">
      <dgm:prSet presAssocID="{C374E781-0037-4AC8-9077-13079605413E}" presName="level3hierChild" presStyleCnt="0"/>
      <dgm:spPr/>
    </dgm:pt>
    <dgm:pt modelId="{811310AA-2047-4646-93E1-985F2C4A6CA2}" type="pres">
      <dgm:prSet presAssocID="{72FEE967-C0EF-4DC8-B8A4-72B557912C7E}" presName="conn2-1" presStyleLbl="parChTrans1D4" presStyleIdx="2" presStyleCnt="4"/>
      <dgm:spPr/>
      <dgm:t>
        <a:bodyPr/>
        <a:lstStyle/>
        <a:p>
          <a:endParaRPr lang="en-US"/>
        </a:p>
      </dgm:t>
    </dgm:pt>
    <dgm:pt modelId="{BCD92551-F7C6-41D7-B29D-A47FBCE1AA0B}" type="pres">
      <dgm:prSet presAssocID="{72FEE967-C0EF-4DC8-B8A4-72B557912C7E}" presName="connTx" presStyleLbl="parChTrans1D4" presStyleIdx="2" presStyleCnt="4"/>
      <dgm:spPr/>
      <dgm:t>
        <a:bodyPr/>
        <a:lstStyle/>
        <a:p>
          <a:endParaRPr lang="en-US"/>
        </a:p>
      </dgm:t>
    </dgm:pt>
    <dgm:pt modelId="{A08F71C0-E2E3-4FD3-8F94-20A28BD61E52}" type="pres">
      <dgm:prSet presAssocID="{56040849-D961-4D6E-A728-DA64D14B4891}" presName="root2" presStyleCnt="0"/>
      <dgm:spPr/>
    </dgm:pt>
    <dgm:pt modelId="{13E886AE-D836-4FE8-8488-22E05675ADCA}" type="pres">
      <dgm:prSet presAssocID="{56040849-D961-4D6E-A728-DA64D14B4891}" presName="LevelTwoTextNode" presStyleLbl="node4" presStyleIdx="2" presStyleCnt="4" custScaleY="136488">
        <dgm:presLayoutVars>
          <dgm:chPref val="3"/>
        </dgm:presLayoutVars>
      </dgm:prSet>
      <dgm:spPr/>
      <dgm:t>
        <a:bodyPr/>
        <a:lstStyle/>
        <a:p>
          <a:endParaRPr lang="en-US"/>
        </a:p>
      </dgm:t>
    </dgm:pt>
    <dgm:pt modelId="{17449088-0E36-4955-8F29-72143C7AA4B7}" type="pres">
      <dgm:prSet presAssocID="{56040849-D961-4D6E-A728-DA64D14B4891}" presName="level3hierChild" presStyleCnt="0"/>
      <dgm:spPr/>
    </dgm:pt>
    <dgm:pt modelId="{A1035E57-9875-44AF-9E74-AA87E5AD7239}" type="pres">
      <dgm:prSet presAssocID="{511683A7-6270-4859-A24F-18B2ECC997C7}" presName="conn2-1" presStyleLbl="parChTrans1D4" presStyleIdx="3" presStyleCnt="4"/>
      <dgm:spPr/>
      <dgm:t>
        <a:bodyPr/>
        <a:lstStyle/>
        <a:p>
          <a:endParaRPr lang="en-US"/>
        </a:p>
      </dgm:t>
    </dgm:pt>
    <dgm:pt modelId="{71551FE2-1001-42A8-84FD-216291ABCA83}" type="pres">
      <dgm:prSet presAssocID="{511683A7-6270-4859-A24F-18B2ECC997C7}" presName="connTx" presStyleLbl="parChTrans1D4" presStyleIdx="3" presStyleCnt="4"/>
      <dgm:spPr/>
      <dgm:t>
        <a:bodyPr/>
        <a:lstStyle/>
        <a:p>
          <a:endParaRPr lang="en-US"/>
        </a:p>
      </dgm:t>
    </dgm:pt>
    <dgm:pt modelId="{2CDED5DA-D60B-4524-8CDD-D975D7F143EE}" type="pres">
      <dgm:prSet presAssocID="{93BC1E51-08A8-4782-ABF9-0071A3D9503C}" presName="root2" presStyleCnt="0"/>
      <dgm:spPr/>
    </dgm:pt>
    <dgm:pt modelId="{7044DF54-32CF-4E76-9A1D-117AFB050FCD}" type="pres">
      <dgm:prSet presAssocID="{93BC1E51-08A8-4782-ABF9-0071A3D9503C}" presName="LevelTwoTextNode" presStyleLbl="node4" presStyleIdx="3" presStyleCnt="4" custScaleY="134276">
        <dgm:presLayoutVars>
          <dgm:chPref val="3"/>
        </dgm:presLayoutVars>
      </dgm:prSet>
      <dgm:spPr/>
      <dgm:t>
        <a:bodyPr/>
        <a:lstStyle/>
        <a:p>
          <a:endParaRPr lang="en-US"/>
        </a:p>
      </dgm:t>
    </dgm:pt>
    <dgm:pt modelId="{EE6F3D80-DCBF-44E9-9FEE-4130AFDBCF13}" type="pres">
      <dgm:prSet presAssocID="{93BC1E51-08A8-4782-ABF9-0071A3D9503C}" presName="level3hierChild" presStyleCnt="0"/>
      <dgm:spPr/>
    </dgm:pt>
  </dgm:ptLst>
  <dgm:cxnLst>
    <dgm:cxn modelId="{7919BF20-259C-4C9A-8098-4F73068399C5}" type="presOf" srcId="{2547BFF1-7EC4-4BE1-B077-B49D79E51FAD}" destId="{CE1ED3A4-173A-4C5C-8E8F-9DD5933BDAFB}" srcOrd="0" destOrd="0" presId="urn:microsoft.com/office/officeart/2005/8/layout/hierarchy2"/>
    <dgm:cxn modelId="{4FF69ACA-E8F2-4494-AC52-FF3D12DFCD43}" srcId="{897192EA-FEA3-4964-8BCF-CA31031EE483}" destId="{93BC1E51-08A8-4782-ABF9-0071A3D9503C}" srcOrd="2" destOrd="0" parTransId="{511683A7-6270-4859-A24F-18B2ECC997C7}" sibTransId="{3D96AFDF-DCAF-414C-AA75-C4ED79B3FC37}"/>
    <dgm:cxn modelId="{EC7454B7-3EE0-40FB-86EF-4F628D204410}" type="presOf" srcId="{93BC1E51-08A8-4782-ABF9-0071A3D9503C}" destId="{7044DF54-32CF-4E76-9A1D-117AFB050FCD}" srcOrd="0" destOrd="0" presId="urn:microsoft.com/office/officeart/2005/8/layout/hierarchy2"/>
    <dgm:cxn modelId="{603D4636-873A-4A64-8D6F-F7A6164B5DF9}" type="presOf" srcId="{8A3FFC7E-1150-41F7-BE54-270BF4CB8DCB}" destId="{F027C298-263B-484E-8A27-0D1D5B37317E}" srcOrd="1" destOrd="0" presId="urn:microsoft.com/office/officeart/2005/8/layout/hierarchy2"/>
    <dgm:cxn modelId="{4415D535-79EE-4E7A-9394-9D6E10828004}" srcId="{897192EA-FEA3-4964-8BCF-CA31031EE483}" destId="{56040849-D961-4D6E-A728-DA64D14B4891}" srcOrd="1" destOrd="0" parTransId="{72FEE967-C0EF-4DC8-B8A4-72B557912C7E}" sibTransId="{7A8C5C94-3307-48D6-85BC-2FCF257278D0}"/>
    <dgm:cxn modelId="{6F97AE7E-0B88-4381-80C3-7E16EB625159}" type="presOf" srcId="{DFBA9439-B1CA-40E5-BAA8-8DDDB7D78386}" destId="{7189C179-CC35-42F0-AD91-354BB709D2DB}" srcOrd="1" destOrd="0" presId="urn:microsoft.com/office/officeart/2005/8/layout/hierarchy2"/>
    <dgm:cxn modelId="{5777705D-CBED-4B4D-A426-DD0010B5F487}" type="presOf" srcId="{3EF606C4-170E-4297-A7B1-3CE746156EB1}" destId="{FCDC603D-3131-4F08-AF44-A9D6C8C8D6E6}" srcOrd="0" destOrd="0" presId="urn:microsoft.com/office/officeart/2005/8/layout/hierarchy2"/>
    <dgm:cxn modelId="{FB1A2150-7FF6-482A-8D4B-6C4A70E6D86A}" type="presOf" srcId="{C374E781-0037-4AC8-9077-13079605413E}" destId="{F405063E-9B88-4D17-B516-168D9419FF43}" srcOrd="0" destOrd="0" presId="urn:microsoft.com/office/officeart/2005/8/layout/hierarchy2"/>
    <dgm:cxn modelId="{BD5931F6-E9BC-4D71-9AA3-55E078FA32FA}" type="presOf" srcId="{DFBA9439-B1CA-40E5-BAA8-8DDDB7D78386}" destId="{E365D743-2ACC-4497-B191-0452146697B2}" srcOrd="0" destOrd="0" presId="urn:microsoft.com/office/officeart/2005/8/layout/hierarchy2"/>
    <dgm:cxn modelId="{A9DFA2C6-3911-457C-B790-6F4E1904E297}" type="presOf" srcId="{8A3FFC7E-1150-41F7-BE54-270BF4CB8DCB}" destId="{95B5E7C5-EB48-4101-A350-71581D8DFAEE}" srcOrd="0" destOrd="0" presId="urn:microsoft.com/office/officeart/2005/8/layout/hierarchy2"/>
    <dgm:cxn modelId="{4954E18B-6B32-4379-8D79-8FE3CAC49277}" type="presOf" srcId="{03ED2C88-20FC-4143-B039-F2AAE3EF2D32}" destId="{7A4FA275-EEEB-424A-8BF6-6F603DD9D2E8}" srcOrd="1" destOrd="0" presId="urn:microsoft.com/office/officeart/2005/8/layout/hierarchy2"/>
    <dgm:cxn modelId="{27CA5B01-A6B2-4368-A0C1-50464A0A98DE}" srcId="{2547BFF1-7EC4-4BE1-B077-B49D79E51FAD}" destId="{897192EA-FEA3-4964-8BCF-CA31031EE483}" srcOrd="0" destOrd="0" parTransId="{8A3FFC7E-1150-41F7-BE54-270BF4CB8DCB}" sibTransId="{518FF16C-7F2A-491E-8DA6-351F6442CF48}"/>
    <dgm:cxn modelId="{1204DB9C-55E3-46EB-95B1-7000B14715C5}" type="presOf" srcId="{647B9F4D-13A0-443C-AAB3-DD45C7C0091D}" destId="{4F8840DD-1F94-4FCB-9A37-1EE1A9D9422F}" srcOrd="1" destOrd="0" presId="urn:microsoft.com/office/officeart/2005/8/layout/hierarchy2"/>
    <dgm:cxn modelId="{34248A0A-A211-4A78-A7FA-6A308078B2D9}" srcId="{355E18EA-E9FA-4FA3-AD1D-22D0BD2BC82A}" destId="{198CC835-97C3-4B0F-8E14-6CF5B55CB0B9}" srcOrd="0" destOrd="0" parTransId="{DFBA9439-B1CA-40E5-BAA8-8DDDB7D78386}" sibTransId="{91498729-6AC9-44F9-8C51-394A20DEA13C}"/>
    <dgm:cxn modelId="{733A18C7-C59F-4D51-84F1-2DD183B9B564}" type="presOf" srcId="{72FEE967-C0EF-4DC8-B8A4-72B557912C7E}" destId="{811310AA-2047-4646-93E1-985F2C4A6CA2}" srcOrd="0" destOrd="0" presId="urn:microsoft.com/office/officeart/2005/8/layout/hierarchy2"/>
    <dgm:cxn modelId="{E8652F23-E7C5-48AE-9A67-39E4706ADC42}" type="presOf" srcId="{647B9F4D-13A0-443C-AAB3-DD45C7C0091D}" destId="{E9C07AFC-2C24-456D-A01E-09956F556A57}" srcOrd="0" destOrd="0" presId="urn:microsoft.com/office/officeart/2005/8/layout/hierarchy2"/>
    <dgm:cxn modelId="{78C36C4C-C8F9-4367-96C6-A26D5A9E9727}" type="presOf" srcId="{198CC835-97C3-4B0F-8E14-6CF5B55CB0B9}" destId="{946FEF02-4667-4195-9219-531D3DCBBE7E}" srcOrd="0" destOrd="0" presId="urn:microsoft.com/office/officeart/2005/8/layout/hierarchy2"/>
    <dgm:cxn modelId="{FB611A87-D60F-486F-A830-DF7C4A74BB0A}" type="presOf" srcId="{03ED2C88-20FC-4143-B039-F2AAE3EF2D32}" destId="{EB2E30BB-390D-453F-BDE0-B96D53FBF1CE}" srcOrd="0" destOrd="0" presId="urn:microsoft.com/office/officeart/2005/8/layout/hierarchy2"/>
    <dgm:cxn modelId="{676DB492-0385-4465-AEB4-05DAD937C292}" type="presOf" srcId="{511683A7-6270-4859-A24F-18B2ECC997C7}" destId="{A1035E57-9875-44AF-9E74-AA87E5AD7239}" srcOrd="0" destOrd="0" presId="urn:microsoft.com/office/officeart/2005/8/layout/hierarchy2"/>
    <dgm:cxn modelId="{D8461E11-5B55-4468-897C-745B281CA98B}" type="presOf" srcId="{511683A7-6270-4859-A24F-18B2ECC997C7}" destId="{71551FE2-1001-42A8-84FD-216291ABCA83}" srcOrd="1" destOrd="0" presId="urn:microsoft.com/office/officeart/2005/8/layout/hierarchy2"/>
    <dgm:cxn modelId="{963408A3-F91F-443A-BD3E-E4D1018EBB42}" srcId="{198CC835-97C3-4B0F-8E14-6CF5B55CB0B9}" destId="{2547BFF1-7EC4-4BE1-B077-B49D79E51FAD}" srcOrd="0" destOrd="0" parTransId="{647B9F4D-13A0-443C-AAB3-DD45C7C0091D}" sibTransId="{5691274C-ECB2-435A-B5E7-ABA5B7DAC23C}"/>
    <dgm:cxn modelId="{E6EA83C4-5EDD-45C1-AA1B-3F1FD96653B6}" type="presOf" srcId="{72FEE967-C0EF-4DC8-B8A4-72B557912C7E}" destId="{BCD92551-F7C6-41D7-B29D-A47FBCE1AA0B}" srcOrd="1" destOrd="0" presId="urn:microsoft.com/office/officeart/2005/8/layout/hierarchy2"/>
    <dgm:cxn modelId="{40906798-9B24-4CFE-9307-13341B7EE522}" srcId="{3EF606C4-170E-4297-A7B1-3CE746156EB1}" destId="{355E18EA-E9FA-4FA3-AD1D-22D0BD2BC82A}" srcOrd="0" destOrd="0" parTransId="{9DAAE6E1-956B-4984-BD45-ABDCD056A066}" sibTransId="{CB13D1B6-72AE-414C-87AE-5339EB2D5A76}"/>
    <dgm:cxn modelId="{FA6EE489-9AD8-4E76-84C5-44D1CE7E85C3}" type="presOf" srcId="{56040849-D961-4D6E-A728-DA64D14B4891}" destId="{13E886AE-D836-4FE8-8488-22E05675ADCA}" srcOrd="0" destOrd="0" presId="urn:microsoft.com/office/officeart/2005/8/layout/hierarchy2"/>
    <dgm:cxn modelId="{2D8D3668-4AF2-462F-B575-75A626D68D36}" srcId="{897192EA-FEA3-4964-8BCF-CA31031EE483}" destId="{C374E781-0037-4AC8-9077-13079605413E}" srcOrd="0" destOrd="0" parTransId="{03ED2C88-20FC-4143-B039-F2AAE3EF2D32}" sibTransId="{9F39951A-8813-4895-9787-681769DB5461}"/>
    <dgm:cxn modelId="{316EECA3-B073-4E7A-B81B-EE7E1F580CA1}" type="presOf" srcId="{897192EA-FEA3-4964-8BCF-CA31031EE483}" destId="{5CAB8489-579F-4CCC-B2B5-009DA8BD569B}" srcOrd="0" destOrd="0" presId="urn:microsoft.com/office/officeart/2005/8/layout/hierarchy2"/>
    <dgm:cxn modelId="{F0E8E3B7-7560-4D1C-9D5D-68324306F1CC}" type="presOf" srcId="{355E18EA-E9FA-4FA3-AD1D-22D0BD2BC82A}" destId="{114AD84F-00AE-4BC4-8C42-2414E6247A87}" srcOrd="0" destOrd="0" presId="urn:microsoft.com/office/officeart/2005/8/layout/hierarchy2"/>
    <dgm:cxn modelId="{D039F2E3-3F5F-4484-BAE9-C98CC669461C}" type="presParOf" srcId="{FCDC603D-3131-4F08-AF44-A9D6C8C8D6E6}" destId="{3C47C2D8-CF94-42C2-B2B6-F416E85499B2}" srcOrd="0" destOrd="0" presId="urn:microsoft.com/office/officeart/2005/8/layout/hierarchy2"/>
    <dgm:cxn modelId="{FAC18831-4CE8-4642-888C-9DB633E12A23}" type="presParOf" srcId="{3C47C2D8-CF94-42C2-B2B6-F416E85499B2}" destId="{114AD84F-00AE-4BC4-8C42-2414E6247A87}" srcOrd="0" destOrd="0" presId="urn:microsoft.com/office/officeart/2005/8/layout/hierarchy2"/>
    <dgm:cxn modelId="{8625D9C3-F577-4121-8452-ABEDB5590740}" type="presParOf" srcId="{3C47C2D8-CF94-42C2-B2B6-F416E85499B2}" destId="{D7995C44-3720-4CF7-9519-69C50EA78185}" srcOrd="1" destOrd="0" presId="urn:microsoft.com/office/officeart/2005/8/layout/hierarchy2"/>
    <dgm:cxn modelId="{07038678-2D56-4D0A-AB0A-E37E7C8048C4}" type="presParOf" srcId="{D7995C44-3720-4CF7-9519-69C50EA78185}" destId="{E365D743-2ACC-4497-B191-0452146697B2}" srcOrd="0" destOrd="0" presId="urn:microsoft.com/office/officeart/2005/8/layout/hierarchy2"/>
    <dgm:cxn modelId="{73A25544-E240-4774-97E7-36365135FF5F}" type="presParOf" srcId="{E365D743-2ACC-4497-B191-0452146697B2}" destId="{7189C179-CC35-42F0-AD91-354BB709D2DB}" srcOrd="0" destOrd="0" presId="urn:microsoft.com/office/officeart/2005/8/layout/hierarchy2"/>
    <dgm:cxn modelId="{BBBC3468-EACF-4CC5-95CC-27906BC00CAE}" type="presParOf" srcId="{D7995C44-3720-4CF7-9519-69C50EA78185}" destId="{F0C9F7CD-2A7A-4C5C-8DCF-AE133814CA6D}" srcOrd="1" destOrd="0" presId="urn:microsoft.com/office/officeart/2005/8/layout/hierarchy2"/>
    <dgm:cxn modelId="{EB1AF8F0-E861-497D-8CCF-005FB8622FC2}" type="presParOf" srcId="{F0C9F7CD-2A7A-4C5C-8DCF-AE133814CA6D}" destId="{946FEF02-4667-4195-9219-531D3DCBBE7E}" srcOrd="0" destOrd="0" presId="urn:microsoft.com/office/officeart/2005/8/layout/hierarchy2"/>
    <dgm:cxn modelId="{7A568AF4-B93A-42C9-9DD3-2BF271258F26}" type="presParOf" srcId="{F0C9F7CD-2A7A-4C5C-8DCF-AE133814CA6D}" destId="{C420DFD9-DF30-457C-8FDD-E6044020C628}" srcOrd="1" destOrd="0" presId="urn:microsoft.com/office/officeart/2005/8/layout/hierarchy2"/>
    <dgm:cxn modelId="{572051FA-E452-451B-90ED-2B49391869B8}" type="presParOf" srcId="{C420DFD9-DF30-457C-8FDD-E6044020C628}" destId="{E9C07AFC-2C24-456D-A01E-09956F556A57}" srcOrd="0" destOrd="0" presId="urn:microsoft.com/office/officeart/2005/8/layout/hierarchy2"/>
    <dgm:cxn modelId="{338CE8BB-0895-491F-8A5F-67CAD41AB1F8}" type="presParOf" srcId="{E9C07AFC-2C24-456D-A01E-09956F556A57}" destId="{4F8840DD-1F94-4FCB-9A37-1EE1A9D9422F}" srcOrd="0" destOrd="0" presId="urn:microsoft.com/office/officeart/2005/8/layout/hierarchy2"/>
    <dgm:cxn modelId="{A39A07F4-6B74-4934-ABA7-36DFDE7EF88F}" type="presParOf" srcId="{C420DFD9-DF30-457C-8FDD-E6044020C628}" destId="{C93ACBEF-5D9D-4A65-A417-BFF5031F9FB0}" srcOrd="1" destOrd="0" presId="urn:microsoft.com/office/officeart/2005/8/layout/hierarchy2"/>
    <dgm:cxn modelId="{766DA0D9-74AB-4783-B666-265E46B2AF24}" type="presParOf" srcId="{C93ACBEF-5D9D-4A65-A417-BFF5031F9FB0}" destId="{CE1ED3A4-173A-4C5C-8E8F-9DD5933BDAFB}" srcOrd="0" destOrd="0" presId="urn:microsoft.com/office/officeart/2005/8/layout/hierarchy2"/>
    <dgm:cxn modelId="{412841AF-3B82-490A-989F-43B2BE661FD0}" type="presParOf" srcId="{C93ACBEF-5D9D-4A65-A417-BFF5031F9FB0}" destId="{C8AD3367-C8CA-4F28-B7C1-5B09B4A2651E}" srcOrd="1" destOrd="0" presId="urn:microsoft.com/office/officeart/2005/8/layout/hierarchy2"/>
    <dgm:cxn modelId="{B8D85433-F393-49B5-BE7B-C05B121D9CFC}" type="presParOf" srcId="{C8AD3367-C8CA-4F28-B7C1-5B09B4A2651E}" destId="{95B5E7C5-EB48-4101-A350-71581D8DFAEE}" srcOrd="0" destOrd="0" presId="urn:microsoft.com/office/officeart/2005/8/layout/hierarchy2"/>
    <dgm:cxn modelId="{EAC1A4CB-8591-40F9-9405-5C2848467CE9}" type="presParOf" srcId="{95B5E7C5-EB48-4101-A350-71581D8DFAEE}" destId="{F027C298-263B-484E-8A27-0D1D5B37317E}" srcOrd="0" destOrd="0" presId="urn:microsoft.com/office/officeart/2005/8/layout/hierarchy2"/>
    <dgm:cxn modelId="{D5619616-FAB4-4664-9BC6-09D3A687CA75}" type="presParOf" srcId="{C8AD3367-C8CA-4F28-B7C1-5B09B4A2651E}" destId="{8A090563-915B-4300-917E-85A2DB4FFA2F}" srcOrd="1" destOrd="0" presId="urn:microsoft.com/office/officeart/2005/8/layout/hierarchy2"/>
    <dgm:cxn modelId="{A6B3F248-4BA1-4F90-ADEE-A1C355ADB8AA}" type="presParOf" srcId="{8A090563-915B-4300-917E-85A2DB4FFA2F}" destId="{5CAB8489-579F-4CCC-B2B5-009DA8BD569B}" srcOrd="0" destOrd="0" presId="urn:microsoft.com/office/officeart/2005/8/layout/hierarchy2"/>
    <dgm:cxn modelId="{1F4B4AEB-4455-487C-AA6D-439357947D47}" type="presParOf" srcId="{8A090563-915B-4300-917E-85A2DB4FFA2F}" destId="{79F14085-1FBA-4597-804A-E45221B6BBD8}" srcOrd="1" destOrd="0" presId="urn:microsoft.com/office/officeart/2005/8/layout/hierarchy2"/>
    <dgm:cxn modelId="{6B3D6449-DD18-4847-A42D-B51FF452813A}" type="presParOf" srcId="{79F14085-1FBA-4597-804A-E45221B6BBD8}" destId="{EB2E30BB-390D-453F-BDE0-B96D53FBF1CE}" srcOrd="0" destOrd="0" presId="urn:microsoft.com/office/officeart/2005/8/layout/hierarchy2"/>
    <dgm:cxn modelId="{348ADF53-6944-48C3-ABC4-2E48D0E6D15F}" type="presParOf" srcId="{EB2E30BB-390D-453F-BDE0-B96D53FBF1CE}" destId="{7A4FA275-EEEB-424A-8BF6-6F603DD9D2E8}" srcOrd="0" destOrd="0" presId="urn:microsoft.com/office/officeart/2005/8/layout/hierarchy2"/>
    <dgm:cxn modelId="{5E3E3E79-1D2A-4A08-AA85-08E89CC604A7}" type="presParOf" srcId="{79F14085-1FBA-4597-804A-E45221B6BBD8}" destId="{1EDC716A-9F8C-42E5-BA27-5C0D47F70259}" srcOrd="1" destOrd="0" presId="urn:microsoft.com/office/officeart/2005/8/layout/hierarchy2"/>
    <dgm:cxn modelId="{43E5ED2B-BEC5-4EDD-B3AF-9D7C837B8AEB}" type="presParOf" srcId="{1EDC716A-9F8C-42E5-BA27-5C0D47F70259}" destId="{F405063E-9B88-4D17-B516-168D9419FF43}" srcOrd="0" destOrd="0" presId="urn:microsoft.com/office/officeart/2005/8/layout/hierarchy2"/>
    <dgm:cxn modelId="{BF0F71E1-4DE1-42CF-B738-F8A0CE09755D}" type="presParOf" srcId="{1EDC716A-9F8C-42E5-BA27-5C0D47F70259}" destId="{F2BC2FC7-1580-4D71-A265-CCCA945E5932}" srcOrd="1" destOrd="0" presId="urn:microsoft.com/office/officeart/2005/8/layout/hierarchy2"/>
    <dgm:cxn modelId="{88B5F2B1-9228-40F1-A527-641159EC5787}" type="presParOf" srcId="{79F14085-1FBA-4597-804A-E45221B6BBD8}" destId="{811310AA-2047-4646-93E1-985F2C4A6CA2}" srcOrd="2" destOrd="0" presId="urn:microsoft.com/office/officeart/2005/8/layout/hierarchy2"/>
    <dgm:cxn modelId="{DE6A53FA-D017-4487-8021-492EB59A8FB1}" type="presParOf" srcId="{811310AA-2047-4646-93E1-985F2C4A6CA2}" destId="{BCD92551-F7C6-41D7-B29D-A47FBCE1AA0B}" srcOrd="0" destOrd="0" presId="urn:microsoft.com/office/officeart/2005/8/layout/hierarchy2"/>
    <dgm:cxn modelId="{B380EB65-41ED-44A4-9C2E-02C58B15A3B7}" type="presParOf" srcId="{79F14085-1FBA-4597-804A-E45221B6BBD8}" destId="{A08F71C0-E2E3-4FD3-8F94-20A28BD61E52}" srcOrd="3" destOrd="0" presId="urn:microsoft.com/office/officeart/2005/8/layout/hierarchy2"/>
    <dgm:cxn modelId="{53C32A38-63D6-4C0A-BBCD-CD28D8C88957}" type="presParOf" srcId="{A08F71C0-E2E3-4FD3-8F94-20A28BD61E52}" destId="{13E886AE-D836-4FE8-8488-22E05675ADCA}" srcOrd="0" destOrd="0" presId="urn:microsoft.com/office/officeart/2005/8/layout/hierarchy2"/>
    <dgm:cxn modelId="{6A826875-FDB9-4648-BEB2-03792B9F069B}" type="presParOf" srcId="{A08F71C0-E2E3-4FD3-8F94-20A28BD61E52}" destId="{17449088-0E36-4955-8F29-72143C7AA4B7}" srcOrd="1" destOrd="0" presId="urn:microsoft.com/office/officeart/2005/8/layout/hierarchy2"/>
    <dgm:cxn modelId="{8BB64E56-ABDC-47AD-96CA-012553007A79}" type="presParOf" srcId="{79F14085-1FBA-4597-804A-E45221B6BBD8}" destId="{A1035E57-9875-44AF-9E74-AA87E5AD7239}" srcOrd="4" destOrd="0" presId="urn:microsoft.com/office/officeart/2005/8/layout/hierarchy2"/>
    <dgm:cxn modelId="{9FC09872-4F32-4ABF-9084-FA035BCDBAD2}" type="presParOf" srcId="{A1035E57-9875-44AF-9E74-AA87E5AD7239}" destId="{71551FE2-1001-42A8-84FD-216291ABCA83}" srcOrd="0" destOrd="0" presId="urn:microsoft.com/office/officeart/2005/8/layout/hierarchy2"/>
    <dgm:cxn modelId="{07B620F5-77C9-4659-BB5A-7555038BED38}" type="presParOf" srcId="{79F14085-1FBA-4597-804A-E45221B6BBD8}" destId="{2CDED5DA-D60B-4524-8CDD-D975D7F143EE}" srcOrd="5" destOrd="0" presId="urn:microsoft.com/office/officeart/2005/8/layout/hierarchy2"/>
    <dgm:cxn modelId="{5ACFE9AA-566B-4F34-935F-A084B1453F09}" type="presParOf" srcId="{2CDED5DA-D60B-4524-8CDD-D975D7F143EE}" destId="{7044DF54-32CF-4E76-9A1D-117AFB050FCD}" srcOrd="0" destOrd="0" presId="urn:microsoft.com/office/officeart/2005/8/layout/hierarchy2"/>
    <dgm:cxn modelId="{14899432-9593-41B6-8993-11DA202933B7}" type="presParOf" srcId="{2CDED5DA-D60B-4524-8CDD-D975D7F143EE}" destId="{EE6F3D80-DCBF-44E9-9FEE-4130AFDBCF13}" srcOrd="1" destOrd="0" presId="urn:microsoft.com/office/officeart/2005/8/layout/hierarchy2"/>
  </dgm:cxnLst>
  <dgm:bg/>
  <dgm:whole/>
  <dgm:extLst>
    <a:ext uri="http://schemas.microsoft.com/office/drawing/2008/diagram">
      <dsp:dataModelExt xmlns:dsp="http://schemas.microsoft.com/office/drawing/2008/diagram" relId="rId59"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E313A9A4-B514-44EA-8E8C-06E974679924}"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endParaRPr lang="en-GB"/>
        </a:p>
      </dgm:t>
    </dgm:pt>
    <dgm:pt modelId="{F0E85FCD-E5B6-471C-B343-1725D309EDD9}">
      <dgm:prSet phldrT="[Text]" custT="1"/>
      <dgm:spPr/>
      <dgm:t>
        <a:bodyPr/>
        <a:lstStyle/>
        <a:p>
          <a:r>
            <a:rPr lang="en-GB" sz="1100" b="1">
              <a:latin typeface="Arial" pitchFamily="34" charset="0"/>
              <a:cs typeface="Arial" pitchFamily="34" charset="0"/>
            </a:rPr>
            <a:t>Parasitas</a:t>
          </a:r>
        </a:p>
      </dgm:t>
    </dgm:pt>
    <dgm:pt modelId="{C8D7D272-DDA2-462D-A292-9C75144E4657}" type="parTrans" cxnId="{3992300F-8977-4A78-A0E0-D69D5D6B7E97}">
      <dgm:prSet/>
      <dgm:spPr/>
      <dgm:t>
        <a:bodyPr/>
        <a:lstStyle/>
        <a:p>
          <a:endParaRPr lang="en-GB" sz="1100">
            <a:latin typeface="Arial" pitchFamily="34" charset="0"/>
            <a:cs typeface="Arial" pitchFamily="34" charset="0"/>
          </a:endParaRPr>
        </a:p>
      </dgm:t>
    </dgm:pt>
    <dgm:pt modelId="{02630977-74EF-49D7-B6E6-67F398128CCB}" type="sibTrans" cxnId="{3992300F-8977-4A78-A0E0-D69D5D6B7E97}">
      <dgm:prSet/>
      <dgm:spPr/>
      <dgm:t>
        <a:bodyPr/>
        <a:lstStyle/>
        <a:p>
          <a:endParaRPr lang="en-GB" sz="1100">
            <a:latin typeface="Arial" pitchFamily="34" charset="0"/>
            <a:cs typeface="Arial" pitchFamily="34" charset="0"/>
          </a:endParaRPr>
        </a:p>
      </dgm:t>
    </dgm:pt>
    <dgm:pt modelId="{000CC99A-6770-42AC-9946-C1ABB0505D65}">
      <dgm:prSet phldrT="[Text]" custT="1"/>
      <dgm:spPr/>
      <dgm:t>
        <a:bodyPr/>
        <a:lstStyle/>
        <a:p>
          <a:r>
            <a:rPr lang="en-GB" sz="1000" b="1">
              <a:latin typeface="Arial" pitchFamily="34" charset="0"/>
              <a:cs typeface="Arial" pitchFamily="34" charset="0"/>
            </a:rPr>
            <a:t>Protozoários</a:t>
          </a:r>
        </a:p>
      </dgm:t>
    </dgm:pt>
    <dgm:pt modelId="{033F81A6-AAE7-445A-9CD5-BC78C37EC6FD}" type="parTrans" cxnId="{AB2A8C6C-26D0-43AD-A203-2DC1C286C0E9}">
      <dgm:prSet/>
      <dgm:spPr/>
      <dgm:t>
        <a:bodyPr/>
        <a:lstStyle/>
        <a:p>
          <a:endParaRPr lang="en-GB" sz="1100">
            <a:latin typeface="Arial" pitchFamily="34" charset="0"/>
            <a:cs typeface="Arial" pitchFamily="34" charset="0"/>
          </a:endParaRPr>
        </a:p>
      </dgm:t>
    </dgm:pt>
    <dgm:pt modelId="{0E765820-7AF9-46FC-977E-F157D184CEC5}" type="sibTrans" cxnId="{AB2A8C6C-26D0-43AD-A203-2DC1C286C0E9}">
      <dgm:prSet/>
      <dgm:spPr/>
      <dgm:t>
        <a:bodyPr/>
        <a:lstStyle/>
        <a:p>
          <a:endParaRPr lang="en-GB" sz="1100">
            <a:latin typeface="Arial" pitchFamily="34" charset="0"/>
            <a:cs typeface="Arial" pitchFamily="34" charset="0"/>
          </a:endParaRPr>
        </a:p>
      </dgm:t>
    </dgm:pt>
    <dgm:pt modelId="{6414372F-CB2C-4789-B6FE-47CC0D357F0E}">
      <dgm:prSet phldrT="[Text]" custT="1"/>
      <dgm:spPr/>
      <dgm:t>
        <a:bodyPr/>
        <a:lstStyle/>
        <a:p>
          <a:r>
            <a:rPr lang="en-GB" sz="1000" b="1">
              <a:latin typeface="Arial" pitchFamily="34" charset="0"/>
              <a:cs typeface="Arial" pitchFamily="34" charset="0"/>
            </a:rPr>
            <a:t>Intestinais</a:t>
          </a:r>
        </a:p>
      </dgm:t>
    </dgm:pt>
    <dgm:pt modelId="{39EAB64D-4765-4D25-AD9E-090E686CB67C}" type="parTrans" cxnId="{09283A7E-C020-47FE-8BB7-7EEF05B85C7A}">
      <dgm:prSet/>
      <dgm:spPr/>
      <dgm:t>
        <a:bodyPr/>
        <a:lstStyle/>
        <a:p>
          <a:endParaRPr lang="en-GB" sz="1100">
            <a:latin typeface="Arial" pitchFamily="34" charset="0"/>
            <a:cs typeface="Arial" pitchFamily="34" charset="0"/>
          </a:endParaRPr>
        </a:p>
      </dgm:t>
    </dgm:pt>
    <dgm:pt modelId="{C935E575-445A-4879-AA69-F9275F0111BE}" type="sibTrans" cxnId="{09283A7E-C020-47FE-8BB7-7EEF05B85C7A}">
      <dgm:prSet/>
      <dgm:spPr/>
      <dgm:t>
        <a:bodyPr/>
        <a:lstStyle/>
        <a:p>
          <a:endParaRPr lang="en-GB" sz="1100">
            <a:latin typeface="Arial" pitchFamily="34" charset="0"/>
            <a:cs typeface="Arial" pitchFamily="34" charset="0"/>
          </a:endParaRPr>
        </a:p>
      </dgm:t>
    </dgm:pt>
    <dgm:pt modelId="{7E5F4FED-9542-4520-BAD3-A283ABAF7010}">
      <dgm:prSet phldrT="[Text]" custT="1"/>
      <dgm:spPr/>
      <dgm:t>
        <a:bodyPr/>
        <a:lstStyle/>
        <a:p>
          <a:r>
            <a:rPr lang="en-GB" sz="1000" b="1">
              <a:latin typeface="Arial" pitchFamily="34" charset="0"/>
              <a:cs typeface="Arial" pitchFamily="34" charset="0"/>
            </a:rPr>
            <a:t>Urogenitais</a:t>
          </a:r>
        </a:p>
      </dgm:t>
    </dgm:pt>
    <dgm:pt modelId="{51E045CD-BD37-49F7-993C-10BF93FF61C2}" type="parTrans" cxnId="{93A2D356-CE12-44D4-8A0E-AE3C12A80A9D}">
      <dgm:prSet/>
      <dgm:spPr/>
      <dgm:t>
        <a:bodyPr/>
        <a:lstStyle/>
        <a:p>
          <a:endParaRPr lang="en-GB" sz="1100">
            <a:latin typeface="Arial" pitchFamily="34" charset="0"/>
            <a:cs typeface="Arial" pitchFamily="34" charset="0"/>
          </a:endParaRPr>
        </a:p>
      </dgm:t>
    </dgm:pt>
    <dgm:pt modelId="{9690EF92-C184-4D26-9EC7-308D27E44B5A}" type="sibTrans" cxnId="{93A2D356-CE12-44D4-8A0E-AE3C12A80A9D}">
      <dgm:prSet/>
      <dgm:spPr/>
      <dgm:t>
        <a:bodyPr/>
        <a:lstStyle/>
        <a:p>
          <a:endParaRPr lang="en-GB" sz="1100">
            <a:latin typeface="Arial" pitchFamily="34" charset="0"/>
            <a:cs typeface="Arial" pitchFamily="34" charset="0"/>
          </a:endParaRPr>
        </a:p>
      </dgm:t>
    </dgm:pt>
    <dgm:pt modelId="{1EDFB726-B675-4C19-BB44-35235763C8A0}">
      <dgm:prSet phldrT="[Text]" custT="1"/>
      <dgm:spPr/>
      <dgm:t>
        <a:bodyPr/>
        <a:lstStyle/>
        <a:p>
          <a:r>
            <a:rPr lang="en-GB" sz="1000" b="1">
              <a:latin typeface="Arial" pitchFamily="34" charset="0"/>
              <a:cs typeface="Arial" pitchFamily="34" charset="0"/>
            </a:rPr>
            <a:t>Artrópodes</a:t>
          </a:r>
        </a:p>
      </dgm:t>
    </dgm:pt>
    <dgm:pt modelId="{00F47A4E-65EC-429C-8ADF-D2BE154428E0}" type="parTrans" cxnId="{90A30A2C-19D4-4E6A-830A-6B6219F72148}">
      <dgm:prSet/>
      <dgm:spPr/>
      <dgm:t>
        <a:bodyPr/>
        <a:lstStyle/>
        <a:p>
          <a:endParaRPr lang="en-GB" sz="1100">
            <a:latin typeface="Arial" pitchFamily="34" charset="0"/>
            <a:cs typeface="Arial" pitchFamily="34" charset="0"/>
          </a:endParaRPr>
        </a:p>
      </dgm:t>
    </dgm:pt>
    <dgm:pt modelId="{098685F3-05CA-47AC-B847-AB0E6C1B41C8}" type="sibTrans" cxnId="{90A30A2C-19D4-4E6A-830A-6B6219F72148}">
      <dgm:prSet/>
      <dgm:spPr/>
      <dgm:t>
        <a:bodyPr/>
        <a:lstStyle/>
        <a:p>
          <a:endParaRPr lang="en-GB" sz="1100">
            <a:latin typeface="Arial" pitchFamily="34" charset="0"/>
            <a:cs typeface="Arial" pitchFamily="34" charset="0"/>
          </a:endParaRPr>
        </a:p>
      </dgm:t>
    </dgm:pt>
    <dgm:pt modelId="{9F6FEF1B-EFF9-4B7A-B9F6-C49B456D39FF}">
      <dgm:prSet custT="1"/>
      <dgm:spPr/>
      <dgm:t>
        <a:bodyPr/>
        <a:lstStyle/>
        <a:p>
          <a:r>
            <a:rPr lang="en-GB" sz="1000" b="1">
              <a:latin typeface="Arial" pitchFamily="34" charset="0"/>
              <a:cs typeface="Arial" pitchFamily="34" charset="0"/>
            </a:rPr>
            <a:t>Helmintos</a:t>
          </a:r>
        </a:p>
      </dgm:t>
    </dgm:pt>
    <dgm:pt modelId="{0BF5A333-14E6-4FA3-9265-E7D4EDED62B7}" type="parTrans" cxnId="{580FF3AB-1219-4029-B8E4-F0B079966F87}">
      <dgm:prSet/>
      <dgm:spPr/>
      <dgm:t>
        <a:bodyPr/>
        <a:lstStyle/>
        <a:p>
          <a:endParaRPr lang="en-GB" sz="1100">
            <a:latin typeface="Arial" pitchFamily="34" charset="0"/>
            <a:cs typeface="Arial" pitchFamily="34" charset="0"/>
          </a:endParaRPr>
        </a:p>
      </dgm:t>
    </dgm:pt>
    <dgm:pt modelId="{0303DE39-A558-4A6D-AE57-46EA633369F5}" type="sibTrans" cxnId="{580FF3AB-1219-4029-B8E4-F0B079966F87}">
      <dgm:prSet/>
      <dgm:spPr/>
      <dgm:t>
        <a:bodyPr/>
        <a:lstStyle/>
        <a:p>
          <a:endParaRPr lang="en-GB" sz="1100">
            <a:latin typeface="Arial" pitchFamily="34" charset="0"/>
            <a:cs typeface="Arial" pitchFamily="34" charset="0"/>
          </a:endParaRPr>
        </a:p>
      </dgm:t>
    </dgm:pt>
    <dgm:pt modelId="{C6CD53F3-3545-45FC-8036-ABF8D85A9F6F}">
      <dgm:prSet custT="1"/>
      <dgm:spPr/>
      <dgm:t>
        <a:bodyPr/>
        <a:lstStyle/>
        <a:p>
          <a:r>
            <a:rPr lang="en-GB" sz="1000" b="1">
              <a:latin typeface="Arial" pitchFamily="34" charset="0"/>
              <a:cs typeface="Arial" pitchFamily="34" charset="0"/>
            </a:rPr>
            <a:t>Nemátodos</a:t>
          </a:r>
        </a:p>
      </dgm:t>
    </dgm:pt>
    <dgm:pt modelId="{F3559900-355C-4560-9194-3D12A1BE8742}" type="parTrans" cxnId="{38423855-4D6C-4B81-A533-F94DE7FFB1F8}">
      <dgm:prSet/>
      <dgm:spPr/>
      <dgm:t>
        <a:bodyPr/>
        <a:lstStyle/>
        <a:p>
          <a:endParaRPr lang="en-GB" sz="1100">
            <a:latin typeface="Arial" pitchFamily="34" charset="0"/>
            <a:cs typeface="Arial" pitchFamily="34" charset="0"/>
          </a:endParaRPr>
        </a:p>
      </dgm:t>
    </dgm:pt>
    <dgm:pt modelId="{A0B4DE00-2C8F-4D33-B065-C6884C975506}" type="sibTrans" cxnId="{38423855-4D6C-4B81-A533-F94DE7FFB1F8}">
      <dgm:prSet/>
      <dgm:spPr/>
      <dgm:t>
        <a:bodyPr/>
        <a:lstStyle/>
        <a:p>
          <a:endParaRPr lang="en-GB" sz="1100">
            <a:latin typeface="Arial" pitchFamily="34" charset="0"/>
            <a:cs typeface="Arial" pitchFamily="34" charset="0"/>
          </a:endParaRPr>
        </a:p>
      </dgm:t>
    </dgm:pt>
    <dgm:pt modelId="{4A88F149-24FB-4C3D-BA9E-80A777809403}">
      <dgm:prSet custT="1"/>
      <dgm:spPr/>
      <dgm:t>
        <a:bodyPr/>
        <a:lstStyle/>
        <a:p>
          <a:r>
            <a:rPr lang="en-GB" sz="1000" b="1">
              <a:latin typeface="Arial" pitchFamily="34" charset="0"/>
              <a:cs typeface="Arial" pitchFamily="34" charset="0"/>
            </a:rPr>
            <a:t>Platelmintos</a:t>
          </a:r>
        </a:p>
      </dgm:t>
    </dgm:pt>
    <dgm:pt modelId="{6B1885F0-1660-4EBE-879A-AD786B7646B8}" type="parTrans" cxnId="{8FE5CC3C-DF7F-4381-BED6-02C7340D49CC}">
      <dgm:prSet/>
      <dgm:spPr/>
      <dgm:t>
        <a:bodyPr/>
        <a:lstStyle/>
        <a:p>
          <a:endParaRPr lang="en-GB" sz="1100">
            <a:latin typeface="Arial" pitchFamily="34" charset="0"/>
            <a:cs typeface="Arial" pitchFamily="34" charset="0"/>
          </a:endParaRPr>
        </a:p>
      </dgm:t>
    </dgm:pt>
    <dgm:pt modelId="{0CCDF7FE-9DB2-45D7-A10F-4208228E5AF3}" type="sibTrans" cxnId="{8FE5CC3C-DF7F-4381-BED6-02C7340D49CC}">
      <dgm:prSet/>
      <dgm:spPr/>
      <dgm:t>
        <a:bodyPr/>
        <a:lstStyle/>
        <a:p>
          <a:endParaRPr lang="en-GB" sz="1100">
            <a:latin typeface="Arial" pitchFamily="34" charset="0"/>
            <a:cs typeface="Arial" pitchFamily="34" charset="0"/>
          </a:endParaRPr>
        </a:p>
      </dgm:t>
    </dgm:pt>
    <dgm:pt modelId="{F8B5D5B2-9BF4-4B0A-A292-5F882396734C}">
      <dgm:prSet custT="1"/>
      <dgm:spPr/>
      <dgm:t>
        <a:bodyPr/>
        <a:lstStyle/>
        <a:p>
          <a:r>
            <a:rPr lang="en-GB" sz="1000" b="1">
              <a:latin typeface="Arial" pitchFamily="34" charset="0"/>
              <a:cs typeface="Arial" pitchFamily="34" charset="0"/>
            </a:rPr>
            <a:t>Tremátodoes</a:t>
          </a:r>
        </a:p>
      </dgm:t>
    </dgm:pt>
    <dgm:pt modelId="{DD3ECC7D-F3D5-4B3E-8B4A-FF8883B2CB4F}" type="parTrans" cxnId="{A5750591-862F-4E2C-A5D5-5BA2C3F97B5D}">
      <dgm:prSet/>
      <dgm:spPr/>
      <dgm:t>
        <a:bodyPr/>
        <a:lstStyle/>
        <a:p>
          <a:endParaRPr lang="en-GB" sz="1100">
            <a:latin typeface="Arial" pitchFamily="34" charset="0"/>
            <a:cs typeface="Arial" pitchFamily="34" charset="0"/>
          </a:endParaRPr>
        </a:p>
      </dgm:t>
    </dgm:pt>
    <dgm:pt modelId="{0A098114-D0D8-4120-8C43-BA6CDC944B80}" type="sibTrans" cxnId="{A5750591-862F-4E2C-A5D5-5BA2C3F97B5D}">
      <dgm:prSet/>
      <dgm:spPr/>
      <dgm:t>
        <a:bodyPr/>
        <a:lstStyle/>
        <a:p>
          <a:endParaRPr lang="en-GB" sz="1100">
            <a:latin typeface="Arial" pitchFamily="34" charset="0"/>
            <a:cs typeface="Arial" pitchFamily="34" charset="0"/>
          </a:endParaRPr>
        </a:p>
      </dgm:t>
    </dgm:pt>
    <dgm:pt modelId="{4893E12D-DFBC-4A32-9BB4-5E028B3089B5}">
      <dgm:prSet custT="1"/>
      <dgm:spPr/>
      <dgm:t>
        <a:bodyPr/>
        <a:lstStyle/>
        <a:p>
          <a:r>
            <a:rPr lang="en-GB" sz="1000" b="1">
              <a:latin typeface="Arial" pitchFamily="34" charset="0"/>
              <a:cs typeface="Arial" pitchFamily="34" charset="0"/>
            </a:rPr>
            <a:t>Cestódes</a:t>
          </a:r>
        </a:p>
      </dgm:t>
    </dgm:pt>
    <dgm:pt modelId="{08CE75EA-76FE-4BA0-8689-136362918566}" type="parTrans" cxnId="{885BE66D-E275-43E6-ACFB-61A0AAC4D922}">
      <dgm:prSet/>
      <dgm:spPr/>
      <dgm:t>
        <a:bodyPr/>
        <a:lstStyle/>
        <a:p>
          <a:endParaRPr lang="en-GB" sz="1100">
            <a:latin typeface="Arial" pitchFamily="34" charset="0"/>
            <a:cs typeface="Arial" pitchFamily="34" charset="0"/>
          </a:endParaRPr>
        </a:p>
      </dgm:t>
    </dgm:pt>
    <dgm:pt modelId="{F0D0939A-ECFA-4353-84F3-B3539F62A40F}" type="sibTrans" cxnId="{885BE66D-E275-43E6-ACFB-61A0AAC4D922}">
      <dgm:prSet/>
      <dgm:spPr/>
      <dgm:t>
        <a:bodyPr/>
        <a:lstStyle/>
        <a:p>
          <a:endParaRPr lang="en-GB" sz="1100">
            <a:latin typeface="Arial" pitchFamily="34" charset="0"/>
            <a:cs typeface="Arial" pitchFamily="34" charset="0"/>
          </a:endParaRPr>
        </a:p>
      </dgm:t>
    </dgm:pt>
    <dgm:pt modelId="{6613C366-726A-4D2A-9A4A-2032E8B1DD3A}">
      <dgm:prSet custT="1"/>
      <dgm:spPr/>
      <dgm:t>
        <a:bodyPr/>
        <a:lstStyle/>
        <a:p>
          <a:r>
            <a:rPr lang="en-GB" sz="1000" b="1">
              <a:latin typeface="Arial" pitchFamily="34" charset="0"/>
              <a:cs typeface="Arial" pitchFamily="34" charset="0"/>
            </a:rPr>
            <a:t>Sistêmicos</a:t>
          </a:r>
        </a:p>
      </dgm:t>
    </dgm:pt>
    <dgm:pt modelId="{C2271E04-FF9F-4197-9252-26ED8F56F2A6}" type="parTrans" cxnId="{8D9DE99C-9E51-4A24-9599-33F3FE76A301}">
      <dgm:prSet/>
      <dgm:spPr/>
      <dgm:t>
        <a:bodyPr/>
        <a:lstStyle/>
        <a:p>
          <a:endParaRPr lang="en-GB" sz="1100">
            <a:latin typeface="Arial" pitchFamily="34" charset="0"/>
            <a:cs typeface="Arial" pitchFamily="34" charset="0"/>
          </a:endParaRPr>
        </a:p>
      </dgm:t>
    </dgm:pt>
    <dgm:pt modelId="{E6EACC3A-E403-4E5D-91B0-2FC194EE1F4B}" type="sibTrans" cxnId="{8D9DE99C-9E51-4A24-9599-33F3FE76A301}">
      <dgm:prSet/>
      <dgm:spPr/>
      <dgm:t>
        <a:bodyPr/>
        <a:lstStyle/>
        <a:p>
          <a:endParaRPr lang="en-GB" sz="1100">
            <a:latin typeface="Arial" pitchFamily="34" charset="0"/>
            <a:cs typeface="Arial" pitchFamily="34" charset="0"/>
          </a:endParaRPr>
        </a:p>
      </dgm:t>
    </dgm:pt>
    <dgm:pt modelId="{A2F1D834-97BD-46EC-A49F-B337A5860E46}" type="pres">
      <dgm:prSet presAssocID="{E313A9A4-B514-44EA-8E8C-06E974679924}" presName="hierChild1" presStyleCnt="0">
        <dgm:presLayoutVars>
          <dgm:chPref val="1"/>
          <dgm:dir/>
          <dgm:animOne val="branch"/>
          <dgm:animLvl val="lvl"/>
          <dgm:resizeHandles/>
        </dgm:presLayoutVars>
      </dgm:prSet>
      <dgm:spPr/>
      <dgm:t>
        <a:bodyPr/>
        <a:lstStyle/>
        <a:p>
          <a:endParaRPr lang="en-US"/>
        </a:p>
      </dgm:t>
    </dgm:pt>
    <dgm:pt modelId="{0ECF8B1F-49AF-444F-BD44-8A6FD4869715}" type="pres">
      <dgm:prSet presAssocID="{F0E85FCD-E5B6-471C-B343-1725D309EDD9}" presName="hierRoot1" presStyleCnt="0"/>
      <dgm:spPr/>
    </dgm:pt>
    <dgm:pt modelId="{5BDFA394-3AC6-4F21-9787-5993B3A0F5E1}" type="pres">
      <dgm:prSet presAssocID="{F0E85FCD-E5B6-471C-B343-1725D309EDD9}" presName="composite" presStyleCnt="0"/>
      <dgm:spPr/>
    </dgm:pt>
    <dgm:pt modelId="{5EB5EBB8-64F4-4632-8BEE-41CA5D70B20C}" type="pres">
      <dgm:prSet presAssocID="{F0E85FCD-E5B6-471C-B343-1725D309EDD9}" presName="background" presStyleLbl="node0" presStyleIdx="0" presStyleCnt="1"/>
      <dgm:spPr/>
    </dgm:pt>
    <dgm:pt modelId="{11BE9294-1DE6-4DBF-BAF5-A88D16CF815A}" type="pres">
      <dgm:prSet presAssocID="{F0E85FCD-E5B6-471C-B343-1725D309EDD9}" presName="text" presStyleLbl="fgAcc0" presStyleIdx="0" presStyleCnt="1" custScaleX="370561" custScaleY="289796" custLinFactY="-303374" custLinFactNeighborX="-33415" custLinFactNeighborY="-400000">
        <dgm:presLayoutVars>
          <dgm:chPref val="3"/>
        </dgm:presLayoutVars>
      </dgm:prSet>
      <dgm:spPr/>
      <dgm:t>
        <a:bodyPr/>
        <a:lstStyle/>
        <a:p>
          <a:endParaRPr lang="en-GB"/>
        </a:p>
      </dgm:t>
    </dgm:pt>
    <dgm:pt modelId="{06CB3FB3-658D-438B-8BCA-6851FFE8C7CE}" type="pres">
      <dgm:prSet presAssocID="{F0E85FCD-E5B6-471C-B343-1725D309EDD9}" presName="hierChild2" presStyleCnt="0"/>
      <dgm:spPr/>
    </dgm:pt>
    <dgm:pt modelId="{83B15B08-3C05-4644-B35C-CB8187A785B4}" type="pres">
      <dgm:prSet presAssocID="{033F81A6-AAE7-445A-9CD5-BC78C37EC6FD}" presName="Name10" presStyleLbl="parChTrans1D2" presStyleIdx="0" presStyleCnt="3"/>
      <dgm:spPr/>
      <dgm:t>
        <a:bodyPr/>
        <a:lstStyle/>
        <a:p>
          <a:endParaRPr lang="en-US"/>
        </a:p>
      </dgm:t>
    </dgm:pt>
    <dgm:pt modelId="{140A1572-C136-404D-B87E-F3CE43A70B81}" type="pres">
      <dgm:prSet presAssocID="{000CC99A-6770-42AC-9946-C1ABB0505D65}" presName="hierRoot2" presStyleCnt="0"/>
      <dgm:spPr/>
    </dgm:pt>
    <dgm:pt modelId="{762DFF81-931C-49BF-B552-8D8FFB77F76C}" type="pres">
      <dgm:prSet presAssocID="{000CC99A-6770-42AC-9946-C1ABB0505D65}" presName="composite2" presStyleCnt="0"/>
      <dgm:spPr/>
    </dgm:pt>
    <dgm:pt modelId="{94AB450A-830A-49F8-8E54-7F56E3E063B6}" type="pres">
      <dgm:prSet presAssocID="{000CC99A-6770-42AC-9946-C1ABB0505D65}" presName="background2" presStyleLbl="node2" presStyleIdx="0" presStyleCnt="3"/>
      <dgm:spPr/>
    </dgm:pt>
    <dgm:pt modelId="{BAB9EE54-E284-4338-8670-DC941C331C8E}" type="pres">
      <dgm:prSet presAssocID="{000CC99A-6770-42AC-9946-C1ABB0505D65}" presName="text2" presStyleLbl="fgAcc2" presStyleIdx="0" presStyleCnt="3" custScaleX="449070" custScaleY="241815">
        <dgm:presLayoutVars>
          <dgm:chPref val="3"/>
        </dgm:presLayoutVars>
      </dgm:prSet>
      <dgm:spPr/>
      <dgm:t>
        <a:bodyPr/>
        <a:lstStyle/>
        <a:p>
          <a:endParaRPr lang="en-US"/>
        </a:p>
      </dgm:t>
    </dgm:pt>
    <dgm:pt modelId="{BB8B4B24-8D13-4C78-BE42-12ECBF27D8C6}" type="pres">
      <dgm:prSet presAssocID="{000CC99A-6770-42AC-9946-C1ABB0505D65}" presName="hierChild3" presStyleCnt="0"/>
      <dgm:spPr/>
    </dgm:pt>
    <dgm:pt modelId="{1D3EC085-4FF3-4918-82AE-56C488384DA7}" type="pres">
      <dgm:prSet presAssocID="{39EAB64D-4765-4D25-AD9E-090E686CB67C}" presName="Name17" presStyleLbl="parChTrans1D3" presStyleIdx="0" presStyleCnt="5"/>
      <dgm:spPr/>
      <dgm:t>
        <a:bodyPr/>
        <a:lstStyle/>
        <a:p>
          <a:endParaRPr lang="en-US"/>
        </a:p>
      </dgm:t>
    </dgm:pt>
    <dgm:pt modelId="{1C26310F-B8FB-4C3A-902B-66A510F237B9}" type="pres">
      <dgm:prSet presAssocID="{6414372F-CB2C-4789-B6FE-47CC0D357F0E}" presName="hierRoot3" presStyleCnt="0"/>
      <dgm:spPr/>
    </dgm:pt>
    <dgm:pt modelId="{6B49B55E-9806-40F3-A3DD-62A13B9386F6}" type="pres">
      <dgm:prSet presAssocID="{6414372F-CB2C-4789-B6FE-47CC0D357F0E}" presName="composite3" presStyleCnt="0"/>
      <dgm:spPr/>
    </dgm:pt>
    <dgm:pt modelId="{4B30A34C-7A46-459F-87F0-B03533D87A1F}" type="pres">
      <dgm:prSet presAssocID="{6414372F-CB2C-4789-B6FE-47CC0D357F0E}" presName="background3" presStyleLbl="node3" presStyleIdx="0" presStyleCnt="5"/>
      <dgm:spPr/>
    </dgm:pt>
    <dgm:pt modelId="{7CCD9438-4672-4C4E-B284-001CCAB4C594}" type="pres">
      <dgm:prSet presAssocID="{6414372F-CB2C-4789-B6FE-47CC0D357F0E}" presName="text3" presStyleLbl="fgAcc3" presStyleIdx="0" presStyleCnt="5" custScaleX="343138" custScaleY="373775" custLinFactY="300000" custLinFactNeighborX="-11802" custLinFactNeighborY="363258">
        <dgm:presLayoutVars>
          <dgm:chPref val="3"/>
        </dgm:presLayoutVars>
      </dgm:prSet>
      <dgm:spPr/>
      <dgm:t>
        <a:bodyPr/>
        <a:lstStyle/>
        <a:p>
          <a:endParaRPr lang="en-GB"/>
        </a:p>
      </dgm:t>
    </dgm:pt>
    <dgm:pt modelId="{691F0ED6-FE2A-4490-BEC2-4FF3CCE5D976}" type="pres">
      <dgm:prSet presAssocID="{6414372F-CB2C-4789-B6FE-47CC0D357F0E}" presName="hierChild4" presStyleCnt="0"/>
      <dgm:spPr/>
    </dgm:pt>
    <dgm:pt modelId="{9B5D2C1D-0578-4961-AD17-1B6BC36120A3}" type="pres">
      <dgm:prSet presAssocID="{51E045CD-BD37-49F7-993C-10BF93FF61C2}" presName="Name17" presStyleLbl="parChTrans1D3" presStyleIdx="1" presStyleCnt="5"/>
      <dgm:spPr/>
      <dgm:t>
        <a:bodyPr/>
        <a:lstStyle/>
        <a:p>
          <a:endParaRPr lang="en-US"/>
        </a:p>
      </dgm:t>
    </dgm:pt>
    <dgm:pt modelId="{3BEA17D0-83DD-4019-AB51-FEB47D7004FE}" type="pres">
      <dgm:prSet presAssocID="{7E5F4FED-9542-4520-BAD3-A283ABAF7010}" presName="hierRoot3" presStyleCnt="0"/>
      <dgm:spPr/>
    </dgm:pt>
    <dgm:pt modelId="{EC2A5C91-8FE4-497F-AC60-43C47E94A05D}" type="pres">
      <dgm:prSet presAssocID="{7E5F4FED-9542-4520-BAD3-A283ABAF7010}" presName="composite3" presStyleCnt="0"/>
      <dgm:spPr/>
    </dgm:pt>
    <dgm:pt modelId="{844179AB-98EA-456C-B5F8-BA0691B39D03}" type="pres">
      <dgm:prSet presAssocID="{7E5F4FED-9542-4520-BAD3-A283ABAF7010}" presName="background3" presStyleLbl="node3" presStyleIdx="1" presStyleCnt="5"/>
      <dgm:spPr/>
    </dgm:pt>
    <dgm:pt modelId="{DB77E93D-9AD2-45FD-B813-619DCFC22CAE}" type="pres">
      <dgm:prSet presAssocID="{7E5F4FED-9542-4520-BAD3-A283ABAF7010}" presName="text3" presStyleLbl="fgAcc3" presStyleIdx="1" presStyleCnt="5" custScaleX="464997" custScaleY="339757" custLinFactY="507002" custLinFactNeighborX="76019" custLinFactNeighborY="600000">
        <dgm:presLayoutVars>
          <dgm:chPref val="3"/>
        </dgm:presLayoutVars>
      </dgm:prSet>
      <dgm:spPr/>
      <dgm:t>
        <a:bodyPr/>
        <a:lstStyle/>
        <a:p>
          <a:endParaRPr lang="en-GB"/>
        </a:p>
      </dgm:t>
    </dgm:pt>
    <dgm:pt modelId="{100D8D2F-EB53-4935-9941-AADF3B54278D}" type="pres">
      <dgm:prSet presAssocID="{7E5F4FED-9542-4520-BAD3-A283ABAF7010}" presName="hierChild4" presStyleCnt="0"/>
      <dgm:spPr/>
    </dgm:pt>
    <dgm:pt modelId="{F716DADC-DE8F-4544-95F4-7632630B0ADC}" type="pres">
      <dgm:prSet presAssocID="{C2271E04-FF9F-4197-9252-26ED8F56F2A6}" presName="Name17" presStyleLbl="parChTrans1D3" presStyleIdx="2" presStyleCnt="5"/>
      <dgm:spPr/>
      <dgm:t>
        <a:bodyPr/>
        <a:lstStyle/>
        <a:p>
          <a:endParaRPr lang="en-US"/>
        </a:p>
      </dgm:t>
    </dgm:pt>
    <dgm:pt modelId="{5F8D9C60-9DFE-4F44-BBFA-44E5BC35E8DA}" type="pres">
      <dgm:prSet presAssocID="{6613C366-726A-4D2A-9A4A-2032E8B1DD3A}" presName="hierRoot3" presStyleCnt="0"/>
      <dgm:spPr/>
    </dgm:pt>
    <dgm:pt modelId="{B0B462F2-4B65-4770-98C3-112855137641}" type="pres">
      <dgm:prSet presAssocID="{6613C366-726A-4D2A-9A4A-2032E8B1DD3A}" presName="composite3" presStyleCnt="0"/>
      <dgm:spPr/>
    </dgm:pt>
    <dgm:pt modelId="{E27319B4-88F2-469E-8A05-94B5FEBE2B26}" type="pres">
      <dgm:prSet presAssocID="{6613C366-726A-4D2A-9A4A-2032E8B1DD3A}" presName="background3" presStyleLbl="node3" presStyleIdx="2" presStyleCnt="5"/>
      <dgm:spPr/>
    </dgm:pt>
    <dgm:pt modelId="{2046A8EA-B0E2-4FE0-9121-D1A7AE48BE07}" type="pres">
      <dgm:prSet presAssocID="{6613C366-726A-4D2A-9A4A-2032E8B1DD3A}" presName="text3" presStyleLbl="fgAcc3" presStyleIdx="2" presStyleCnt="5" custScaleX="478807" custScaleY="285903" custLinFactY="300000" custLinFactNeighborX="17063" custLinFactNeighborY="369702">
        <dgm:presLayoutVars>
          <dgm:chPref val="3"/>
        </dgm:presLayoutVars>
      </dgm:prSet>
      <dgm:spPr/>
      <dgm:t>
        <a:bodyPr/>
        <a:lstStyle/>
        <a:p>
          <a:endParaRPr lang="en-GB"/>
        </a:p>
      </dgm:t>
    </dgm:pt>
    <dgm:pt modelId="{F2403206-16E3-4B88-B6ED-5992E90C6EEC}" type="pres">
      <dgm:prSet presAssocID="{6613C366-726A-4D2A-9A4A-2032E8B1DD3A}" presName="hierChild4" presStyleCnt="0"/>
      <dgm:spPr/>
    </dgm:pt>
    <dgm:pt modelId="{60BDADFB-20E4-438F-B3CA-1845F3911D9B}" type="pres">
      <dgm:prSet presAssocID="{0BF5A333-14E6-4FA3-9265-E7D4EDED62B7}" presName="Name10" presStyleLbl="parChTrans1D2" presStyleIdx="1" presStyleCnt="3"/>
      <dgm:spPr/>
      <dgm:t>
        <a:bodyPr/>
        <a:lstStyle/>
        <a:p>
          <a:endParaRPr lang="en-US"/>
        </a:p>
      </dgm:t>
    </dgm:pt>
    <dgm:pt modelId="{9909FA9A-E583-4BF8-9FB2-4405558F7B04}" type="pres">
      <dgm:prSet presAssocID="{9F6FEF1B-EFF9-4B7A-B9F6-C49B456D39FF}" presName="hierRoot2" presStyleCnt="0"/>
      <dgm:spPr/>
    </dgm:pt>
    <dgm:pt modelId="{DBE87A25-E363-43B8-9036-76888EC4DEC6}" type="pres">
      <dgm:prSet presAssocID="{9F6FEF1B-EFF9-4B7A-B9F6-C49B456D39FF}" presName="composite2" presStyleCnt="0"/>
      <dgm:spPr/>
    </dgm:pt>
    <dgm:pt modelId="{BD297372-09EF-412F-8242-0417565F0D1F}" type="pres">
      <dgm:prSet presAssocID="{9F6FEF1B-EFF9-4B7A-B9F6-C49B456D39FF}" presName="background2" presStyleLbl="node2" presStyleIdx="1" presStyleCnt="3"/>
      <dgm:spPr/>
    </dgm:pt>
    <dgm:pt modelId="{5A594C1F-03D2-4CFE-A5A5-314F71FC4D93}" type="pres">
      <dgm:prSet presAssocID="{9F6FEF1B-EFF9-4B7A-B9F6-C49B456D39FF}" presName="text2" presStyleLbl="fgAcc2" presStyleIdx="1" presStyleCnt="3" custScaleX="322198" custScaleY="219347" custLinFactY="96741" custLinFactNeighborX="-46980" custLinFactNeighborY="100000">
        <dgm:presLayoutVars>
          <dgm:chPref val="3"/>
        </dgm:presLayoutVars>
      </dgm:prSet>
      <dgm:spPr/>
      <dgm:t>
        <a:bodyPr/>
        <a:lstStyle/>
        <a:p>
          <a:endParaRPr lang="en-US"/>
        </a:p>
      </dgm:t>
    </dgm:pt>
    <dgm:pt modelId="{5A22A99B-F126-4DED-931C-50FE9D0B3D19}" type="pres">
      <dgm:prSet presAssocID="{9F6FEF1B-EFF9-4B7A-B9F6-C49B456D39FF}" presName="hierChild3" presStyleCnt="0"/>
      <dgm:spPr/>
    </dgm:pt>
    <dgm:pt modelId="{ED311942-DF67-4098-A0E9-600495EE9B7D}" type="pres">
      <dgm:prSet presAssocID="{F3559900-355C-4560-9194-3D12A1BE8742}" presName="Name17" presStyleLbl="parChTrans1D3" presStyleIdx="3" presStyleCnt="5"/>
      <dgm:spPr/>
      <dgm:t>
        <a:bodyPr/>
        <a:lstStyle/>
        <a:p>
          <a:endParaRPr lang="en-US"/>
        </a:p>
      </dgm:t>
    </dgm:pt>
    <dgm:pt modelId="{28D6CB3A-9E21-4C45-9C02-5808A558EED5}" type="pres">
      <dgm:prSet presAssocID="{C6CD53F3-3545-45FC-8036-ABF8D85A9F6F}" presName="hierRoot3" presStyleCnt="0"/>
      <dgm:spPr/>
    </dgm:pt>
    <dgm:pt modelId="{953220AF-78CC-48AC-A189-E3342ADA7C82}" type="pres">
      <dgm:prSet presAssocID="{C6CD53F3-3545-45FC-8036-ABF8D85A9F6F}" presName="composite3" presStyleCnt="0"/>
      <dgm:spPr/>
    </dgm:pt>
    <dgm:pt modelId="{48610410-2878-49D0-9CA6-BE1D4F841455}" type="pres">
      <dgm:prSet presAssocID="{C6CD53F3-3545-45FC-8036-ABF8D85A9F6F}" presName="background3" presStyleLbl="node3" presStyleIdx="3" presStyleCnt="5"/>
      <dgm:spPr/>
    </dgm:pt>
    <dgm:pt modelId="{F4C9D155-A3BD-4530-AF65-CAE1591B3A3B}" type="pres">
      <dgm:prSet presAssocID="{C6CD53F3-3545-45FC-8036-ABF8D85A9F6F}" presName="text3" presStyleLbl="fgAcc3" presStyleIdx="3" presStyleCnt="5" custScaleX="427981" custScaleY="326418" custLinFactY="133939" custLinFactNeighborX="-96312" custLinFactNeighborY="200000">
        <dgm:presLayoutVars>
          <dgm:chPref val="3"/>
        </dgm:presLayoutVars>
      </dgm:prSet>
      <dgm:spPr/>
      <dgm:t>
        <a:bodyPr/>
        <a:lstStyle/>
        <a:p>
          <a:endParaRPr lang="en-GB"/>
        </a:p>
      </dgm:t>
    </dgm:pt>
    <dgm:pt modelId="{782691A9-DB3B-49F6-89B5-6E986A931B89}" type="pres">
      <dgm:prSet presAssocID="{C6CD53F3-3545-45FC-8036-ABF8D85A9F6F}" presName="hierChild4" presStyleCnt="0"/>
      <dgm:spPr/>
    </dgm:pt>
    <dgm:pt modelId="{2081DB55-B8BA-4938-BA85-DDF96BB3CD6D}" type="pres">
      <dgm:prSet presAssocID="{6B1885F0-1660-4EBE-879A-AD786B7646B8}" presName="Name17" presStyleLbl="parChTrans1D3" presStyleIdx="4" presStyleCnt="5"/>
      <dgm:spPr/>
      <dgm:t>
        <a:bodyPr/>
        <a:lstStyle/>
        <a:p>
          <a:endParaRPr lang="en-US"/>
        </a:p>
      </dgm:t>
    </dgm:pt>
    <dgm:pt modelId="{C194B5C6-0816-429D-B737-C9F2851990DE}" type="pres">
      <dgm:prSet presAssocID="{4A88F149-24FB-4C3D-BA9E-80A777809403}" presName="hierRoot3" presStyleCnt="0"/>
      <dgm:spPr/>
    </dgm:pt>
    <dgm:pt modelId="{32B4BD87-BD37-4167-8FCA-3A4BF137DFED}" type="pres">
      <dgm:prSet presAssocID="{4A88F149-24FB-4C3D-BA9E-80A777809403}" presName="composite3" presStyleCnt="0"/>
      <dgm:spPr/>
    </dgm:pt>
    <dgm:pt modelId="{51B81C38-7268-4A39-AC19-191D1AA4B10A}" type="pres">
      <dgm:prSet presAssocID="{4A88F149-24FB-4C3D-BA9E-80A777809403}" presName="background3" presStyleLbl="node3" presStyleIdx="4" presStyleCnt="5"/>
      <dgm:spPr/>
    </dgm:pt>
    <dgm:pt modelId="{C21FDE04-C342-43DC-92A2-4A999FD5FCF4}" type="pres">
      <dgm:prSet presAssocID="{4A88F149-24FB-4C3D-BA9E-80A777809403}" presName="text3" presStyleLbl="fgAcc3" presStyleIdx="4" presStyleCnt="5" custScaleX="386822" custScaleY="187300" custLinFactY="131964" custLinFactNeighborX="-3745" custLinFactNeighborY="200000">
        <dgm:presLayoutVars>
          <dgm:chPref val="3"/>
        </dgm:presLayoutVars>
      </dgm:prSet>
      <dgm:spPr/>
      <dgm:t>
        <a:bodyPr/>
        <a:lstStyle/>
        <a:p>
          <a:endParaRPr lang="en-US"/>
        </a:p>
      </dgm:t>
    </dgm:pt>
    <dgm:pt modelId="{DFC81B47-5D7A-461B-91DF-1B5720B37EE3}" type="pres">
      <dgm:prSet presAssocID="{4A88F149-24FB-4C3D-BA9E-80A777809403}" presName="hierChild4" presStyleCnt="0"/>
      <dgm:spPr/>
    </dgm:pt>
    <dgm:pt modelId="{04280C80-D6B3-47B9-B126-91D04300454E}" type="pres">
      <dgm:prSet presAssocID="{DD3ECC7D-F3D5-4B3E-8B4A-FF8883B2CB4F}" presName="Name23" presStyleLbl="parChTrans1D4" presStyleIdx="0" presStyleCnt="2"/>
      <dgm:spPr/>
      <dgm:t>
        <a:bodyPr/>
        <a:lstStyle/>
        <a:p>
          <a:endParaRPr lang="en-US"/>
        </a:p>
      </dgm:t>
    </dgm:pt>
    <dgm:pt modelId="{B1460678-A01F-4159-8CD3-A7B9F6F49649}" type="pres">
      <dgm:prSet presAssocID="{F8B5D5B2-9BF4-4B0A-A292-5F882396734C}" presName="hierRoot4" presStyleCnt="0"/>
      <dgm:spPr/>
    </dgm:pt>
    <dgm:pt modelId="{C2521EE2-D4A1-4A57-B61A-3B40668BDE12}" type="pres">
      <dgm:prSet presAssocID="{F8B5D5B2-9BF4-4B0A-A292-5F882396734C}" presName="composite4" presStyleCnt="0"/>
      <dgm:spPr/>
    </dgm:pt>
    <dgm:pt modelId="{4B7A7CE5-4501-4DCC-98B2-4826B6AD1002}" type="pres">
      <dgm:prSet presAssocID="{F8B5D5B2-9BF4-4B0A-A292-5F882396734C}" presName="background4" presStyleLbl="node4" presStyleIdx="0" presStyleCnt="2"/>
      <dgm:spPr/>
    </dgm:pt>
    <dgm:pt modelId="{7DFD2589-82DB-4188-B62D-52B91BC3A75B}" type="pres">
      <dgm:prSet presAssocID="{F8B5D5B2-9BF4-4B0A-A292-5F882396734C}" presName="text4" presStyleLbl="fgAcc4" presStyleIdx="0" presStyleCnt="2" custScaleX="442122" custScaleY="458862" custLinFactX="-100000" custLinFactY="500282" custLinFactNeighborX="-100580" custLinFactNeighborY="600000">
        <dgm:presLayoutVars>
          <dgm:chPref val="3"/>
        </dgm:presLayoutVars>
      </dgm:prSet>
      <dgm:spPr/>
      <dgm:t>
        <a:bodyPr/>
        <a:lstStyle/>
        <a:p>
          <a:endParaRPr lang="en-GB"/>
        </a:p>
      </dgm:t>
    </dgm:pt>
    <dgm:pt modelId="{A1048442-1C85-42D5-AD1F-E67A73F18F33}" type="pres">
      <dgm:prSet presAssocID="{F8B5D5B2-9BF4-4B0A-A292-5F882396734C}" presName="hierChild5" presStyleCnt="0"/>
      <dgm:spPr/>
    </dgm:pt>
    <dgm:pt modelId="{541FD1A4-91C7-41F9-AD8B-08B766486356}" type="pres">
      <dgm:prSet presAssocID="{08CE75EA-76FE-4BA0-8689-136362918566}" presName="Name23" presStyleLbl="parChTrans1D4" presStyleIdx="1" presStyleCnt="2"/>
      <dgm:spPr/>
      <dgm:t>
        <a:bodyPr/>
        <a:lstStyle/>
        <a:p>
          <a:endParaRPr lang="en-US"/>
        </a:p>
      </dgm:t>
    </dgm:pt>
    <dgm:pt modelId="{75C93656-8A54-42EC-A4FB-466E1F49FF87}" type="pres">
      <dgm:prSet presAssocID="{4893E12D-DFBC-4A32-9BB4-5E028B3089B5}" presName="hierRoot4" presStyleCnt="0"/>
      <dgm:spPr/>
    </dgm:pt>
    <dgm:pt modelId="{E494E090-6390-406D-B27B-DF3FBDF730AB}" type="pres">
      <dgm:prSet presAssocID="{4893E12D-DFBC-4A32-9BB4-5E028B3089B5}" presName="composite4" presStyleCnt="0"/>
      <dgm:spPr/>
    </dgm:pt>
    <dgm:pt modelId="{0BE7E830-D3E0-41C8-BF1F-7CE5C5426A03}" type="pres">
      <dgm:prSet presAssocID="{4893E12D-DFBC-4A32-9BB4-5E028B3089B5}" presName="background4" presStyleLbl="node4" presStyleIdx="1" presStyleCnt="2"/>
      <dgm:spPr/>
    </dgm:pt>
    <dgm:pt modelId="{AABA9001-CC21-4321-B969-A2AAE2BA548D}" type="pres">
      <dgm:prSet presAssocID="{4893E12D-DFBC-4A32-9BB4-5E028B3089B5}" presName="text4" presStyleLbl="fgAcc4" presStyleIdx="1" presStyleCnt="2" custScaleX="352185" custScaleY="337293" custLinFactY="500000" custLinFactNeighborX="96278" custLinFactNeighborY="597664">
        <dgm:presLayoutVars>
          <dgm:chPref val="3"/>
        </dgm:presLayoutVars>
      </dgm:prSet>
      <dgm:spPr/>
      <dgm:t>
        <a:bodyPr/>
        <a:lstStyle/>
        <a:p>
          <a:endParaRPr lang="en-GB"/>
        </a:p>
      </dgm:t>
    </dgm:pt>
    <dgm:pt modelId="{AE5F89D6-A013-46C6-91AA-F2A24F79B22D}" type="pres">
      <dgm:prSet presAssocID="{4893E12D-DFBC-4A32-9BB4-5E028B3089B5}" presName="hierChild5" presStyleCnt="0"/>
      <dgm:spPr/>
    </dgm:pt>
    <dgm:pt modelId="{56D80AD5-4EEA-4C6A-AF3F-9F73B34EFAB7}" type="pres">
      <dgm:prSet presAssocID="{00F47A4E-65EC-429C-8ADF-D2BE154428E0}" presName="Name10" presStyleLbl="parChTrans1D2" presStyleIdx="2" presStyleCnt="3"/>
      <dgm:spPr/>
      <dgm:t>
        <a:bodyPr/>
        <a:lstStyle/>
        <a:p>
          <a:endParaRPr lang="en-US"/>
        </a:p>
      </dgm:t>
    </dgm:pt>
    <dgm:pt modelId="{A73A1C95-3967-4717-96AB-F3899F2FD4E3}" type="pres">
      <dgm:prSet presAssocID="{1EDFB726-B675-4C19-BB44-35235763C8A0}" presName="hierRoot2" presStyleCnt="0"/>
      <dgm:spPr/>
    </dgm:pt>
    <dgm:pt modelId="{954AC70B-4E20-46C6-807E-7749F49A37DD}" type="pres">
      <dgm:prSet presAssocID="{1EDFB726-B675-4C19-BB44-35235763C8A0}" presName="composite2" presStyleCnt="0"/>
      <dgm:spPr/>
    </dgm:pt>
    <dgm:pt modelId="{53EB4D2E-66BD-4288-9E82-BAA102EF0238}" type="pres">
      <dgm:prSet presAssocID="{1EDFB726-B675-4C19-BB44-35235763C8A0}" presName="background2" presStyleLbl="node2" presStyleIdx="2" presStyleCnt="3"/>
      <dgm:spPr/>
    </dgm:pt>
    <dgm:pt modelId="{7E587F0D-53F9-4A44-ABDD-6D3B7C146404}" type="pres">
      <dgm:prSet presAssocID="{1EDFB726-B675-4C19-BB44-35235763C8A0}" presName="text2" presStyleLbl="fgAcc2" presStyleIdx="2" presStyleCnt="3" custScaleX="348699" custScaleY="259401" custLinFactNeighborX="-73381" custLinFactNeighborY="4881">
        <dgm:presLayoutVars>
          <dgm:chPref val="3"/>
        </dgm:presLayoutVars>
      </dgm:prSet>
      <dgm:spPr/>
      <dgm:t>
        <a:bodyPr/>
        <a:lstStyle/>
        <a:p>
          <a:endParaRPr lang="en-GB"/>
        </a:p>
      </dgm:t>
    </dgm:pt>
    <dgm:pt modelId="{1F197E08-3656-48A7-81F2-6F695F12F623}" type="pres">
      <dgm:prSet presAssocID="{1EDFB726-B675-4C19-BB44-35235763C8A0}" presName="hierChild3" presStyleCnt="0"/>
      <dgm:spPr/>
    </dgm:pt>
  </dgm:ptLst>
  <dgm:cxnLst>
    <dgm:cxn modelId="{BDF3B9F8-23F7-426F-BDD9-DC6F89BE4CCB}" type="presOf" srcId="{E313A9A4-B514-44EA-8E8C-06E974679924}" destId="{A2F1D834-97BD-46EC-A49F-B337A5860E46}" srcOrd="0" destOrd="0" presId="urn:microsoft.com/office/officeart/2005/8/layout/hierarchy1"/>
    <dgm:cxn modelId="{580FF3AB-1219-4029-B8E4-F0B079966F87}" srcId="{F0E85FCD-E5B6-471C-B343-1725D309EDD9}" destId="{9F6FEF1B-EFF9-4B7A-B9F6-C49B456D39FF}" srcOrd="1" destOrd="0" parTransId="{0BF5A333-14E6-4FA3-9265-E7D4EDED62B7}" sibTransId="{0303DE39-A558-4A6D-AE57-46EA633369F5}"/>
    <dgm:cxn modelId="{AB2A8C6C-26D0-43AD-A203-2DC1C286C0E9}" srcId="{F0E85FCD-E5B6-471C-B343-1725D309EDD9}" destId="{000CC99A-6770-42AC-9946-C1ABB0505D65}" srcOrd="0" destOrd="0" parTransId="{033F81A6-AAE7-445A-9CD5-BC78C37EC6FD}" sibTransId="{0E765820-7AF9-46FC-977E-F157D184CEC5}"/>
    <dgm:cxn modelId="{4D1CE17D-0D28-441F-A998-244F6446256E}" type="presOf" srcId="{F0E85FCD-E5B6-471C-B343-1725D309EDD9}" destId="{11BE9294-1DE6-4DBF-BAF5-A88D16CF815A}" srcOrd="0" destOrd="0" presId="urn:microsoft.com/office/officeart/2005/8/layout/hierarchy1"/>
    <dgm:cxn modelId="{BCEA8FE8-9420-49DB-BC6F-6F3CB880B704}" type="presOf" srcId="{DD3ECC7D-F3D5-4B3E-8B4A-FF8883B2CB4F}" destId="{04280C80-D6B3-47B9-B126-91D04300454E}" srcOrd="0" destOrd="0" presId="urn:microsoft.com/office/officeart/2005/8/layout/hierarchy1"/>
    <dgm:cxn modelId="{90A8C5C0-D644-41DA-A9DE-27C27D1FCC8B}" type="presOf" srcId="{C2271E04-FF9F-4197-9252-26ED8F56F2A6}" destId="{F716DADC-DE8F-4544-95F4-7632630B0ADC}" srcOrd="0" destOrd="0" presId="urn:microsoft.com/office/officeart/2005/8/layout/hierarchy1"/>
    <dgm:cxn modelId="{F9A573D5-360F-4745-86DD-5BB27D7E25D6}" type="presOf" srcId="{033F81A6-AAE7-445A-9CD5-BC78C37EC6FD}" destId="{83B15B08-3C05-4644-B35C-CB8187A785B4}" srcOrd="0" destOrd="0" presId="urn:microsoft.com/office/officeart/2005/8/layout/hierarchy1"/>
    <dgm:cxn modelId="{3992300F-8977-4A78-A0E0-D69D5D6B7E97}" srcId="{E313A9A4-B514-44EA-8E8C-06E974679924}" destId="{F0E85FCD-E5B6-471C-B343-1725D309EDD9}" srcOrd="0" destOrd="0" parTransId="{C8D7D272-DDA2-462D-A292-9C75144E4657}" sibTransId="{02630977-74EF-49D7-B6E6-67F398128CCB}"/>
    <dgm:cxn modelId="{B67FCD42-58E1-4588-9501-C6932622A4BB}" type="presOf" srcId="{6613C366-726A-4D2A-9A4A-2032E8B1DD3A}" destId="{2046A8EA-B0E2-4FE0-9121-D1A7AE48BE07}" srcOrd="0" destOrd="0" presId="urn:microsoft.com/office/officeart/2005/8/layout/hierarchy1"/>
    <dgm:cxn modelId="{EE3F2762-E27F-42BF-9046-F46B24C6FFA5}" type="presOf" srcId="{F3559900-355C-4560-9194-3D12A1BE8742}" destId="{ED311942-DF67-4098-A0E9-600495EE9B7D}" srcOrd="0" destOrd="0" presId="urn:microsoft.com/office/officeart/2005/8/layout/hierarchy1"/>
    <dgm:cxn modelId="{98D14F0A-8DBC-432B-BFD9-4DB5A7ECD5F9}" type="presOf" srcId="{4A88F149-24FB-4C3D-BA9E-80A777809403}" destId="{C21FDE04-C342-43DC-92A2-4A999FD5FCF4}" srcOrd="0" destOrd="0" presId="urn:microsoft.com/office/officeart/2005/8/layout/hierarchy1"/>
    <dgm:cxn modelId="{A5750591-862F-4E2C-A5D5-5BA2C3F97B5D}" srcId="{4A88F149-24FB-4C3D-BA9E-80A777809403}" destId="{F8B5D5B2-9BF4-4B0A-A292-5F882396734C}" srcOrd="0" destOrd="0" parTransId="{DD3ECC7D-F3D5-4B3E-8B4A-FF8883B2CB4F}" sibTransId="{0A098114-D0D8-4120-8C43-BA6CDC944B80}"/>
    <dgm:cxn modelId="{90A30A2C-19D4-4E6A-830A-6B6219F72148}" srcId="{F0E85FCD-E5B6-471C-B343-1725D309EDD9}" destId="{1EDFB726-B675-4C19-BB44-35235763C8A0}" srcOrd="2" destOrd="0" parTransId="{00F47A4E-65EC-429C-8ADF-D2BE154428E0}" sibTransId="{098685F3-05CA-47AC-B847-AB0E6C1B41C8}"/>
    <dgm:cxn modelId="{4383ED8B-9265-4F79-ACD3-F6BB12DE9A2A}" type="presOf" srcId="{6B1885F0-1660-4EBE-879A-AD786B7646B8}" destId="{2081DB55-B8BA-4938-BA85-DDF96BB3CD6D}" srcOrd="0" destOrd="0" presId="urn:microsoft.com/office/officeart/2005/8/layout/hierarchy1"/>
    <dgm:cxn modelId="{885BE66D-E275-43E6-ACFB-61A0AAC4D922}" srcId="{4A88F149-24FB-4C3D-BA9E-80A777809403}" destId="{4893E12D-DFBC-4A32-9BB4-5E028B3089B5}" srcOrd="1" destOrd="0" parTransId="{08CE75EA-76FE-4BA0-8689-136362918566}" sibTransId="{F0D0939A-ECFA-4353-84F3-B3539F62A40F}"/>
    <dgm:cxn modelId="{4349AE6B-1A5B-4D5D-A5EE-7C297CF4CB0D}" type="presOf" srcId="{0BF5A333-14E6-4FA3-9265-E7D4EDED62B7}" destId="{60BDADFB-20E4-438F-B3CA-1845F3911D9B}" srcOrd="0" destOrd="0" presId="urn:microsoft.com/office/officeart/2005/8/layout/hierarchy1"/>
    <dgm:cxn modelId="{2BF6E820-CDB6-4F09-BF03-C988149DD5D4}" type="presOf" srcId="{7E5F4FED-9542-4520-BAD3-A283ABAF7010}" destId="{DB77E93D-9AD2-45FD-B813-619DCFC22CAE}" srcOrd="0" destOrd="0" presId="urn:microsoft.com/office/officeart/2005/8/layout/hierarchy1"/>
    <dgm:cxn modelId="{3774F095-4795-44C9-9963-AF536C0CE83B}" type="presOf" srcId="{51E045CD-BD37-49F7-993C-10BF93FF61C2}" destId="{9B5D2C1D-0578-4961-AD17-1B6BC36120A3}" srcOrd="0" destOrd="0" presId="urn:microsoft.com/office/officeart/2005/8/layout/hierarchy1"/>
    <dgm:cxn modelId="{09283A7E-C020-47FE-8BB7-7EEF05B85C7A}" srcId="{000CC99A-6770-42AC-9946-C1ABB0505D65}" destId="{6414372F-CB2C-4789-B6FE-47CC0D357F0E}" srcOrd="0" destOrd="0" parTransId="{39EAB64D-4765-4D25-AD9E-090E686CB67C}" sibTransId="{C935E575-445A-4879-AA69-F9275F0111BE}"/>
    <dgm:cxn modelId="{7B96654C-CE22-4D11-9F2D-D7D1F0ECAD10}" type="presOf" srcId="{39EAB64D-4765-4D25-AD9E-090E686CB67C}" destId="{1D3EC085-4FF3-4918-82AE-56C488384DA7}" srcOrd="0" destOrd="0" presId="urn:microsoft.com/office/officeart/2005/8/layout/hierarchy1"/>
    <dgm:cxn modelId="{62795DFC-7B6F-43BF-82D3-549B09952467}" type="presOf" srcId="{4893E12D-DFBC-4A32-9BB4-5E028B3089B5}" destId="{AABA9001-CC21-4321-B969-A2AAE2BA548D}" srcOrd="0" destOrd="0" presId="urn:microsoft.com/office/officeart/2005/8/layout/hierarchy1"/>
    <dgm:cxn modelId="{F3CAD672-19D9-4626-8C18-3AF211E1783C}" type="presOf" srcId="{08CE75EA-76FE-4BA0-8689-136362918566}" destId="{541FD1A4-91C7-41F9-AD8B-08B766486356}" srcOrd="0" destOrd="0" presId="urn:microsoft.com/office/officeart/2005/8/layout/hierarchy1"/>
    <dgm:cxn modelId="{83034853-3FB4-4E19-A4C3-E777FC987C38}" type="presOf" srcId="{000CC99A-6770-42AC-9946-C1ABB0505D65}" destId="{BAB9EE54-E284-4338-8670-DC941C331C8E}" srcOrd="0" destOrd="0" presId="urn:microsoft.com/office/officeart/2005/8/layout/hierarchy1"/>
    <dgm:cxn modelId="{8FE5CC3C-DF7F-4381-BED6-02C7340D49CC}" srcId="{9F6FEF1B-EFF9-4B7A-B9F6-C49B456D39FF}" destId="{4A88F149-24FB-4C3D-BA9E-80A777809403}" srcOrd="1" destOrd="0" parTransId="{6B1885F0-1660-4EBE-879A-AD786B7646B8}" sibTransId="{0CCDF7FE-9DB2-45D7-A10F-4208228E5AF3}"/>
    <dgm:cxn modelId="{C24EBD29-2BDD-456D-B170-2A66F0885EFA}" type="presOf" srcId="{6414372F-CB2C-4789-B6FE-47CC0D357F0E}" destId="{7CCD9438-4672-4C4E-B284-001CCAB4C594}" srcOrd="0" destOrd="0" presId="urn:microsoft.com/office/officeart/2005/8/layout/hierarchy1"/>
    <dgm:cxn modelId="{D07A999D-07DC-4324-BBF3-0DC2CCD904BA}" type="presOf" srcId="{1EDFB726-B675-4C19-BB44-35235763C8A0}" destId="{7E587F0D-53F9-4A44-ABDD-6D3B7C146404}" srcOrd="0" destOrd="0" presId="urn:microsoft.com/office/officeart/2005/8/layout/hierarchy1"/>
    <dgm:cxn modelId="{9B03F13C-72E6-4620-9052-051B7AD6E214}" type="presOf" srcId="{F8B5D5B2-9BF4-4B0A-A292-5F882396734C}" destId="{7DFD2589-82DB-4188-B62D-52B91BC3A75B}" srcOrd="0" destOrd="0" presId="urn:microsoft.com/office/officeart/2005/8/layout/hierarchy1"/>
    <dgm:cxn modelId="{38423855-4D6C-4B81-A533-F94DE7FFB1F8}" srcId="{9F6FEF1B-EFF9-4B7A-B9F6-C49B456D39FF}" destId="{C6CD53F3-3545-45FC-8036-ABF8D85A9F6F}" srcOrd="0" destOrd="0" parTransId="{F3559900-355C-4560-9194-3D12A1BE8742}" sibTransId="{A0B4DE00-2C8F-4D33-B065-C6884C975506}"/>
    <dgm:cxn modelId="{FB937E0D-CB06-4877-AB82-E80AEC3C8F84}" type="presOf" srcId="{9F6FEF1B-EFF9-4B7A-B9F6-C49B456D39FF}" destId="{5A594C1F-03D2-4CFE-A5A5-314F71FC4D93}" srcOrd="0" destOrd="0" presId="urn:microsoft.com/office/officeart/2005/8/layout/hierarchy1"/>
    <dgm:cxn modelId="{93A2D356-CE12-44D4-8A0E-AE3C12A80A9D}" srcId="{000CC99A-6770-42AC-9946-C1ABB0505D65}" destId="{7E5F4FED-9542-4520-BAD3-A283ABAF7010}" srcOrd="1" destOrd="0" parTransId="{51E045CD-BD37-49F7-993C-10BF93FF61C2}" sibTransId="{9690EF92-C184-4D26-9EC7-308D27E44B5A}"/>
    <dgm:cxn modelId="{8D9DE99C-9E51-4A24-9599-33F3FE76A301}" srcId="{000CC99A-6770-42AC-9946-C1ABB0505D65}" destId="{6613C366-726A-4D2A-9A4A-2032E8B1DD3A}" srcOrd="2" destOrd="0" parTransId="{C2271E04-FF9F-4197-9252-26ED8F56F2A6}" sibTransId="{E6EACC3A-E403-4E5D-91B0-2FC194EE1F4B}"/>
    <dgm:cxn modelId="{01218A40-60CB-4369-98C1-CE5DA651839F}" type="presOf" srcId="{00F47A4E-65EC-429C-8ADF-D2BE154428E0}" destId="{56D80AD5-4EEA-4C6A-AF3F-9F73B34EFAB7}" srcOrd="0" destOrd="0" presId="urn:microsoft.com/office/officeart/2005/8/layout/hierarchy1"/>
    <dgm:cxn modelId="{6AA22F5B-A749-41CC-98C2-4CA9481E54E0}" type="presOf" srcId="{C6CD53F3-3545-45FC-8036-ABF8D85A9F6F}" destId="{F4C9D155-A3BD-4530-AF65-CAE1591B3A3B}" srcOrd="0" destOrd="0" presId="urn:microsoft.com/office/officeart/2005/8/layout/hierarchy1"/>
    <dgm:cxn modelId="{4BE6E389-A06A-409B-B2F7-18CB696EE7CD}" type="presParOf" srcId="{A2F1D834-97BD-46EC-A49F-B337A5860E46}" destId="{0ECF8B1F-49AF-444F-BD44-8A6FD4869715}" srcOrd="0" destOrd="0" presId="urn:microsoft.com/office/officeart/2005/8/layout/hierarchy1"/>
    <dgm:cxn modelId="{CE6845B1-38DA-4812-89DC-5E7881BE53B1}" type="presParOf" srcId="{0ECF8B1F-49AF-444F-BD44-8A6FD4869715}" destId="{5BDFA394-3AC6-4F21-9787-5993B3A0F5E1}" srcOrd="0" destOrd="0" presId="urn:microsoft.com/office/officeart/2005/8/layout/hierarchy1"/>
    <dgm:cxn modelId="{51BD38C6-7D65-487E-82BF-554E8FC27CCB}" type="presParOf" srcId="{5BDFA394-3AC6-4F21-9787-5993B3A0F5E1}" destId="{5EB5EBB8-64F4-4632-8BEE-41CA5D70B20C}" srcOrd="0" destOrd="0" presId="urn:microsoft.com/office/officeart/2005/8/layout/hierarchy1"/>
    <dgm:cxn modelId="{40514CCB-DEEB-4EB1-AF75-484668DD6785}" type="presParOf" srcId="{5BDFA394-3AC6-4F21-9787-5993B3A0F5E1}" destId="{11BE9294-1DE6-4DBF-BAF5-A88D16CF815A}" srcOrd="1" destOrd="0" presId="urn:microsoft.com/office/officeart/2005/8/layout/hierarchy1"/>
    <dgm:cxn modelId="{C99A3D8D-4084-4768-A2EE-FF502CBE1074}" type="presParOf" srcId="{0ECF8B1F-49AF-444F-BD44-8A6FD4869715}" destId="{06CB3FB3-658D-438B-8BCA-6851FFE8C7CE}" srcOrd="1" destOrd="0" presId="urn:microsoft.com/office/officeart/2005/8/layout/hierarchy1"/>
    <dgm:cxn modelId="{045DF3EA-5B1C-4FD3-AF9B-3CFCE4AF4583}" type="presParOf" srcId="{06CB3FB3-658D-438B-8BCA-6851FFE8C7CE}" destId="{83B15B08-3C05-4644-B35C-CB8187A785B4}" srcOrd="0" destOrd="0" presId="urn:microsoft.com/office/officeart/2005/8/layout/hierarchy1"/>
    <dgm:cxn modelId="{77F4270F-EAA9-435E-9FC7-35295170AE9C}" type="presParOf" srcId="{06CB3FB3-658D-438B-8BCA-6851FFE8C7CE}" destId="{140A1572-C136-404D-B87E-F3CE43A70B81}" srcOrd="1" destOrd="0" presId="urn:microsoft.com/office/officeart/2005/8/layout/hierarchy1"/>
    <dgm:cxn modelId="{FC8527A2-5EDD-4CCB-A0FD-90563D4DB942}" type="presParOf" srcId="{140A1572-C136-404D-B87E-F3CE43A70B81}" destId="{762DFF81-931C-49BF-B552-8D8FFB77F76C}" srcOrd="0" destOrd="0" presId="urn:microsoft.com/office/officeart/2005/8/layout/hierarchy1"/>
    <dgm:cxn modelId="{05DA0660-E54F-4B64-8AF4-84EA2E867AD8}" type="presParOf" srcId="{762DFF81-931C-49BF-B552-8D8FFB77F76C}" destId="{94AB450A-830A-49F8-8E54-7F56E3E063B6}" srcOrd="0" destOrd="0" presId="urn:microsoft.com/office/officeart/2005/8/layout/hierarchy1"/>
    <dgm:cxn modelId="{C993034B-B90A-4104-9CED-26A460DF6079}" type="presParOf" srcId="{762DFF81-931C-49BF-B552-8D8FFB77F76C}" destId="{BAB9EE54-E284-4338-8670-DC941C331C8E}" srcOrd="1" destOrd="0" presId="urn:microsoft.com/office/officeart/2005/8/layout/hierarchy1"/>
    <dgm:cxn modelId="{D435C492-F3FC-4FC5-8F9F-FBA21932779C}" type="presParOf" srcId="{140A1572-C136-404D-B87E-F3CE43A70B81}" destId="{BB8B4B24-8D13-4C78-BE42-12ECBF27D8C6}" srcOrd="1" destOrd="0" presId="urn:microsoft.com/office/officeart/2005/8/layout/hierarchy1"/>
    <dgm:cxn modelId="{F54BC604-CF97-48E1-8EE2-9F84BECEAAC3}" type="presParOf" srcId="{BB8B4B24-8D13-4C78-BE42-12ECBF27D8C6}" destId="{1D3EC085-4FF3-4918-82AE-56C488384DA7}" srcOrd="0" destOrd="0" presId="urn:microsoft.com/office/officeart/2005/8/layout/hierarchy1"/>
    <dgm:cxn modelId="{80AE10CA-99CF-497F-AC92-10EC92056CBB}" type="presParOf" srcId="{BB8B4B24-8D13-4C78-BE42-12ECBF27D8C6}" destId="{1C26310F-B8FB-4C3A-902B-66A510F237B9}" srcOrd="1" destOrd="0" presId="urn:microsoft.com/office/officeart/2005/8/layout/hierarchy1"/>
    <dgm:cxn modelId="{B4ADD67B-A4BA-41DD-A5FB-DCF67662A89A}" type="presParOf" srcId="{1C26310F-B8FB-4C3A-902B-66A510F237B9}" destId="{6B49B55E-9806-40F3-A3DD-62A13B9386F6}" srcOrd="0" destOrd="0" presId="urn:microsoft.com/office/officeart/2005/8/layout/hierarchy1"/>
    <dgm:cxn modelId="{7E418A3C-D82E-4BE6-9512-E781E51AE0E0}" type="presParOf" srcId="{6B49B55E-9806-40F3-A3DD-62A13B9386F6}" destId="{4B30A34C-7A46-459F-87F0-B03533D87A1F}" srcOrd="0" destOrd="0" presId="urn:microsoft.com/office/officeart/2005/8/layout/hierarchy1"/>
    <dgm:cxn modelId="{94A2355B-1F21-4868-8BB1-CDFFAA9BA171}" type="presParOf" srcId="{6B49B55E-9806-40F3-A3DD-62A13B9386F6}" destId="{7CCD9438-4672-4C4E-B284-001CCAB4C594}" srcOrd="1" destOrd="0" presId="urn:microsoft.com/office/officeart/2005/8/layout/hierarchy1"/>
    <dgm:cxn modelId="{859C919B-1767-4BB8-81CE-B40E41CED201}" type="presParOf" srcId="{1C26310F-B8FB-4C3A-902B-66A510F237B9}" destId="{691F0ED6-FE2A-4490-BEC2-4FF3CCE5D976}" srcOrd="1" destOrd="0" presId="urn:microsoft.com/office/officeart/2005/8/layout/hierarchy1"/>
    <dgm:cxn modelId="{1531C964-6667-4FD5-9EB4-E7C455B56675}" type="presParOf" srcId="{BB8B4B24-8D13-4C78-BE42-12ECBF27D8C6}" destId="{9B5D2C1D-0578-4961-AD17-1B6BC36120A3}" srcOrd="2" destOrd="0" presId="urn:microsoft.com/office/officeart/2005/8/layout/hierarchy1"/>
    <dgm:cxn modelId="{D82153A5-C20E-490E-B705-E5C82961D105}" type="presParOf" srcId="{BB8B4B24-8D13-4C78-BE42-12ECBF27D8C6}" destId="{3BEA17D0-83DD-4019-AB51-FEB47D7004FE}" srcOrd="3" destOrd="0" presId="urn:microsoft.com/office/officeart/2005/8/layout/hierarchy1"/>
    <dgm:cxn modelId="{70751E97-DFBF-467D-B274-6611FA4757FE}" type="presParOf" srcId="{3BEA17D0-83DD-4019-AB51-FEB47D7004FE}" destId="{EC2A5C91-8FE4-497F-AC60-43C47E94A05D}" srcOrd="0" destOrd="0" presId="urn:microsoft.com/office/officeart/2005/8/layout/hierarchy1"/>
    <dgm:cxn modelId="{8207809B-01B6-4F38-833D-8FFDFA7B0C79}" type="presParOf" srcId="{EC2A5C91-8FE4-497F-AC60-43C47E94A05D}" destId="{844179AB-98EA-456C-B5F8-BA0691B39D03}" srcOrd="0" destOrd="0" presId="urn:microsoft.com/office/officeart/2005/8/layout/hierarchy1"/>
    <dgm:cxn modelId="{B121257C-2C41-4D7F-9B38-8ED26A8DCFCE}" type="presParOf" srcId="{EC2A5C91-8FE4-497F-AC60-43C47E94A05D}" destId="{DB77E93D-9AD2-45FD-B813-619DCFC22CAE}" srcOrd="1" destOrd="0" presId="urn:microsoft.com/office/officeart/2005/8/layout/hierarchy1"/>
    <dgm:cxn modelId="{216E5FCE-5021-405A-AAE4-07F173810602}" type="presParOf" srcId="{3BEA17D0-83DD-4019-AB51-FEB47D7004FE}" destId="{100D8D2F-EB53-4935-9941-AADF3B54278D}" srcOrd="1" destOrd="0" presId="urn:microsoft.com/office/officeart/2005/8/layout/hierarchy1"/>
    <dgm:cxn modelId="{C58B0D6A-7E16-4403-BA15-76A335370326}" type="presParOf" srcId="{BB8B4B24-8D13-4C78-BE42-12ECBF27D8C6}" destId="{F716DADC-DE8F-4544-95F4-7632630B0ADC}" srcOrd="4" destOrd="0" presId="urn:microsoft.com/office/officeart/2005/8/layout/hierarchy1"/>
    <dgm:cxn modelId="{15A25AAF-3545-4894-B915-5BC0128E502E}" type="presParOf" srcId="{BB8B4B24-8D13-4C78-BE42-12ECBF27D8C6}" destId="{5F8D9C60-9DFE-4F44-BBFA-44E5BC35E8DA}" srcOrd="5" destOrd="0" presId="urn:microsoft.com/office/officeart/2005/8/layout/hierarchy1"/>
    <dgm:cxn modelId="{3509D005-2452-48C0-AB35-FE826FCC0446}" type="presParOf" srcId="{5F8D9C60-9DFE-4F44-BBFA-44E5BC35E8DA}" destId="{B0B462F2-4B65-4770-98C3-112855137641}" srcOrd="0" destOrd="0" presId="urn:microsoft.com/office/officeart/2005/8/layout/hierarchy1"/>
    <dgm:cxn modelId="{F78691F6-96E8-430B-B875-95FDFFA701AA}" type="presParOf" srcId="{B0B462F2-4B65-4770-98C3-112855137641}" destId="{E27319B4-88F2-469E-8A05-94B5FEBE2B26}" srcOrd="0" destOrd="0" presId="urn:microsoft.com/office/officeart/2005/8/layout/hierarchy1"/>
    <dgm:cxn modelId="{AAD5CD5F-6631-484B-8219-560E0EC93B80}" type="presParOf" srcId="{B0B462F2-4B65-4770-98C3-112855137641}" destId="{2046A8EA-B0E2-4FE0-9121-D1A7AE48BE07}" srcOrd="1" destOrd="0" presId="urn:microsoft.com/office/officeart/2005/8/layout/hierarchy1"/>
    <dgm:cxn modelId="{8FEE97F6-4307-425A-8E93-899EEB6237E2}" type="presParOf" srcId="{5F8D9C60-9DFE-4F44-BBFA-44E5BC35E8DA}" destId="{F2403206-16E3-4B88-B6ED-5992E90C6EEC}" srcOrd="1" destOrd="0" presId="urn:microsoft.com/office/officeart/2005/8/layout/hierarchy1"/>
    <dgm:cxn modelId="{21307B6F-E630-419F-8E37-DAB749BFD32B}" type="presParOf" srcId="{06CB3FB3-658D-438B-8BCA-6851FFE8C7CE}" destId="{60BDADFB-20E4-438F-B3CA-1845F3911D9B}" srcOrd="2" destOrd="0" presId="urn:microsoft.com/office/officeart/2005/8/layout/hierarchy1"/>
    <dgm:cxn modelId="{2B4F1677-3E6C-4D81-AD1E-B3C6C0EDA4EF}" type="presParOf" srcId="{06CB3FB3-658D-438B-8BCA-6851FFE8C7CE}" destId="{9909FA9A-E583-4BF8-9FB2-4405558F7B04}" srcOrd="3" destOrd="0" presId="urn:microsoft.com/office/officeart/2005/8/layout/hierarchy1"/>
    <dgm:cxn modelId="{9B27EF30-FEB0-45FC-8021-6FC797AFAE46}" type="presParOf" srcId="{9909FA9A-E583-4BF8-9FB2-4405558F7B04}" destId="{DBE87A25-E363-43B8-9036-76888EC4DEC6}" srcOrd="0" destOrd="0" presId="urn:microsoft.com/office/officeart/2005/8/layout/hierarchy1"/>
    <dgm:cxn modelId="{27823612-6BE3-4416-B4DB-8795E9E04EE5}" type="presParOf" srcId="{DBE87A25-E363-43B8-9036-76888EC4DEC6}" destId="{BD297372-09EF-412F-8242-0417565F0D1F}" srcOrd="0" destOrd="0" presId="urn:microsoft.com/office/officeart/2005/8/layout/hierarchy1"/>
    <dgm:cxn modelId="{EB472D6A-7FF7-408D-8A40-01DE0379E25D}" type="presParOf" srcId="{DBE87A25-E363-43B8-9036-76888EC4DEC6}" destId="{5A594C1F-03D2-4CFE-A5A5-314F71FC4D93}" srcOrd="1" destOrd="0" presId="urn:microsoft.com/office/officeart/2005/8/layout/hierarchy1"/>
    <dgm:cxn modelId="{72E70A34-088C-41C5-8DF4-4C4EDC38532A}" type="presParOf" srcId="{9909FA9A-E583-4BF8-9FB2-4405558F7B04}" destId="{5A22A99B-F126-4DED-931C-50FE9D0B3D19}" srcOrd="1" destOrd="0" presId="urn:microsoft.com/office/officeart/2005/8/layout/hierarchy1"/>
    <dgm:cxn modelId="{5A78FC45-E947-4AD4-82F9-C0EEBD46FD51}" type="presParOf" srcId="{5A22A99B-F126-4DED-931C-50FE9D0B3D19}" destId="{ED311942-DF67-4098-A0E9-600495EE9B7D}" srcOrd="0" destOrd="0" presId="urn:microsoft.com/office/officeart/2005/8/layout/hierarchy1"/>
    <dgm:cxn modelId="{FA94435A-EA75-4CA3-8E8B-8A941F0EBB6E}" type="presParOf" srcId="{5A22A99B-F126-4DED-931C-50FE9D0B3D19}" destId="{28D6CB3A-9E21-4C45-9C02-5808A558EED5}" srcOrd="1" destOrd="0" presId="urn:microsoft.com/office/officeart/2005/8/layout/hierarchy1"/>
    <dgm:cxn modelId="{66F133B7-7820-4DFE-9ABC-F8459D95755F}" type="presParOf" srcId="{28D6CB3A-9E21-4C45-9C02-5808A558EED5}" destId="{953220AF-78CC-48AC-A189-E3342ADA7C82}" srcOrd="0" destOrd="0" presId="urn:microsoft.com/office/officeart/2005/8/layout/hierarchy1"/>
    <dgm:cxn modelId="{3D838248-1747-4EA1-BF25-901B2CE88DE3}" type="presParOf" srcId="{953220AF-78CC-48AC-A189-E3342ADA7C82}" destId="{48610410-2878-49D0-9CA6-BE1D4F841455}" srcOrd="0" destOrd="0" presId="urn:microsoft.com/office/officeart/2005/8/layout/hierarchy1"/>
    <dgm:cxn modelId="{0E918454-3CFF-4CBF-9C1C-4A39DC91A6E5}" type="presParOf" srcId="{953220AF-78CC-48AC-A189-E3342ADA7C82}" destId="{F4C9D155-A3BD-4530-AF65-CAE1591B3A3B}" srcOrd="1" destOrd="0" presId="urn:microsoft.com/office/officeart/2005/8/layout/hierarchy1"/>
    <dgm:cxn modelId="{674BDE05-59DA-4B9F-B3FC-74FF6E6B258C}" type="presParOf" srcId="{28D6CB3A-9E21-4C45-9C02-5808A558EED5}" destId="{782691A9-DB3B-49F6-89B5-6E986A931B89}" srcOrd="1" destOrd="0" presId="urn:microsoft.com/office/officeart/2005/8/layout/hierarchy1"/>
    <dgm:cxn modelId="{E8966B58-F50C-4532-BE35-424857074559}" type="presParOf" srcId="{5A22A99B-F126-4DED-931C-50FE9D0B3D19}" destId="{2081DB55-B8BA-4938-BA85-DDF96BB3CD6D}" srcOrd="2" destOrd="0" presId="urn:microsoft.com/office/officeart/2005/8/layout/hierarchy1"/>
    <dgm:cxn modelId="{BA442A1F-1123-4E38-B1B6-2EAC1322F3E6}" type="presParOf" srcId="{5A22A99B-F126-4DED-931C-50FE9D0B3D19}" destId="{C194B5C6-0816-429D-B737-C9F2851990DE}" srcOrd="3" destOrd="0" presId="urn:microsoft.com/office/officeart/2005/8/layout/hierarchy1"/>
    <dgm:cxn modelId="{F41D458F-74E5-44E3-8A2F-0B24EF4FFBEA}" type="presParOf" srcId="{C194B5C6-0816-429D-B737-C9F2851990DE}" destId="{32B4BD87-BD37-4167-8FCA-3A4BF137DFED}" srcOrd="0" destOrd="0" presId="urn:microsoft.com/office/officeart/2005/8/layout/hierarchy1"/>
    <dgm:cxn modelId="{57746CA5-5B67-44C5-8619-B9AD64D6A604}" type="presParOf" srcId="{32B4BD87-BD37-4167-8FCA-3A4BF137DFED}" destId="{51B81C38-7268-4A39-AC19-191D1AA4B10A}" srcOrd="0" destOrd="0" presId="urn:microsoft.com/office/officeart/2005/8/layout/hierarchy1"/>
    <dgm:cxn modelId="{85E6D87E-EA03-410C-9DA0-9321CD6DC2FE}" type="presParOf" srcId="{32B4BD87-BD37-4167-8FCA-3A4BF137DFED}" destId="{C21FDE04-C342-43DC-92A2-4A999FD5FCF4}" srcOrd="1" destOrd="0" presId="urn:microsoft.com/office/officeart/2005/8/layout/hierarchy1"/>
    <dgm:cxn modelId="{8F8143CD-0688-4466-AEA2-ABF63DA20849}" type="presParOf" srcId="{C194B5C6-0816-429D-B737-C9F2851990DE}" destId="{DFC81B47-5D7A-461B-91DF-1B5720B37EE3}" srcOrd="1" destOrd="0" presId="urn:microsoft.com/office/officeart/2005/8/layout/hierarchy1"/>
    <dgm:cxn modelId="{98116ACA-226E-495D-835D-7C8DDC82B844}" type="presParOf" srcId="{DFC81B47-5D7A-461B-91DF-1B5720B37EE3}" destId="{04280C80-D6B3-47B9-B126-91D04300454E}" srcOrd="0" destOrd="0" presId="urn:microsoft.com/office/officeart/2005/8/layout/hierarchy1"/>
    <dgm:cxn modelId="{B362FBE5-1E74-4206-831E-A095F35459CD}" type="presParOf" srcId="{DFC81B47-5D7A-461B-91DF-1B5720B37EE3}" destId="{B1460678-A01F-4159-8CD3-A7B9F6F49649}" srcOrd="1" destOrd="0" presId="urn:microsoft.com/office/officeart/2005/8/layout/hierarchy1"/>
    <dgm:cxn modelId="{F72A2D0E-4942-44AF-AEDB-341FBFE8F508}" type="presParOf" srcId="{B1460678-A01F-4159-8CD3-A7B9F6F49649}" destId="{C2521EE2-D4A1-4A57-B61A-3B40668BDE12}" srcOrd="0" destOrd="0" presId="urn:microsoft.com/office/officeart/2005/8/layout/hierarchy1"/>
    <dgm:cxn modelId="{30EE4536-F079-47B3-9D08-C24A08F31C1D}" type="presParOf" srcId="{C2521EE2-D4A1-4A57-B61A-3B40668BDE12}" destId="{4B7A7CE5-4501-4DCC-98B2-4826B6AD1002}" srcOrd="0" destOrd="0" presId="urn:microsoft.com/office/officeart/2005/8/layout/hierarchy1"/>
    <dgm:cxn modelId="{3F27A1A6-40BF-415B-B231-342F5BDC5FCB}" type="presParOf" srcId="{C2521EE2-D4A1-4A57-B61A-3B40668BDE12}" destId="{7DFD2589-82DB-4188-B62D-52B91BC3A75B}" srcOrd="1" destOrd="0" presId="urn:microsoft.com/office/officeart/2005/8/layout/hierarchy1"/>
    <dgm:cxn modelId="{B489766F-1882-43E2-85CB-8AA9E23EDCFC}" type="presParOf" srcId="{B1460678-A01F-4159-8CD3-A7B9F6F49649}" destId="{A1048442-1C85-42D5-AD1F-E67A73F18F33}" srcOrd="1" destOrd="0" presId="urn:microsoft.com/office/officeart/2005/8/layout/hierarchy1"/>
    <dgm:cxn modelId="{9805E1DD-2514-4BB6-9CF3-11435A07C6C3}" type="presParOf" srcId="{DFC81B47-5D7A-461B-91DF-1B5720B37EE3}" destId="{541FD1A4-91C7-41F9-AD8B-08B766486356}" srcOrd="2" destOrd="0" presId="urn:microsoft.com/office/officeart/2005/8/layout/hierarchy1"/>
    <dgm:cxn modelId="{33379362-6339-4909-8444-34AB72253CCD}" type="presParOf" srcId="{DFC81B47-5D7A-461B-91DF-1B5720B37EE3}" destId="{75C93656-8A54-42EC-A4FB-466E1F49FF87}" srcOrd="3" destOrd="0" presId="urn:microsoft.com/office/officeart/2005/8/layout/hierarchy1"/>
    <dgm:cxn modelId="{AAF5C6E0-5F43-4875-B185-8ADAECBAEF73}" type="presParOf" srcId="{75C93656-8A54-42EC-A4FB-466E1F49FF87}" destId="{E494E090-6390-406D-B27B-DF3FBDF730AB}" srcOrd="0" destOrd="0" presId="urn:microsoft.com/office/officeart/2005/8/layout/hierarchy1"/>
    <dgm:cxn modelId="{035D71F3-BF13-4BB3-9243-6649D201D7E2}" type="presParOf" srcId="{E494E090-6390-406D-B27B-DF3FBDF730AB}" destId="{0BE7E830-D3E0-41C8-BF1F-7CE5C5426A03}" srcOrd="0" destOrd="0" presId="urn:microsoft.com/office/officeart/2005/8/layout/hierarchy1"/>
    <dgm:cxn modelId="{5CE89207-F3A0-47F3-9539-D71ECF554B02}" type="presParOf" srcId="{E494E090-6390-406D-B27B-DF3FBDF730AB}" destId="{AABA9001-CC21-4321-B969-A2AAE2BA548D}" srcOrd="1" destOrd="0" presId="urn:microsoft.com/office/officeart/2005/8/layout/hierarchy1"/>
    <dgm:cxn modelId="{23CAFC9E-C879-4870-8136-CE50CFE92432}" type="presParOf" srcId="{75C93656-8A54-42EC-A4FB-466E1F49FF87}" destId="{AE5F89D6-A013-46C6-91AA-F2A24F79B22D}" srcOrd="1" destOrd="0" presId="urn:microsoft.com/office/officeart/2005/8/layout/hierarchy1"/>
    <dgm:cxn modelId="{465B9871-D54D-4906-B076-A4E7D844A0F9}" type="presParOf" srcId="{06CB3FB3-658D-438B-8BCA-6851FFE8C7CE}" destId="{56D80AD5-4EEA-4C6A-AF3F-9F73B34EFAB7}" srcOrd="4" destOrd="0" presId="urn:microsoft.com/office/officeart/2005/8/layout/hierarchy1"/>
    <dgm:cxn modelId="{B5A1DD03-1273-4B13-992E-D3B20773E820}" type="presParOf" srcId="{06CB3FB3-658D-438B-8BCA-6851FFE8C7CE}" destId="{A73A1C95-3967-4717-96AB-F3899F2FD4E3}" srcOrd="5" destOrd="0" presId="urn:microsoft.com/office/officeart/2005/8/layout/hierarchy1"/>
    <dgm:cxn modelId="{DE8B3E2A-562F-42AC-850D-BF6457253467}" type="presParOf" srcId="{A73A1C95-3967-4717-96AB-F3899F2FD4E3}" destId="{954AC70B-4E20-46C6-807E-7749F49A37DD}" srcOrd="0" destOrd="0" presId="urn:microsoft.com/office/officeart/2005/8/layout/hierarchy1"/>
    <dgm:cxn modelId="{98EAC2EA-CA4B-4F3E-A28B-82A9F95E5C96}" type="presParOf" srcId="{954AC70B-4E20-46C6-807E-7749F49A37DD}" destId="{53EB4D2E-66BD-4288-9E82-BAA102EF0238}" srcOrd="0" destOrd="0" presId="urn:microsoft.com/office/officeart/2005/8/layout/hierarchy1"/>
    <dgm:cxn modelId="{52A64F57-AFB9-4369-BB46-2FAC2102DF1A}" type="presParOf" srcId="{954AC70B-4E20-46C6-807E-7749F49A37DD}" destId="{7E587F0D-53F9-4A44-ABDD-6D3B7C146404}" srcOrd="1" destOrd="0" presId="urn:microsoft.com/office/officeart/2005/8/layout/hierarchy1"/>
    <dgm:cxn modelId="{4673E9E5-1C60-425B-BF8F-343263A2A6FD}" type="presParOf" srcId="{A73A1C95-3967-4717-96AB-F3899F2FD4E3}" destId="{1F197E08-3656-48A7-81F2-6F695F12F623}" srcOrd="1" destOrd="0" presId="urn:microsoft.com/office/officeart/2005/8/layout/hierarchy1"/>
  </dgm:cxnLst>
  <dgm:bg/>
  <dgm:whole/>
  <dgm:extLst>
    <a:ext uri="http://schemas.microsoft.com/office/drawing/2008/diagram">
      <dsp:dataModelExt xmlns:dsp="http://schemas.microsoft.com/office/drawing/2008/diagram" relId="rId93"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E313A9A4-B514-44EA-8E8C-06E974679924}"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endParaRPr lang="en-GB"/>
        </a:p>
      </dgm:t>
    </dgm:pt>
    <dgm:pt modelId="{F0E85FCD-E5B6-471C-B343-1725D309EDD9}">
      <dgm:prSet phldrT="[Text]" custT="1"/>
      <dgm:spPr/>
      <dgm:t>
        <a:bodyPr/>
        <a:lstStyle/>
        <a:p>
          <a:r>
            <a:rPr lang="en-GB" sz="1100" b="1">
              <a:latin typeface="Arial" pitchFamily="34" charset="0"/>
              <a:cs typeface="Arial" pitchFamily="34" charset="0"/>
            </a:rPr>
            <a:t>Parasitas</a:t>
          </a:r>
        </a:p>
      </dgm:t>
    </dgm:pt>
    <dgm:pt modelId="{C8D7D272-DDA2-462D-A292-9C75144E4657}" type="parTrans" cxnId="{3992300F-8977-4A78-A0E0-D69D5D6B7E97}">
      <dgm:prSet/>
      <dgm:spPr/>
      <dgm:t>
        <a:bodyPr/>
        <a:lstStyle/>
        <a:p>
          <a:endParaRPr lang="en-GB" sz="1100">
            <a:latin typeface="Arial" pitchFamily="34" charset="0"/>
            <a:cs typeface="Arial" pitchFamily="34" charset="0"/>
          </a:endParaRPr>
        </a:p>
      </dgm:t>
    </dgm:pt>
    <dgm:pt modelId="{02630977-74EF-49D7-B6E6-67F398128CCB}" type="sibTrans" cxnId="{3992300F-8977-4A78-A0E0-D69D5D6B7E97}">
      <dgm:prSet/>
      <dgm:spPr/>
      <dgm:t>
        <a:bodyPr/>
        <a:lstStyle/>
        <a:p>
          <a:endParaRPr lang="en-GB" sz="1100">
            <a:latin typeface="Arial" pitchFamily="34" charset="0"/>
            <a:cs typeface="Arial" pitchFamily="34" charset="0"/>
          </a:endParaRPr>
        </a:p>
      </dgm:t>
    </dgm:pt>
    <dgm:pt modelId="{000CC99A-6770-42AC-9946-C1ABB0505D65}">
      <dgm:prSet phldrT="[Text]" custT="1"/>
      <dgm:spPr/>
      <dgm:t>
        <a:bodyPr/>
        <a:lstStyle/>
        <a:p>
          <a:r>
            <a:rPr lang="en-GB" sz="1000" b="1">
              <a:latin typeface="Arial" pitchFamily="34" charset="0"/>
              <a:cs typeface="Arial" pitchFamily="34" charset="0"/>
            </a:rPr>
            <a:t>Protozoários</a:t>
          </a:r>
        </a:p>
      </dgm:t>
    </dgm:pt>
    <dgm:pt modelId="{033F81A6-AAE7-445A-9CD5-BC78C37EC6FD}" type="parTrans" cxnId="{AB2A8C6C-26D0-43AD-A203-2DC1C286C0E9}">
      <dgm:prSet/>
      <dgm:spPr/>
      <dgm:t>
        <a:bodyPr/>
        <a:lstStyle/>
        <a:p>
          <a:endParaRPr lang="en-GB" sz="1100">
            <a:latin typeface="Arial" pitchFamily="34" charset="0"/>
            <a:cs typeface="Arial" pitchFamily="34" charset="0"/>
          </a:endParaRPr>
        </a:p>
      </dgm:t>
    </dgm:pt>
    <dgm:pt modelId="{0E765820-7AF9-46FC-977E-F157D184CEC5}" type="sibTrans" cxnId="{AB2A8C6C-26D0-43AD-A203-2DC1C286C0E9}">
      <dgm:prSet/>
      <dgm:spPr/>
      <dgm:t>
        <a:bodyPr/>
        <a:lstStyle/>
        <a:p>
          <a:endParaRPr lang="en-GB" sz="1100">
            <a:latin typeface="Arial" pitchFamily="34" charset="0"/>
            <a:cs typeface="Arial" pitchFamily="34" charset="0"/>
          </a:endParaRPr>
        </a:p>
      </dgm:t>
    </dgm:pt>
    <dgm:pt modelId="{6414372F-CB2C-4789-B6FE-47CC0D357F0E}">
      <dgm:prSet phldrT="[Text]" custT="1"/>
      <dgm:spPr/>
      <dgm:t>
        <a:bodyPr/>
        <a:lstStyle/>
        <a:p>
          <a:r>
            <a:rPr lang="en-GB" sz="1000" b="1">
              <a:latin typeface="Arial" pitchFamily="34" charset="0"/>
              <a:cs typeface="Arial" pitchFamily="34" charset="0"/>
            </a:rPr>
            <a:t>Intestinais</a:t>
          </a:r>
        </a:p>
      </dgm:t>
    </dgm:pt>
    <dgm:pt modelId="{39EAB64D-4765-4D25-AD9E-090E686CB67C}" type="parTrans" cxnId="{09283A7E-C020-47FE-8BB7-7EEF05B85C7A}">
      <dgm:prSet/>
      <dgm:spPr/>
      <dgm:t>
        <a:bodyPr/>
        <a:lstStyle/>
        <a:p>
          <a:endParaRPr lang="en-GB" sz="1100">
            <a:latin typeface="Arial" pitchFamily="34" charset="0"/>
            <a:cs typeface="Arial" pitchFamily="34" charset="0"/>
          </a:endParaRPr>
        </a:p>
      </dgm:t>
    </dgm:pt>
    <dgm:pt modelId="{C935E575-445A-4879-AA69-F9275F0111BE}" type="sibTrans" cxnId="{09283A7E-C020-47FE-8BB7-7EEF05B85C7A}">
      <dgm:prSet/>
      <dgm:spPr/>
      <dgm:t>
        <a:bodyPr/>
        <a:lstStyle/>
        <a:p>
          <a:endParaRPr lang="en-GB" sz="1100">
            <a:latin typeface="Arial" pitchFamily="34" charset="0"/>
            <a:cs typeface="Arial" pitchFamily="34" charset="0"/>
          </a:endParaRPr>
        </a:p>
      </dgm:t>
    </dgm:pt>
    <dgm:pt modelId="{7E5F4FED-9542-4520-BAD3-A283ABAF7010}">
      <dgm:prSet phldrT="[Text]" custT="1"/>
      <dgm:spPr/>
      <dgm:t>
        <a:bodyPr/>
        <a:lstStyle/>
        <a:p>
          <a:r>
            <a:rPr lang="en-GB" sz="1000" b="1">
              <a:latin typeface="Arial" pitchFamily="34" charset="0"/>
              <a:cs typeface="Arial" pitchFamily="34" charset="0"/>
            </a:rPr>
            <a:t>Urogenitais</a:t>
          </a:r>
        </a:p>
      </dgm:t>
    </dgm:pt>
    <dgm:pt modelId="{51E045CD-BD37-49F7-993C-10BF93FF61C2}" type="parTrans" cxnId="{93A2D356-CE12-44D4-8A0E-AE3C12A80A9D}">
      <dgm:prSet/>
      <dgm:spPr/>
      <dgm:t>
        <a:bodyPr/>
        <a:lstStyle/>
        <a:p>
          <a:endParaRPr lang="en-GB" sz="1100">
            <a:latin typeface="Arial" pitchFamily="34" charset="0"/>
            <a:cs typeface="Arial" pitchFamily="34" charset="0"/>
          </a:endParaRPr>
        </a:p>
      </dgm:t>
    </dgm:pt>
    <dgm:pt modelId="{9690EF92-C184-4D26-9EC7-308D27E44B5A}" type="sibTrans" cxnId="{93A2D356-CE12-44D4-8A0E-AE3C12A80A9D}">
      <dgm:prSet/>
      <dgm:spPr/>
      <dgm:t>
        <a:bodyPr/>
        <a:lstStyle/>
        <a:p>
          <a:endParaRPr lang="en-GB" sz="1100">
            <a:latin typeface="Arial" pitchFamily="34" charset="0"/>
            <a:cs typeface="Arial" pitchFamily="34" charset="0"/>
          </a:endParaRPr>
        </a:p>
      </dgm:t>
    </dgm:pt>
    <dgm:pt modelId="{1EDFB726-B675-4C19-BB44-35235763C8A0}">
      <dgm:prSet phldrT="[Text]" custT="1"/>
      <dgm:spPr/>
      <dgm:t>
        <a:bodyPr/>
        <a:lstStyle/>
        <a:p>
          <a:r>
            <a:rPr lang="en-GB" sz="1000" b="1">
              <a:latin typeface="Arial" pitchFamily="34" charset="0"/>
              <a:cs typeface="Arial" pitchFamily="34" charset="0"/>
            </a:rPr>
            <a:t>Artrópodes</a:t>
          </a:r>
        </a:p>
      </dgm:t>
    </dgm:pt>
    <dgm:pt modelId="{00F47A4E-65EC-429C-8ADF-D2BE154428E0}" type="parTrans" cxnId="{90A30A2C-19D4-4E6A-830A-6B6219F72148}">
      <dgm:prSet/>
      <dgm:spPr/>
      <dgm:t>
        <a:bodyPr/>
        <a:lstStyle/>
        <a:p>
          <a:endParaRPr lang="en-GB" sz="1100">
            <a:latin typeface="Arial" pitchFamily="34" charset="0"/>
            <a:cs typeface="Arial" pitchFamily="34" charset="0"/>
          </a:endParaRPr>
        </a:p>
      </dgm:t>
    </dgm:pt>
    <dgm:pt modelId="{098685F3-05CA-47AC-B847-AB0E6C1B41C8}" type="sibTrans" cxnId="{90A30A2C-19D4-4E6A-830A-6B6219F72148}">
      <dgm:prSet/>
      <dgm:spPr/>
      <dgm:t>
        <a:bodyPr/>
        <a:lstStyle/>
        <a:p>
          <a:endParaRPr lang="en-GB" sz="1100">
            <a:latin typeface="Arial" pitchFamily="34" charset="0"/>
            <a:cs typeface="Arial" pitchFamily="34" charset="0"/>
          </a:endParaRPr>
        </a:p>
      </dgm:t>
    </dgm:pt>
    <dgm:pt modelId="{9F6FEF1B-EFF9-4B7A-B9F6-C49B456D39FF}">
      <dgm:prSet custT="1"/>
      <dgm:spPr/>
      <dgm:t>
        <a:bodyPr/>
        <a:lstStyle/>
        <a:p>
          <a:r>
            <a:rPr lang="en-GB" sz="1000" b="1">
              <a:latin typeface="Arial" pitchFamily="34" charset="0"/>
              <a:cs typeface="Arial" pitchFamily="34" charset="0"/>
            </a:rPr>
            <a:t>Helmintos</a:t>
          </a:r>
        </a:p>
      </dgm:t>
    </dgm:pt>
    <dgm:pt modelId="{0BF5A333-14E6-4FA3-9265-E7D4EDED62B7}" type="parTrans" cxnId="{580FF3AB-1219-4029-B8E4-F0B079966F87}">
      <dgm:prSet/>
      <dgm:spPr/>
      <dgm:t>
        <a:bodyPr/>
        <a:lstStyle/>
        <a:p>
          <a:endParaRPr lang="en-GB" sz="1100">
            <a:latin typeface="Arial" pitchFamily="34" charset="0"/>
            <a:cs typeface="Arial" pitchFamily="34" charset="0"/>
          </a:endParaRPr>
        </a:p>
      </dgm:t>
    </dgm:pt>
    <dgm:pt modelId="{0303DE39-A558-4A6D-AE57-46EA633369F5}" type="sibTrans" cxnId="{580FF3AB-1219-4029-B8E4-F0B079966F87}">
      <dgm:prSet/>
      <dgm:spPr/>
      <dgm:t>
        <a:bodyPr/>
        <a:lstStyle/>
        <a:p>
          <a:endParaRPr lang="en-GB" sz="1100">
            <a:latin typeface="Arial" pitchFamily="34" charset="0"/>
            <a:cs typeface="Arial" pitchFamily="34" charset="0"/>
          </a:endParaRPr>
        </a:p>
      </dgm:t>
    </dgm:pt>
    <dgm:pt modelId="{C6CD53F3-3545-45FC-8036-ABF8D85A9F6F}">
      <dgm:prSet custT="1"/>
      <dgm:spPr/>
      <dgm:t>
        <a:bodyPr/>
        <a:lstStyle/>
        <a:p>
          <a:r>
            <a:rPr lang="en-GB" sz="1000" b="1">
              <a:latin typeface="Arial" pitchFamily="34" charset="0"/>
              <a:cs typeface="Arial" pitchFamily="34" charset="0"/>
            </a:rPr>
            <a:t>Nemátodos</a:t>
          </a:r>
        </a:p>
      </dgm:t>
    </dgm:pt>
    <dgm:pt modelId="{F3559900-355C-4560-9194-3D12A1BE8742}" type="parTrans" cxnId="{38423855-4D6C-4B81-A533-F94DE7FFB1F8}">
      <dgm:prSet/>
      <dgm:spPr/>
      <dgm:t>
        <a:bodyPr/>
        <a:lstStyle/>
        <a:p>
          <a:endParaRPr lang="en-GB" sz="1100">
            <a:latin typeface="Arial" pitchFamily="34" charset="0"/>
            <a:cs typeface="Arial" pitchFamily="34" charset="0"/>
          </a:endParaRPr>
        </a:p>
      </dgm:t>
    </dgm:pt>
    <dgm:pt modelId="{A0B4DE00-2C8F-4D33-B065-C6884C975506}" type="sibTrans" cxnId="{38423855-4D6C-4B81-A533-F94DE7FFB1F8}">
      <dgm:prSet/>
      <dgm:spPr/>
      <dgm:t>
        <a:bodyPr/>
        <a:lstStyle/>
        <a:p>
          <a:endParaRPr lang="en-GB" sz="1100">
            <a:latin typeface="Arial" pitchFamily="34" charset="0"/>
            <a:cs typeface="Arial" pitchFamily="34" charset="0"/>
          </a:endParaRPr>
        </a:p>
      </dgm:t>
    </dgm:pt>
    <dgm:pt modelId="{4A88F149-24FB-4C3D-BA9E-80A777809403}">
      <dgm:prSet custT="1"/>
      <dgm:spPr/>
      <dgm:t>
        <a:bodyPr/>
        <a:lstStyle/>
        <a:p>
          <a:r>
            <a:rPr lang="en-GB" sz="1000" b="1">
              <a:latin typeface="Arial" pitchFamily="34" charset="0"/>
              <a:cs typeface="Arial" pitchFamily="34" charset="0"/>
            </a:rPr>
            <a:t>Platelmintos</a:t>
          </a:r>
        </a:p>
      </dgm:t>
    </dgm:pt>
    <dgm:pt modelId="{6B1885F0-1660-4EBE-879A-AD786B7646B8}" type="parTrans" cxnId="{8FE5CC3C-DF7F-4381-BED6-02C7340D49CC}">
      <dgm:prSet/>
      <dgm:spPr/>
      <dgm:t>
        <a:bodyPr/>
        <a:lstStyle/>
        <a:p>
          <a:endParaRPr lang="en-GB" sz="1100">
            <a:latin typeface="Arial" pitchFamily="34" charset="0"/>
            <a:cs typeface="Arial" pitchFamily="34" charset="0"/>
          </a:endParaRPr>
        </a:p>
      </dgm:t>
    </dgm:pt>
    <dgm:pt modelId="{0CCDF7FE-9DB2-45D7-A10F-4208228E5AF3}" type="sibTrans" cxnId="{8FE5CC3C-DF7F-4381-BED6-02C7340D49CC}">
      <dgm:prSet/>
      <dgm:spPr/>
      <dgm:t>
        <a:bodyPr/>
        <a:lstStyle/>
        <a:p>
          <a:endParaRPr lang="en-GB" sz="1100">
            <a:latin typeface="Arial" pitchFamily="34" charset="0"/>
            <a:cs typeface="Arial" pitchFamily="34" charset="0"/>
          </a:endParaRPr>
        </a:p>
      </dgm:t>
    </dgm:pt>
    <dgm:pt modelId="{F8B5D5B2-9BF4-4B0A-A292-5F882396734C}">
      <dgm:prSet custT="1"/>
      <dgm:spPr/>
      <dgm:t>
        <a:bodyPr/>
        <a:lstStyle/>
        <a:p>
          <a:r>
            <a:rPr lang="en-GB" sz="1000" b="1">
              <a:latin typeface="Arial" pitchFamily="34" charset="0"/>
              <a:cs typeface="Arial" pitchFamily="34" charset="0"/>
            </a:rPr>
            <a:t>Tremátodoes</a:t>
          </a:r>
        </a:p>
      </dgm:t>
    </dgm:pt>
    <dgm:pt modelId="{DD3ECC7D-F3D5-4B3E-8B4A-FF8883B2CB4F}" type="parTrans" cxnId="{A5750591-862F-4E2C-A5D5-5BA2C3F97B5D}">
      <dgm:prSet/>
      <dgm:spPr/>
      <dgm:t>
        <a:bodyPr/>
        <a:lstStyle/>
        <a:p>
          <a:endParaRPr lang="en-GB" sz="1100">
            <a:latin typeface="Arial" pitchFamily="34" charset="0"/>
            <a:cs typeface="Arial" pitchFamily="34" charset="0"/>
          </a:endParaRPr>
        </a:p>
      </dgm:t>
    </dgm:pt>
    <dgm:pt modelId="{0A098114-D0D8-4120-8C43-BA6CDC944B80}" type="sibTrans" cxnId="{A5750591-862F-4E2C-A5D5-5BA2C3F97B5D}">
      <dgm:prSet/>
      <dgm:spPr/>
      <dgm:t>
        <a:bodyPr/>
        <a:lstStyle/>
        <a:p>
          <a:endParaRPr lang="en-GB" sz="1100">
            <a:latin typeface="Arial" pitchFamily="34" charset="0"/>
            <a:cs typeface="Arial" pitchFamily="34" charset="0"/>
          </a:endParaRPr>
        </a:p>
      </dgm:t>
    </dgm:pt>
    <dgm:pt modelId="{4893E12D-DFBC-4A32-9BB4-5E028B3089B5}">
      <dgm:prSet custT="1"/>
      <dgm:spPr/>
      <dgm:t>
        <a:bodyPr/>
        <a:lstStyle/>
        <a:p>
          <a:r>
            <a:rPr lang="en-GB" sz="1000" b="1">
              <a:latin typeface="Arial" pitchFamily="34" charset="0"/>
              <a:cs typeface="Arial" pitchFamily="34" charset="0"/>
            </a:rPr>
            <a:t>Cestódes</a:t>
          </a:r>
        </a:p>
      </dgm:t>
    </dgm:pt>
    <dgm:pt modelId="{08CE75EA-76FE-4BA0-8689-136362918566}" type="parTrans" cxnId="{885BE66D-E275-43E6-ACFB-61A0AAC4D922}">
      <dgm:prSet/>
      <dgm:spPr/>
      <dgm:t>
        <a:bodyPr/>
        <a:lstStyle/>
        <a:p>
          <a:endParaRPr lang="en-GB" sz="1100">
            <a:latin typeface="Arial" pitchFamily="34" charset="0"/>
            <a:cs typeface="Arial" pitchFamily="34" charset="0"/>
          </a:endParaRPr>
        </a:p>
      </dgm:t>
    </dgm:pt>
    <dgm:pt modelId="{F0D0939A-ECFA-4353-84F3-B3539F62A40F}" type="sibTrans" cxnId="{885BE66D-E275-43E6-ACFB-61A0AAC4D922}">
      <dgm:prSet/>
      <dgm:spPr/>
      <dgm:t>
        <a:bodyPr/>
        <a:lstStyle/>
        <a:p>
          <a:endParaRPr lang="en-GB" sz="1100">
            <a:latin typeface="Arial" pitchFamily="34" charset="0"/>
            <a:cs typeface="Arial" pitchFamily="34" charset="0"/>
          </a:endParaRPr>
        </a:p>
      </dgm:t>
    </dgm:pt>
    <dgm:pt modelId="{6613C366-726A-4D2A-9A4A-2032E8B1DD3A}">
      <dgm:prSet custT="1"/>
      <dgm:spPr/>
      <dgm:t>
        <a:bodyPr/>
        <a:lstStyle/>
        <a:p>
          <a:r>
            <a:rPr lang="en-GB" sz="1000" b="1">
              <a:latin typeface="Arial" pitchFamily="34" charset="0"/>
              <a:cs typeface="Arial" pitchFamily="34" charset="0"/>
            </a:rPr>
            <a:t>Sistêmicos</a:t>
          </a:r>
        </a:p>
      </dgm:t>
    </dgm:pt>
    <dgm:pt modelId="{C2271E04-FF9F-4197-9252-26ED8F56F2A6}" type="parTrans" cxnId="{8D9DE99C-9E51-4A24-9599-33F3FE76A301}">
      <dgm:prSet/>
      <dgm:spPr/>
      <dgm:t>
        <a:bodyPr/>
        <a:lstStyle/>
        <a:p>
          <a:endParaRPr lang="en-GB" sz="1100">
            <a:latin typeface="Arial" pitchFamily="34" charset="0"/>
            <a:cs typeface="Arial" pitchFamily="34" charset="0"/>
          </a:endParaRPr>
        </a:p>
      </dgm:t>
    </dgm:pt>
    <dgm:pt modelId="{E6EACC3A-E403-4E5D-91B0-2FC194EE1F4B}" type="sibTrans" cxnId="{8D9DE99C-9E51-4A24-9599-33F3FE76A301}">
      <dgm:prSet/>
      <dgm:spPr/>
      <dgm:t>
        <a:bodyPr/>
        <a:lstStyle/>
        <a:p>
          <a:endParaRPr lang="en-GB" sz="1100">
            <a:latin typeface="Arial" pitchFamily="34" charset="0"/>
            <a:cs typeface="Arial" pitchFamily="34" charset="0"/>
          </a:endParaRPr>
        </a:p>
      </dgm:t>
    </dgm:pt>
    <dgm:pt modelId="{A2F1D834-97BD-46EC-A49F-B337A5860E46}" type="pres">
      <dgm:prSet presAssocID="{E313A9A4-B514-44EA-8E8C-06E974679924}" presName="hierChild1" presStyleCnt="0">
        <dgm:presLayoutVars>
          <dgm:chPref val="1"/>
          <dgm:dir/>
          <dgm:animOne val="branch"/>
          <dgm:animLvl val="lvl"/>
          <dgm:resizeHandles/>
        </dgm:presLayoutVars>
      </dgm:prSet>
      <dgm:spPr/>
      <dgm:t>
        <a:bodyPr/>
        <a:lstStyle/>
        <a:p>
          <a:endParaRPr lang="en-US"/>
        </a:p>
      </dgm:t>
    </dgm:pt>
    <dgm:pt modelId="{0ECF8B1F-49AF-444F-BD44-8A6FD4869715}" type="pres">
      <dgm:prSet presAssocID="{F0E85FCD-E5B6-471C-B343-1725D309EDD9}" presName="hierRoot1" presStyleCnt="0"/>
      <dgm:spPr/>
    </dgm:pt>
    <dgm:pt modelId="{5BDFA394-3AC6-4F21-9787-5993B3A0F5E1}" type="pres">
      <dgm:prSet presAssocID="{F0E85FCD-E5B6-471C-B343-1725D309EDD9}" presName="composite" presStyleCnt="0"/>
      <dgm:spPr/>
    </dgm:pt>
    <dgm:pt modelId="{5EB5EBB8-64F4-4632-8BEE-41CA5D70B20C}" type="pres">
      <dgm:prSet presAssocID="{F0E85FCD-E5B6-471C-B343-1725D309EDD9}" presName="background" presStyleLbl="node0" presStyleIdx="0" presStyleCnt="1"/>
      <dgm:spPr/>
    </dgm:pt>
    <dgm:pt modelId="{11BE9294-1DE6-4DBF-BAF5-A88D16CF815A}" type="pres">
      <dgm:prSet presAssocID="{F0E85FCD-E5B6-471C-B343-1725D309EDD9}" presName="text" presStyleLbl="fgAcc0" presStyleIdx="0" presStyleCnt="1" custScaleX="370561" custScaleY="289796" custLinFactY="-303374" custLinFactNeighborX="-33415" custLinFactNeighborY="-400000">
        <dgm:presLayoutVars>
          <dgm:chPref val="3"/>
        </dgm:presLayoutVars>
      </dgm:prSet>
      <dgm:spPr/>
      <dgm:t>
        <a:bodyPr/>
        <a:lstStyle/>
        <a:p>
          <a:endParaRPr lang="en-GB"/>
        </a:p>
      </dgm:t>
    </dgm:pt>
    <dgm:pt modelId="{06CB3FB3-658D-438B-8BCA-6851FFE8C7CE}" type="pres">
      <dgm:prSet presAssocID="{F0E85FCD-E5B6-471C-B343-1725D309EDD9}" presName="hierChild2" presStyleCnt="0"/>
      <dgm:spPr/>
    </dgm:pt>
    <dgm:pt modelId="{83B15B08-3C05-4644-B35C-CB8187A785B4}" type="pres">
      <dgm:prSet presAssocID="{033F81A6-AAE7-445A-9CD5-BC78C37EC6FD}" presName="Name10" presStyleLbl="parChTrans1D2" presStyleIdx="0" presStyleCnt="3"/>
      <dgm:spPr/>
      <dgm:t>
        <a:bodyPr/>
        <a:lstStyle/>
        <a:p>
          <a:endParaRPr lang="en-US"/>
        </a:p>
      </dgm:t>
    </dgm:pt>
    <dgm:pt modelId="{140A1572-C136-404D-B87E-F3CE43A70B81}" type="pres">
      <dgm:prSet presAssocID="{000CC99A-6770-42AC-9946-C1ABB0505D65}" presName="hierRoot2" presStyleCnt="0"/>
      <dgm:spPr/>
    </dgm:pt>
    <dgm:pt modelId="{762DFF81-931C-49BF-B552-8D8FFB77F76C}" type="pres">
      <dgm:prSet presAssocID="{000CC99A-6770-42AC-9946-C1ABB0505D65}" presName="composite2" presStyleCnt="0"/>
      <dgm:spPr/>
    </dgm:pt>
    <dgm:pt modelId="{94AB450A-830A-49F8-8E54-7F56E3E063B6}" type="pres">
      <dgm:prSet presAssocID="{000CC99A-6770-42AC-9946-C1ABB0505D65}" presName="background2" presStyleLbl="node2" presStyleIdx="0" presStyleCnt="3"/>
      <dgm:spPr/>
    </dgm:pt>
    <dgm:pt modelId="{BAB9EE54-E284-4338-8670-DC941C331C8E}" type="pres">
      <dgm:prSet presAssocID="{000CC99A-6770-42AC-9946-C1ABB0505D65}" presName="text2" presStyleLbl="fgAcc2" presStyleIdx="0" presStyleCnt="3" custScaleX="449070" custScaleY="241815">
        <dgm:presLayoutVars>
          <dgm:chPref val="3"/>
        </dgm:presLayoutVars>
      </dgm:prSet>
      <dgm:spPr/>
      <dgm:t>
        <a:bodyPr/>
        <a:lstStyle/>
        <a:p>
          <a:endParaRPr lang="en-US"/>
        </a:p>
      </dgm:t>
    </dgm:pt>
    <dgm:pt modelId="{BB8B4B24-8D13-4C78-BE42-12ECBF27D8C6}" type="pres">
      <dgm:prSet presAssocID="{000CC99A-6770-42AC-9946-C1ABB0505D65}" presName="hierChild3" presStyleCnt="0"/>
      <dgm:spPr/>
    </dgm:pt>
    <dgm:pt modelId="{1D3EC085-4FF3-4918-82AE-56C488384DA7}" type="pres">
      <dgm:prSet presAssocID="{39EAB64D-4765-4D25-AD9E-090E686CB67C}" presName="Name17" presStyleLbl="parChTrans1D3" presStyleIdx="0" presStyleCnt="5"/>
      <dgm:spPr/>
      <dgm:t>
        <a:bodyPr/>
        <a:lstStyle/>
        <a:p>
          <a:endParaRPr lang="en-US"/>
        </a:p>
      </dgm:t>
    </dgm:pt>
    <dgm:pt modelId="{1C26310F-B8FB-4C3A-902B-66A510F237B9}" type="pres">
      <dgm:prSet presAssocID="{6414372F-CB2C-4789-B6FE-47CC0D357F0E}" presName="hierRoot3" presStyleCnt="0"/>
      <dgm:spPr/>
    </dgm:pt>
    <dgm:pt modelId="{6B49B55E-9806-40F3-A3DD-62A13B9386F6}" type="pres">
      <dgm:prSet presAssocID="{6414372F-CB2C-4789-B6FE-47CC0D357F0E}" presName="composite3" presStyleCnt="0"/>
      <dgm:spPr/>
    </dgm:pt>
    <dgm:pt modelId="{4B30A34C-7A46-459F-87F0-B03533D87A1F}" type="pres">
      <dgm:prSet presAssocID="{6414372F-CB2C-4789-B6FE-47CC0D357F0E}" presName="background3" presStyleLbl="node3" presStyleIdx="0" presStyleCnt="5"/>
      <dgm:spPr/>
    </dgm:pt>
    <dgm:pt modelId="{7CCD9438-4672-4C4E-B284-001CCAB4C594}" type="pres">
      <dgm:prSet presAssocID="{6414372F-CB2C-4789-B6FE-47CC0D357F0E}" presName="text3" presStyleLbl="fgAcc3" presStyleIdx="0" presStyleCnt="5" custScaleX="343138" custScaleY="373775" custLinFactY="300000" custLinFactNeighborX="-11802" custLinFactNeighborY="363258">
        <dgm:presLayoutVars>
          <dgm:chPref val="3"/>
        </dgm:presLayoutVars>
      </dgm:prSet>
      <dgm:spPr/>
      <dgm:t>
        <a:bodyPr/>
        <a:lstStyle/>
        <a:p>
          <a:endParaRPr lang="en-GB"/>
        </a:p>
      </dgm:t>
    </dgm:pt>
    <dgm:pt modelId="{691F0ED6-FE2A-4490-BEC2-4FF3CCE5D976}" type="pres">
      <dgm:prSet presAssocID="{6414372F-CB2C-4789-B6FE-47CC0D357F0E}" presName="hierChild4" presStyleCnt="0"/>
      <dgm:spPr/>
    </dgm:pt>
    <dgm:pt modelId="{9B5D2C1D-0578-4961-AD17-1B6BC36120A3}" type="pres">
      <dgm:prSet presAssocID="{51E045CD-BD37-49F7-993C-10BF93FF61C2}" presName="Name17" presStyleLbl="parChTrans1D3" presStyleIdx="1" presStyleCnt="5"/>
      <dgm:spPr/>
      <dgm:t>
        <a:bodyPr/>
        <a:lstStyle/>
        <a:p>
          <a:endParaRPr lang="en-US"/>
        </a:p>
      </dgm:t>
    </dgm:pt>
    <dgm:pt modelId="{3BEA17D0-83DD-4019-AB51-FEB47D7004FE}" type="pres">
      <dgm:prSet presAssocID="{7E5F4FED-9542-4520-BAD3-A283ABAF7010}" presName="hierRoot3" presStyleCnt="0"/>
      <dgm:spPr/>
    </dgm:pt>
    <dgm:pt modelId="{EC2A5C91-8FE4-497F-AC60-43C47E94A05D}" type="pres">
      <dgm:prSet presAssocID="{7E5F4FED-9542-4520-BAD3-A283ABAF7010}" presName="composite3" presStyleCnt="0"/>
      <dgm:spPr/>
    </dgm:pt>
    <dgm:pt modelId="{844179AB-98EA-456C-B5F8-BA0691B39D03}" type="pres">
      <dgm:prSet presAssocID="{7E5F4FED-9542-4520-BAD3-A283ABAF7010}" presName="background3" presStyleLbl="node3" presStyleIdx="1" presStyleCnt="5"/>
      <dgm:spPr/>
    </dgm:pt>
    <dgm:pt modelId="{DB77E93D-9AD2-45FD-B813-619DCFC22CAE}" type="pres">
      <dgm:prSet presAssocID="{7E5F4FED-9542-4520-BAD3-A283ABAF7010}" presName="text3" presStyleLbl="fgAcc3" presStyleIdx="1" presStyleCnt="5" custScaleX="464997" custScaleY="339757" custLinFactY="507002" custLinFactNeighborX="76019" custLinFactNeighborY="600000">
        <dgm:presLayoutVars>
          <dgm:chPref val="3"/>
        </dgm:presLayoutVars>
      </dgm:prSet>
      <dgm:spPr/>
      <dgm:t>
        <a:bodyPr/>
        <a:lstStyle/>
        <a:p>
          <a:endParaRPr lang="en-GB"/>
        </a:p>
      </dgm:t>
    </dgm:pt>
    <dgm:pt modelId="{100D8D2F-EB53-4935-9941-AADF3B54278D}" type="pres">
      <dgm:prSet presAssocID="{7E5F4FED-9542-4520-BAD3-A283ABAF7010}" presName="hierChild4" presStyleCnt="0"/>
      <dgm:spPr/>
    </dgm:pt>
    <dgm:pt modelId="{F716DADC-DE8F-4544-95F4-7632630B0ADC}" type="pres">
      <dgm:prSet presAssocID="{C2271E04-FF9F-4197-9252-26ED8F56F2A6}" presName="Name17" presStyleLbl="parChTrans1D3" presStyleIdx="2" presStyleCnt="5"/>
      <dgm:spPr/>
      <dgm:t>
        <a:bodyPr/>
        <a:lstStyle/>
        <a:p>
          <a:endParaRPr lang="en-US"/>
        </a:p>
      </dgm:t>
    </dgm:pt>
    <dgm:pt modelId="{5F8D9C60-9DFE-4F44-BBFA-44E5BC35E8DA}" type="pres">
      <dgm:prSet presAssocID="{6613C366-726A-4D2A-9A4A-2032E8B1DD3A}" presName="hierRoot3" presStyleCnt="0"/>
      <dgm:spPr/>
    </dgm:pt>
    <dgm:pt modelId="{B0B462F2-4B65-4770-98C3-112855137641}" type="pres">
      <dgm:prSet presAssocID="{6613C366-726A-4D2A-9A4A-2032E8B1DD3A}" presName="composite3" presStyleCnt="0"/>
      <dgm:spPr/>
    </dgm:pt>
    <dgm:pt modelId="{E27319B4-88F2-469E-8A05-94B5FEBE2B26}" type="pres">
      <dgm:prSet presAssocID="{6613C366-726A-4D2A-9A4A-2032E8B1DD3A}" presName="background3" presStyleLbl="node3" presStyleIdx="2" presStyleCnt="5"/>
      <dgm:spPr/>
    </dgm:pt>
    <dgm:pt modelId="{2046A8EA-B0E2-4FE0-9121-D1A7AE48BE07}" type="pres">
      <dgm:prSet presAssocID="{6613C366-726A-4D2A-9A4A-2032E8B1DD3A}" presName="text3" presStyleLbl="fgAcc3" presStyleIdx="2" presStyleCnt="5" custScaleX="478807" custScaleY="285903" custLinFactY="300000" custLinFactNeighborX="17063" custLinFactNeighborY="369702">
        <dgm:presLayoutVars>
          <dgm:chPref val="3"/>
        </dgm:presLayoutVars>
      </dgm:prSet>
      <dgm:spPr/>
      <dgm:t>
        <a:bodyPr/>
        <a:lstStyle/>
        <a:p>
          <a:endParaRPr lang="en-GB"/>
        </a:p>
      </dgm:t>
    </dgm:pt>
    <dgm:pt modelId="{F2403206-16E3-4B88-B6ED-5992E90C6EEC}" type="pres">
      <dgm:prSet presAssocID="{6613C366-726A-4D2A-9A4A-2032E8B1DD3A}" presName="hierChild4" presStyleCnt="0"/>
      <dgm:spPr/>
    </dgm:pt>
    <dgm:pt modelId="{60BDADFB-20E4-438F-B3CA-1845F3911D9B}" type="pres">
      <dgm:prSet presAssocID="{0BF5A333-14E6-4FA3-9265-E7D4EDED62B7}" presName="Name10" presStyleLbl="parChTrans1D2" presStyleIdx="1" presStyleCnt="3"/>
      <dgm:spPr/>
      <dgm:t>
        <a:bodyPr/>
        <a:lstStyle/>
        <a:p>
          <a:endParaRPr lang="en-US"/>
        </a:p>
      </dgm:t>
    </dgm:pt>
    <dgm:pt modelId="{9909FA9A-E583-4BF8-9FB2-4405558F7B04}" type="pres">
      <dgm:prSet presAssocID="{9F6FEF1B-EFF9-4B7A-B9F6-C49B456D39FF}" presName="hierRoot2" presStyleCnt="0"/>
      <dgm:spPr/>
    </dgm:pt>
    <dgm:pt modelId="{DBE87A25-E363-43B8-9036-76888EC4DEC6}" type="pres">
      <dgm:prSet presAssocID="{9F6FEF1B-EFF9-4B7A-B9F6-C49B456D39FF}" presName="composite2" presStyleCnt="0"/>
      <dgm:spPr/>
    </dgm:pt>
    <dgm:pt modelId="{BD297372-09EF-412F-8242-0417565F0D1F}" type="pres">
      <dgm:prSet presAssocID="{9F6FEF1B-EFF9-4B7A-B9F6-C49B456D39FF}" presName="background2" presStyleLbl="node2" presStyleIdx="1" presStyleCnt="3"/>
      <dgm:spPr/>
    </dgm:pt>
    <dgm:pt modelId="{5A594C1F-03D2-4CFE-A5A5-314F71FC4D93}" type="pres">
      <dgm:prSet presAssocID="{9F6FEF1B-EFF9-4B7A-B9F6-C49B456D39FF}" presName="text2" presStyleLbl="fgAcc2" presStyleIdx="1" presStyleCnt="3" custScaleX="322198" custScaleY="219347" custLinFactY="96741" custLinFactNeighborX="-46980" custLinFactNeighborY="100000">
        <dgm:presLayoutVars>
          <dgm:chPref val="3"/>
        </dgm:presLayoutVars>
      </dgm:prSet>
      <dgm:spPr/>
      <dgm:t>
        <a:bodyPr/>
        <a:lstStyle/>
        <a:p>
          <a:endParaRPr lang="en-US"/>
        </a:p>
      </dgm:t>
    </dgm:pt>
    <dgm:pt modelId="{5A22A99B-F126-4DED-931C-50FE9D0B3D19}" type="pres">
      <dgm:prSet presAssocID="{9F6FEF1B-EFF9-4B7A-B9F6-C49B456D39FF}" presName="hierChild3" presStyleCnt="0"/>
      <dgm:spPr/>
    </dgm:pt>
    <dgm:pt modelId="{ED311942-DF67-4098-A0E9-600495EE9B7D}" type="pres">
      <dgm:prSet presAssocID="{F3559900-355C-4560-9194-3D12A1BE8742}" presName="Name17" presStyleLbl="parChTrans1D3" presStyleIdx="3" presStyleCnt="5"/>
      <dgm:spPr/>
      <dgm:t>
        <a:bodyPr/>
        <a:lstStyle/>
        <a:p>
          <a:endParaRPr lang="en-US"/>
        </a:p>
      </dgm:t>
    </dgm:pt>
    <dgm:pt modelId="{28D6CB3A-9E21-4C45-9C02-5808A558EED5}" type="pres">
      <dgm:prSet presAssocID="{C6CD53F3-3545-45FC-8036-ABF8D85A9F6F}" presName="hierRoot3" presStyleCnt="0"/>
      <dgm:spPr/>
    </dgm:pt>
    <dgm:pt modelId="{953220AF-78CC-48AC-A189-E3342ADA7C82}" type="pres">
      <dgm:prSet presAssocID="{C6CD53F3-3545-45FC-8036-ABF8D85A9F6F}" presName="composite3" presStyleCnt="0"/>
      <dgm:spPr/>
    </dgm:pt>
    <dgm:pt modelId="{48610410-2878-49D0-9CA6-BE1D4F841455}" type="pres">
      <dgm:prSet presAssocID="{C6CD53F3-3545-45FC-8036-ABF8D85A9F6F}" presName="background3" presStyleLbl="node3" presStyleIdx="3" presStyleCnt="5"/>
      <dgm:spPr/>
    </dgm:pt>
    <dgm:pt modelId="{F4C9D155-A3BD-4530-AF65-CAE1591B3A3B}" type="pres">
      <dgm:prSet presAssocID="{C6CD53F3-3545-45FC-8036-ABF8D85A9F6F}" presName="text3" presStyleLbl="fgAcc3" presStyleIdx="3" presStyleCnt="5" custScaleX="427981" custScaleY="326418" custLinFactY="133939" custLinFactNeighborX="-96312" custLinFactNeighborY="200000">
        <dgm:presLayoutVars>
          <dgm:chPref val="3"/>
        </dgm:presLayoutVars>
      </dgm:prSet>
      <dgm:spPr/>
      <dgm:t>
        <a:bodyPr/>
        <a:lstStyle/>
        <a:p>
          <a:endParaRPr lang="en-GB"/>
        </a:p>
      </dgm:t>
    </dgm:pt>
    <dgm:pt modelId="{782691A9-DB3B-49F6-89B5-6E986A931B89}" type="pres">
      <dgm:prSet presAssocID="{C6CD53F3-3545-45FC-8036-ABF8D85A9F6F}" presName="hierChild4" presStyleCnt="0"/>
      <dgm:spPr/>
    </dgm:pt>
    <dgm:pt modelId="{2081DB55-B8BA-4938-BA85-DDF96BB3CD6D}" type="pres">
      <dgm:prSet presAssocID="{6B1885F0-1660-4EBE-879A-AD786B7646B8}" presName="Name17" presStyleLbl="parChTrans1D3" presStyleIdx="4" presStyleCnt="5"/>
      <dgm:spPr/>
      <dgm:t>
        <a:bodyPr/>
        <a:lstStyle/>
        <a:p>
          <a:endParaRPr lang="en-US"/>
        </a:p>
      </dgm:t>
    </dgm:pt>
    <dgm:pt modelId="{C194B5C6-0816-429D-B737-C9F2851990DE}" type="pres">
      <dgm:prSet presAssocID="{4A88F149-24FB-4C3D-BA9E-80A777809403}" presName="hierRoot3" presStyleCnt="0"/>
      <dgm:spPr/>
    </dgm:pt>
    <dgm:pt modelId="{32B4BD87-BD37-4167-8FCA-3A4BF137DFED}" type="pres">
      <dgm:prSet presAssocID="{4A88F149-24FB-4C3D-BA9E-80A777809403}" presName="composite3" presStyleCnt="0"/>
      <dgm:spPr/>
    </dgm:pt>
    <dgm:pt modelId="{51B81C38-7268-4A39-AC19-191D1AA4B10A}" type="pres">
      <dgm:prSet presAssocID="{4A88F149-24FB-4C3D-BA9E-80A777809403}" presName="background3" presStyleLbl="node3" presStyleIdx="4" presStyleCnt="5"/>
      <dgm:spPr/>
    </dgm:pt>
    <dgm:pt modelId="{C21FDE04-C342-43DC-92A2-4A999FD5FCF4}" type="pres">
      <dgm:prSet presAssocID="{4A88F149-24FB-4C3D-BA9E-80A777809403}" presName="text3" presStyleLbl="fgAcc3" presStyleIdx="4" presStyleCnt="5" custScaleX="386822" custScaleY="187300" custLinFactY="131964" custLinFactNeighborX="-3745" custLinFactNeighborY="200000">
        <dgm:presLayoutVars>
          <dgm:chPref val="3"/>
        </dgm:presLayoutVars>
      </dgm:prSet>
      <dgm:spPr/>
      <dgm:t>
        <a:bodyPr/>
        <a:lstStyle/>
        <a:p>
          <a:endParaRPr lang="en-US"/>
        </a:p>
      </dgm:t>
    </dgm:pt>
    <dgm:pt modelId="{DFC81B47-5D7A-461B-91DF-1B5720B37EE3}" type="pres">
      <dgm:prSet presAssocID="{4A88F149-24FB-4C3D-BA9E-80A777809403}" presName="hierChild4" presStyleCnt="0"/>
      <dgm:spPr/>
    </dgm:pt>
    <dgm:pt modelId="{04280C80-D6B3-47B9-B126-91D04300454E}" type="pres">
      <dgm:prSet presAssocID="{DD3ECC7D-F3D5-4B3E-8B4A-FF8883B2CB4F}" presName="Name23" presStyleLbl="parChTrans1D4" presStyleIdx="0" presStyleCnt="2"/>
      <dgm:spPr/>
      <dgm:t>
        <a:bodyPr/>
        <a:lstStyle/>
        <a:p>
          <a:endParaRPr lang="en-US"/>
        </a:p>
      </dgm:t>
    </dgm:pt>
    <dgm:pt modelId="{B1460678-A01F-4159-8CD3-A7B9F6F49649}" type="pres">
      <dgm:prSet presAssocID="{F8B5D5B2-9BF4-4B0A-A292-5F882396734C}" presName="hierRoot4" presStyleCnt="0"/>
      <dgm:spPr/>
    </dgm:pt>
    <dgm:pt modelId="{C2521EE2-D4A1-4A57-B61A-3B40668BDE12}" type="pres">
      <dgm:prSet presAssocID="{F8B5D5B2-9BF4-4B0A-A292-5F882396734C}" presName="composite4" presStyleCnt="0"/>
      <dgm:spPr/>
    </dgm:pt>
    <dgm:pt modelId="{4B7A7CE5-4501-4DCC-98B2-4826B6AD1002}" type="pres">
      <dgm:prSet presAssocID="{F8B5D5B2-9BF4-4B0A-A292-5F882396734C}" presName="background4" presStyleLbl="node4" presStyleIdx="0" presStyleCnt="2"/>
      <dgm:spPr/>
    </dgm:pt>
    <dgm:pt modelId="{7DFD2589-82DB-4188-B62D-52B91BC3A75B}" type="pres">
      <dgm:prSet presAssocID="{F8B5D5B2-9BF4-4B0A-A292-5F882396734C}" presName="text4" presStyleLbl="fgAcc4" presStyleIdx="0" presStyleCnt="2" custScaleX="442122" custScaleY="458862" custLinFactX="-100000" custLinFactY="500282" custLinFactNeighborX="-100580" custLinFactNeighborY="600000">
        <dgm:presLayoutVars>
          <dgm:chPref val="3"/>
        </dgm:presLayoutVars>
      </dgm:prSet>
      <dgm:spPr/>
      <dgm:t>
        <a:bodyPr/>
        <a:lstStyle/>
        <a:p>
          <a:endParaRPr lang="en-GB"/>
        </a:p>
      </dgm:t>
    </dgm:pt>
    <dgm:pt modelId="{A1048442-1C85-42D5-AD1F-E67A73F18F33}" type="pres">
      <dgm:prSet presAssocID="{F8B5D5B2-9BF4-4B0A-A292-5F882396734C}" presName="hierChild5" presStyleCnt="0"/>
      <dgm:spPr/>
    </dgm:pt>
    <dgm:pt modelId="{541FD1A4-91C7-41F9-AD8B-08B766486356}" type="pres">
      <dgm:prSet presAssocID="{08CE75EA-76FE-4BA0-8689-136362918566}" presName="Name23" presStyleLbl="parChTrans1D4" presStyleIdx="1" presStyleCnt="2"/>
      <dgm:spPr/>
      <dgm:t>
        <a:bodyPr/>
        <a:lstStyle/>
        <a:p>
          <a:endParaRPr lang="en-US"/>
        </a:p>
      </dgm:t>
    </dgm:pt>
    <dgm:pt modelId="{75C93656-8A54-42EC-A4FB-466E1F49FF87}" type="pres">
      <dgm:prSet presAssocID="{4893E12D-DFBC-4A32-9BB4-5E028B3089B5}" presName="hierRoot4" presStyleCnt="0"/>
      <dgm:spPr/>
    </dgm:pt>
    <dgm:pt modelId="{E494E090-6390-406D-B27B-DF3FBDF730AB}" type="pres">
      <dgm:prSet presAssocID="{4893E12D-DFBC-4A32-9BB4-5E028B3089B5}" presName="composite4" presStyleCnt="0"/>
      <dgm:spPr/>
    </dgm:pt>
    <dgm:pt modelId="{0BE7E830-D3E0-41C8-BF1F-7CE5C5426A03}" type="pres">
      <dgm:prSet presAssocID="{4893E12D-DFBC-4A32-9BB4-5E028B3089B5}" presName="background4" presStyleLbl="node4" presStyleIdx="1" presStyleCnt="2"/>
      <dgm:spPr/>
    </dgm:pt>
    <dgm:pt modelId="{AABA9001-CC21-4321-B969-A2AAE2BA548D}" type="pres">
      <dgm:prSet presAssocID="{4893E12D-DFBC-4A32-9BB4-5E028B3089B5}" presName="text4" presStyleLbl="fgAcc4" presStyleIdx="1" presStyleCnt="2" custScaleX="352185" custScaleY="337293" custLinFactY="500000" custLinFactNeighborX="96278" custLinFactNeighborY="597664">
        <dgm:presLayoutVars>
          <dgm:chPref val="3"/>
        </dgm:presLayoutVars>
      </dgm:prSet>
      <dgm:spPr/>
      <dgm:t>
        <a:bodyPr/>
        <a:lstStyle/>
        <a:p>
          <a:endParaRPr lang="en-GB"/>
        </a:p>
      </dgm:t>
    </dgm:pt>
    <dgm:pt modelId="{AE5F89D6-A013-46C6-91AA-F2A24F79B22D}" type="pres">
      <dgm:prSet presAssocID="{4893E12D-DFBC-4A32-9BB4-5E028B3089B5}" presName="hierChild5" presStyleCnt="0"/>
      <dgm:spPr/>
    </dgm:pt>
    <dgm:pt modelId="{56D80AD5-4EEA-4C6A-AF3F-9F73B34EFAB7}" type="pres">
      <dgm:prSet presAssocID="{00F47A4E-65EC-429C-8ADF-D2BE154428E0}" presName="Name10" presStyleLbl="parChTrans1D2" presStyleIdx="2" presStyleCnt="3"/>
      <dgm:spPr/>
      <dgm:t>
        <a:bodyPr/>
        <a:lstStyle/>
        <a:p>
          <a:endParaRPr lang="en-US"/>
        </a:p>
      </dgm:t>
    </dgm:pt>
    <dgm:pt modelId="{A73A1C95-3967-4717-96AB-F3899F2FD4E3}" type="pres">
      <dgm:prSet presAssocID="{1EDFB726-B675-4C19-BB44-35235763C8A0}" presName="hierRoot2" presStyleCnt="0"/>
      <dgm:spPr/>
    </dgm:pt>
    <dgm:pt modelId="{954AC70B-4E20-46C6-807E-7749F49A37DD}" type="pres">
      <dgm:prSet presAssocID="{1EDFB726-B675-4C19-BB44-35235763C8A0}" presName="composite2" presStyleCnt="0"/>
      <dgm:spPr/>
    </dgm:pt>
    <dgm:pt modelId="{53EB4D2E-66BD-4288-9E82-BAA102EF0238}" type="pres">
      <dgm:prSet presAssocID="{1EDFB726-B675-4C19-BB44-35235763C8A0}" presName="background2" presStyleLbl="node2" presStyleIdx="2" presStyleCnt="3"/>
      <dgm:spPr/>
    </dgm:pt>
    <dgm:pt modelId="{7E587F0D-53F9-4A44-ABDD-6D3B7C146404}" type="pres">
      <dgm:prSet presAssocID="{1EDFB726-B675-4C19-BB44-35235763C8A0}" presName="text2" presStyleLbl="fgAcc2" presStyleIdx="2" presStyleCnt="3" custScaleX="348699" custScaleY="259401" custLinFactNeighborX="-73381" custLinFactNeighborY="4881">
        <dgm:presLayoutVars>
          <dgm:chPref val="3"/>
        </dgm:presLayoutVars>
      </dgm:prSet>
      <dgm:spPr/>
      <dgm:t>
        <a:bodyPr/>
        <a:lstStyle/>
        <a:p>
          <a:endParaRPr lang="en-GB"/>
        </a:p>
      </dgm:t>
    </dgm:pt>
    <dgm:pt modelId="{1F197E08-3656-48A7-81F2-6F695F12F623}" type="pres">
      <dgm:prSet presAssocID="{1EDFB726-B675-4C19-BB44-35235763C8A0}" presName="hierChild3" presStyleCnt="0"/>
      <dgm:spPr/>
    </dgm:pt>
  </dgm:ptLst>
  <dgm:cxnLst>
    <dgm:cxn modelId="{E9866DFE-2040-42F9-95FF-D5C2F0B0CBC3}" type="presOf" srcId="{9F6FEF1B-EFF9-4B7A-B9F6-C49B456D39FF}" destId="{5A594C1F-03D2-4CFE-A5A5-314F71FC4D93}" srcOrd="0" destOrd="0" presId="urn:microsoft.com/office/officeart/2005/8/layout/hierarchy1"/>
    <dgm:cxn modelId="{00A4E2CE-16A5-4C70-B1F4-429A0C754796}" type="presOf" srcId="{DD3ECC7D-F3D5-4B3E-8B4A-FF8883B2CB4F}" destId="{04280C80-D6B3-47B9-B126-91D04300454E}" srcOrd="0" destOrd="0" presId="urn:microsoft.com/office/officeart/2005/8/layout/hierarchy1"/>
    <dgm:cxn modelId="{580FF3AB-1219-4029-B8E4-F0B079966F87}" srcId="{F0E85FCD-E5B6-471C-B343-1725D309EDD9}" destId="{9F6FEF1B-EFF9-4B7A-B9F6-C49B456D39FF}" srcOrd="1" destOrd="0" parTransId="{0BF5A333-14E6-4FA3-9265-E7D4EDED62B7}" sibTransId="{0303DE39-A558-4A6D-AE57-46EA633369F5}"/>
    <dgm:cxn modelId="{AB2A8C6C-26D0-43AD-A203-2DC1C286C0E9}" srcId="{F0E85FCD-E5B6-471C-B343-1725D309EDD9}" destId="{000CC99A-6770-42AC-9946-C1ABB0505D65}" srcOrd="0" destOrd="0" parTransId="{033F81A6-AAE7-445A-9CD5-BC78C37EC6FD}" sibTransId="{0E765820-7AF9-46FC-977E-F157D184CEC5}"/>
    <dgm:cxn modelId="{A0E7DE88-1803-49F1-935D-F3CDCAD12D5E}" type="presOf" srcId="{000CC99A-6770-42AC-9946-C1ABB0505D65}" destId="{BAB9EE54-E284-4338-8670-DC941C331C8E}" srcOrd="0" destOrd="0" presId="urn:microsoft.com/office/officeart/2005/8/layout/hierarchy1"/>
    <dgm:cxn modelId="{23B05100-D96A-41CD-92EE-9BCBB6DE20F1}" type="presOf" srcId="{7E5F4FED-9542-4520-BAD3-A283ABAF7010}" destId="{DB77E93D-9AD2-45FD-B813-619DCFC22CAE}" srcOrd="0" destOrd="0" presId="urn:microsoft.com/office/officeart/2005/8/layout/hierarchy1"/>
    <dgm:cxn modelId="{644FB65A-188D-4EB9-9774-5BD5F51D6413}" type="presOf" srcId="{00F47A4E-65EC-429C-8ADF-D2BE154428E0}" destId="{56D80AD5-4EEA-4C6A-AF3F-9F73B34EFAB7}" srcOrd="0" destOrd="0" presId="urn:microsoft.com/office/officeart/2005/8/layout/hierarchy1"/>
    <dgm:cxn modelId="{26474F73-9E33-4FDB-9CF4-15064B593C21}" type="presOf" srcId="{4893E12D-DFBC-4A32-9BB4-5E028B3089B5}" destId="{AABA9001-CC21-4321-B969-A2AAE2BA548D}" srcOrd="0" destOrd="0" presId="urn:microsoft.com/office/officeart/2005/8/layout/hierarchy1"/>
    <dgm:cxn modelId="{3992300F-8977-4A78-A0E0-D69D5D6B7E97}" srcId="{E313A9A4-B514-44EA-8E8C-06E974679924}" destId="{F0E85FCD-E5B6-471C-B343-1725D309EDD9}" srcOrd="0" destOrd="0" parTransId="{C8D7D272-DDA2-462D-A292-9C75144E4657}" sibTransId="{02630977-74EF-49D7-B6E6-67F398128CCB}"/>
    <dgm:cxn modelId="{9EE74564-7A4B-4589-9831-1F71C40AC32F}" type="presOf" srcId="{F3559900-355C-4560-9194-3D12A1BE8742}" destId="{ED311942-DF67-4098-A0E9-600495EE9B7D}" srcOrd="0" destOrd="0" presId="urn:microsoft.com/office/officeart/2005/8/layout/hierarchy1"/>
    <dgm:cxn modelId="{A5750591-862F-4E2C-A5D5-5BA2C3F97B5D}" srcId="{4A88F149-24FB-4C3D-BA9E-80A777809403}" destId="{F8B5D5B2-9BF4-4B0A-A292-5F882396734C}" srcOrd="0" destOrd="0" parTransId="{DD3ECC7D-F3D5-4B3E-8B4A-FF8883B2CB4F}" sibTransId="{0A098114-D0D8-4120-8C43-BA6CDC944B80}"/>
    <dgm:cxn modelId="{E3809E67-C3B0-493B-AF4F-ABA6F5305D07}" type="presOf" srcId="{08CE75EA-76FE-4BA0-8689-136362918566}" destId="{541FD1A4-91C7-41F9-AD8B-08B766486356}" srcOrd="0" destOrd="0" presId="urn:microsoft.com/office/officeart/2005/8/layout/hierarchy1"/>
    <dgm:cxn modelId="{95E6F3F5-C720-4198-B101-CE8E173ED2EB}" type="presOf" srcId="{F0E85FCD-E5B6-471C-B343-1725D309EDD9}" destId="{11BE9294-1DE6-4DBF-BAF5-A88D16CF815A}" srcOrd="0" destOrd="0" presId="urn:microsoft.com/office/officeart/2005/8/layout/hierarchy1"/>
    <dgm:cxn modelId="{4D7C0BAF-156F-4F07-B427-043522F6B0C4}" type="presOf" srcId="{F8B5D5B2-9BF4-4B0A-A292-5F882396734C}" destId="{7DFD2589-82DB-4188-B62D-52B91BC3A75B}" srcOrd="0" destOrd="0" presId="urn:microsoft.com/office/officeart/2005/8/layout/hierarchy1"/>
    <dgm:cxn modelId="{4D562ED9-2A46-492B-BA02-CB3647FA3346}" type="presOf" srcId="{033F81A6-AAE7-445A-9CD5-BC78C37EC6FD}" destId="{83B15B08-3C05-4644-B35C-CB8187A785B4}" srcOrd="0" destOrd="0" presId="urn:microsoft.com/office/officeart/2005/8/layout/hierarchy1"/>
    <dgm:cxn modelId="{90A30A2C-19D4-4E6A-830A-6B6219F72148}" srcId="{F0E85FCD-E5B6-471C-B343-1725D309EDD9}" destId="{1EDFB726-B675-4C19-BB44-35235763C8A0}" srcOrd="2" destOrd="0" parTransId="{00F47A4E-65EC-429C-8ADF-D2BE154428E0}" sibTransId="{098685F3-05CA-47AC-B847-AB0E6C1B41C8}"/>
    <dgm:cxn modelId="{885BE66D-E275-43E6-ACFB-61A0AAC4D922}" srcId="{4A88F149-24FB-4C3D-BA9E-80A777809403}" destId="{4893E12D-DFBC-4A32-9BB4-5E028B3089B5}" srcOrd="1" destOrd="0" parTransId="{08CE75EA-76FE-4BA0-8689-136362918566}" sibTransId="{F0D0939A-ECFA-4353-84F3-B3539F62A40F}"/>
    <dgm:cxn modelId="{9C341525-085E-4C4E-B4AA-5FF9CC91D09A}" type="presOf" srcId="{6613C366-726A-4D2A-9A4A-2032E8B1DD3A}" destId="{2046A8EA-B0E2-4FE0-9121-D1A7AE48BE07}" srcOrd="0" destOrd="0" presId="urn:microsoft.com/office/officeart/2005/8/layout/hierarchy1"/>
    <dgm:cxn modelId="{09283A7E-C020-47FE-8BB7-7EEF05B85C7A}" srcId="{000CC99A-6770-42AC-9946-C1ABB0505D65}" destId="{6414372F-CB2C-4789-B6FE-47CC0D357F0E}" srcOrd="0" destOrd="0" parTransId="{39EAB64D-4765-4D25-AD9E-090E686CB67C}" sibTransId="{C935E575-445A-4879-AA69-F9275F0111BE}"/>
    <dgm:cxn modelId="{6226B87E-A24B-404D-BCB8-3DC65562E8FC}" type="presOf" srcId="{51E045CD-BD37-49F7-993C-10BF93FF61C2}" destId="{9B5D2C1D-0578-4961-AD17-1B6BC36120A3}" srcOrd="0" destOrd="0" presId="urn:microsoft.com/office/officeart/2005/8/layout/hierarchy1"/>
    <dgm:cxn modelId="{49D0101A-C753-4B2A-A4DF-B9358B7C08B1}" type="presOf" srcId="{4A88F149-24FB-4C3D-BA9E-80A777809403}" destId="{C21FDE04-C342-43DC-92A2-4A999FD5FCF4}" srcOrd="0" destOrd="0" presId="urn:microsoft.com/office/officeart/2005/8/layout/hierarchy1"/>
    <dgm:cxn modelId="{EC5918E5-880A-458A-8A7C-D84B8A7740FF}" type="presOf" srcId="{39EAB64D-4765-4D25-AD9E-090E686CB67C}" destId="{1D3EC085-4FF3-4918-82AE-56C488384DA7}" srcOrd="0" destOrd="0" presId="urn:microsoft.com/office/officeart/2005/8/layout/hierarchy1"/>
    <dgm:cxn modelId="{8FE5CC3C-DF7F-4381-BED6-02C7340D49CC}" srcId="{9F6FEF1B-EFF9-4B7A-B9F6-C49B456D39FF}" destId="{4A88F149-24FB-4C3D-BA9E-80A777809403}" srcOrd="1" destOrd="0" parTransId="{6B1885F0-1660-4EBE-879A-AD786B7646B8}" sibTransId="{0CCDF7FE-9DB2-45D7-A10F-4208228E5AF3}"/>
    <dgm:cxn modelId="{3B020DE6-1960-45CC-B29F-E505057AA59B}" type="presOf" srcId="{0BF5A333-14E6-4FA3-9265-E7D4EDED62B7}" destId="{60BDADFB-20E4-438F-B3CA-1845F3911D9B}" srcOrd="0" destOrd="0" presId="urn:microsoft.com/office/officeart/2005/8/layout/hierarchy1"/>
    <dgm:cxn modelId="{24CDD551-1184-4619-BB23-437AD1B203BA}" type="presOf" srcId="{1EDFB726-B675-4C19-BB44-35235763C8A0}" destId="{7E587F0D-53F9-4A44-ABDD-6D3B7C146404}" srcOrd="0" destOrd="0" presId="urn:microsoft.com/office/officeart/2005/8/layout/hierarchy1"/>
    <dgm:cxn modelId="{4B0482E9-DCCB-4D01-8763-EBB75F245E43}" type="presOf" srcId="{6414372F-CB2C-4789-B6FE-47CC0D357F0E}" destId="{7CCD9438-4672-4C4E-B284-001CCAB4C594}" srcOrd="0" destOrd="0" presId="urn:microsoft.com/office/officeart/2005/8/layout/hierarchy1"/>
    <dgm:cxn modelId="{7B3938B1-B221-4BBA-A6C0-E51E13CC66AE}" type="presOf" srcId="{E313A9A4-B514-44EA-8E8C-06E974679924}" destId="{A2F1D834-97BD-46EC-A49F-B337A5860E46}" srcOrd="0" destOrd="0" presId="urn:microsoft.com/office/officeart/2005/8/layout/hierarchy1"/>
    <dgm:cxn modelId="{38423855-4D6C-4B81-A533-F94DE7FFB1F8}" srcId="{9F6FEF1B-EFF9-4B7A-B9F6-C49B456D39FF}" destId="{C6CD53F3-3545-45FC-8036-ABF8D85A9F6F}" srcOrd="0" destOrd="0" parTransId="{F3559900-355C-4560-9194-3D12A1BE8742}" sibTransId="{A0B4DE00-2C8F-4D33-B065-C6884C975506}"/>
    <dgm:cxn modelId="{D198EBCC-6917-41AF-8D20-8787C3428D94}" type="presOf" srcId="{C6CD53F3-3545-45FC-8036-ABF8D85A9F6F}" destId="{F4C9D155-A3BD-4530-AF65-CAE1591B3A3B}" srcOrd="0" destOrd="0" presId="urn:microsoft.com/office/officeart/2005/8/layout/hierarchy1"/>
    <dgm:cxn modelId="{5CDA1638-37E8-4B59-BAF5-6D3AE64B05F1}" type="presOf" srcId="{C2271E04-FF9F-4197-9252-26ED8F56F2A6}" destId="{F716DADC-DE8F-4544-95F4-7632630B0ADC}" srcOrd="0" destOrd="0" presId="urn:microsoft.com/office/officeart/2005/8/layout/hierarchy1"/>
    <dgm:cxn modelId="{C2656E95-C37C-4186-9123-4FDEB611B602}" type="presOf" srcId="{6B1885F0-1660-4EBE-879A-AD786B7646B8}" destId="{2081DB55-B8BA-4938-BA85-DDF96BB3CD6D}" srcOrd="0" destOrd="0" presId="urn:microsoft.com/office/officeart/2005/8/layout/hierarchy1"/>
    <dgm:cxn modelId="{93A2D356-CE12-44D4-8A0E-AE3C12A80A9D}" srcId="{000CC99A-6770-42AC-9946-C1ABB0505D65}" destId="{7E5F4FED-9542-4520-BAD3-A283ABAF7010}" srcOrd="1" destOrd="0" parTransId="{51E045CD-BD37-49F7-993C-10BF93FF61C2}" sibTransId="{9690EF92-C184-4D26-9EC7-308D27E44B5A}"/>
    <dgm:cxn modelId="{8D9DE99C-9E51-4A24-9599-33F3FE76A301}" srcId="{000CC99A-6770-42AC-9946-C1ABB0505D65}" destId="{6613C366-726A-4D2A-9A4A-2032E8B1DD3A}" srcOrd="2" destOrd="0" parTransId="{C2271E04-FF9F-4197-9252-26ED8F56F2A6}" sibTransId="{E6EACC3A-E403-4E5D-91B0-2FC194EE1F4B}"/>
    <dgm:cxn modelId="{4DFEB110-76B9-4727-8069-2EDA4C1DD7D2}" type="presParOf" srcId="{A2F1D834-97BD-46EC-A49F-B337A5860E46}" destId="{0ECF8B1F-49AF-444F-BD44-8A6FD4869715}" srcOrd="0" destOrd="0" presId="urn:microsoft.com/office/officeart/2005/8/layout/hierarchy1"/>
    <dgm:cxn modelId="{BA3EFE53-4E6A-45ED-BF2F-C06D1D704E33}" type="presParOf" srcId="{0ECF8B1F-49AF-444F-BD44-8A6FD4869715}" destId="{5BDFA394-3AC6-4F21-9787-5993B3A0F5E1}" srcOrd="0" destOrd="0" presId="urn:microsoft.com/office/officeart/2005/8/layout/hierarchy1"/>
    <dgm:cxn modelId="{169DED6B-B027-4D9F-A6D8-C69EAD5BB871}" type="presParOf" srcId="{5BDFA394-3AC6-4F21-9787-5993B3A0F5E1}" destId="{5EB5EBB8-64F4-4632-8BEE-41CA5D70B20C}" srcOrd="0" destOrd="0" presId="urn:microsoft.com/office/officeart/2005/8/layout/hierarchy1"/>
    <dgm:cxn modelId="{D9A8F9D4-CD2D-473D-B24B-13044BEA1B64}" type="presParOf" srcId="{5BDFA394-3AC6-4F21-9787-5993B3A0F5E1}" destId="{11BE9294-1DE6-4DBF-BAF5-A88D16CF815A}" srcOrd="1" destOrd="0" presId="urn:microsoft.com/office/officeart/2005/8/layout/hierarchy1"/>
    <dgm:cxn modelId="{E07707C3-C6EC-4F91-BF44-3FAE9DF6B578}" type="presParOf" srcId="{0ECF8B1F-49AF-444F-BD44-8A6FD4869715}" destId="{06CB3FB3-658D-438B-8BCA-6851FFE8C7CE}" srcOrd="1" destOrd="0" presId="urn:microsoft.com/office/officeart/2005/8/layout/hierarchy1"/>
    <dgm:cxn modelId="{1ED59638-5481-45F7-AD30-FB4616240330}" type="presParOf" srcId="{06CB3FB3-658D-438B-8BCA-6851FFE8C7CE}" destId="{83B15B08-3C05-4644-B35C-CB8187A785B4}" srcOrd="0" destOrd="0" presId="urn:microsoft.com/office/officeart/2005/8/layout/hierarchy1"/>
    <dgm:cxn modelId="{58158E33-3307-4AC4-B57D-BDA938F1805D}" type="presParOf" srcId="{06CB3FB3-658D-438B-8BCA-6851FFE8C7CE}" destId="{140A1572-C136-404D-B87E-F3CE43A70B81}" srcOrd="1" destOrd="0" presId="urn:microsoft.com/office/officeart/2005/8/layout/hierarchy1"/>
    <dgm:cxn modelId="{B5853138-6150-49EF-9699-7E6E5C84BE2A}" type="presParOf" srcId="{140A1572-C136-404D-B87E-F3CE43A70B81}" destId="{762DFF81-931C-49BF-B552-8D8FFB77F76C}" srcOrd="0" destOrd="0" presId="urn:microsoft.com/office/officeart/2005/8/layout/hierarchy1"/>
    <dgm:cxn modelId="{66BC4582-6645-42A4-847F-98FFBD1DE6D4}" type="presParOf" srcId="{762DFF81-931C-49BF-B552-8D8FFB77F76C}" destId="{94AB450A-830A-49F8-8E54-7F56E3E063B6}" srcOrd="0" destOrd="0" presId="urn:microsoft.com/office/officeart/2005/8/layout/hierarchy1"/>
    <dgm:cxn modelId="{F20FE5C1-184E-430E-BA91-A6DD18DAE74A}" type="presParOf" srcId="{762DFF81-931C-49BF-B552-8D8FFB77F76C}" destId="{BAB9EE54-E284-4338-8670-DC941C331C8E}" srcOrd="1" destOrd="0" presId="urn:microsoft.com/office/officeart/2005/8/layout/hierarchy1"/>
    <dgm:cxn modelId="{F01FC6DC-FB13-4765-B56D-0B86ABFB5E08}" type="presParOf" srcId="{140A1572-C136-404D-B87E-F3CE43A70B81}" destId="{BB8B4B24-8D13-4C78-BE42-12ECBF27D8C6}" srcOrd="1" destOrd="0" presId="urn:microsoft.com/office/officeart/2005/8/layout/hierarchy1"/>
    <dgm:cxn modelId="{D680A065-9788-427A-A3A2-72F93866E2D6}" type="presParOf" srcId="{BB8B4B24-8D13-4C78-BE42-12ECBF27D8C6}" destId="{1D3EC085-4FF3-4918-82AE-56C488384DA7}" srcOrd="0" destOrd="0" presId="urn:microsoft.com/office/officeart/2005/8/layout/hierarchy1"/>
    <dgm:cxn modelId="{225DD92B-BAB5-4AFF-B625-D5061A77768A}" type="presParOf" srcId="{BB8B4B24-8D13-4C78-BE42-12ECBF27D8C6}" destId="{1C26310F-B8FB-4C3A-902B-66A510F237B9}" srcOrd="1" destOrd="0" presId="urn:microsoft.com/office/officeart/2005/8/layout/hierarchy1"/>
    <dgm:cxn modelId="{D56E2C7E-5A7F-4BEE-9B3E-B3094AE35B0D}" type="presParOf" srcId="{1C26310F-B8FB-4C3A-902B-66A510F237B9}" destId="{6B49B55E-9806-40F3-A3DD-62A13B9386F6}" srcOrd="0" destOrd="0" presId="urn:microsoft.com/office/officeart/2005/8/layout/hierarchy1"/>
    <dgm:cxn modelId="{B5340C23-C5C4-4994-8BB4-A54CEBADFD4F}" type="presParOf" srcId="{6B49B55E-9806-40F3-A3DD-62A13B9386F6}" destId="{4B30A34C-7A46-459F-87F0-B03533D87A1F}" srcOrd="0" destOrd="0" presId="urn:microsoft.com/office/officeart/2005/8/layout/hierarchy1"/>
    <dgm:cxn modelId="{0F0C8C01-5861-49A4-8765-BD0C0AC63EF4}" type="presParOf" srcId="{6B49B55E-9806-40F3-A3DD-62A13B9386F6}" destId="{7CCD9438-4672-4C4E-B284-001CCAB4C594}" srcOrd="1" destOrd="0" presId="urn:microsoft.com/office/officeart/2005/8/layout/hierarchy1"/>
    <dgm:cxn modelId="{E6EE8103-62B7-4A01-8433-052E9E140AA8}" type="presParOf" srcId="{1C26310F-B8FB-4C3A-902B-66A510F237B9}" destId="{691F0ED6-FE2A-4490-BEC2-4FF3CCE5D976}" srcOrd="1" destOrd="0" presId="urn:microsoft.com/office/officeart/2005/8/layout/hierarchy1"/>
    <dgm:cxn modelId="{CF2478C9-DB12-4EA2-968D-DE6C81CC4866}" type="presParOf" srcId="{BB8B4B24-8D13-4C78-BE42-12ECBF27D8C6}" destId="{9B5D2C1D-0578-4961-AD17-1B6BC36120A3}" srcOrd="2" destOrd="0" presId="urn:microsoft.com/office/officeart/2005/8/layout/hierarchy1"/>
    <dgm:cxn modelId="{6EDD1901-FBF9-4264-8585-9451A51173BA}" type="presParOf" srcId="{BB8B4B24-8D13-4C78-BE42-12ECBF27D8C6}" destId="{3BEA17D0-83DD-4019-AB51-FEB47D7004FE}" srcOrd="3" destOrd="0" presId="urn:microsoft.com/office/officeart/2005/8/layout/hierarchy1"/>
    <dgm:cxn modelId="{F9095D49-5546-4B03-BFBC-0D99B27C2FEB}" type="presParOf" srcId="{3BEA17D0-83DD-4019-AB51-FEB47D7004FE}" destId="{EC2A5C91-8FE4-497F-AC60-43C47E94A05D}" srcOrd="0" destOrd="0" presId="urn:microsoft.com/office/officeart/2005/8/layout/hierarchy1"/>
    <dgm:cxn modelId="{4DD09DE9-0002-41AC-A55D-92ACB9FA5FF7}" type="presParOf" srcId="{EC2A5C91-8FE4-497F-AC60-43C47E94A05D}" destId="{844179AB-98EA-456C-B5F8-BA0691B39D03}" srcOrd="0" destOrd="0" presId="urn:microsoft.com/office/officeart/2005/8/layout/hierarchy1"/>
    <dgm:cxn modelId="{8DFFABC4-BDC1-49A8-B4BF-1030096D227E}" type="presParOf" srcId="{EC2A5C91-8FE4-497F-AC60-43C47E94A05D}" destId="{DB77E93D-9AD2-45FD-B813-619DCFC22CAE}" srcOrd="1" destOrd="0" presId="urn:microsoft.com/office/officeart/2005/8/layout/hierarchy1"/>
    <dgm:cxn modelId="{AB7C5906-3F48-496E-9BB7-7521913E79D4}" type="presParOf" srcId="{3BEA17D0-83DD-4019-AB51-FEB47D7004FE}" destId="{100D8D2F-EB53-4935-9941-AADF3B54278D}" srcOrd="1" destOrd="0" presId="urn:microsoft.com/office/officeart/2005/8/layout/hierarchy1"/>
    <dgm:cxn modelId="{2AF3C8A3-A070-4B67-8635-B3E5CFC0BA16}" type="presParOf" srcId="{BB8B4B24-8D13-4C78-BE42-12ECBF27D8C6}" destId="{F716DADC-DE8F-4544-95F4-7632630B0ADC}" srcOrd="4" destOrd="0" presId="urn:microsoft.com/office/officeart/2005/8/layout/hierarchy1"/>
    <dgm:cxn modelId="{A7E390CF-4ACC-44DB-A5BD-3832C8ACE65F}" type="presParOf" srcId="{BB8B4B24-8D13-4C78-BE42-12ECBF27D8C6}" destId="{5F8D9C60-9DFE-4F44-BBFA-44E5BC35E8DA}" srcOrd="5" destOrd="0" presId="urn:microsoft.com/office/officeart/2005/8/layout/hierarchy1"/>
    <dgm:cxn modelId="{D3714149-A11D-4B95-BFCF-1656E0C8583C}" type="presParOf" srcId="{5F8D9C60-9DFE-4F44-BBFA-44E5BC35E8DA}" destId="{B0B462F2-4B65-4770-98C3-112855137641}" srcOrd="0" destOrd="0" presId="urn:microsoft.com/office/officeart/2005/8/layout/hierarchy1"/>
    <dgm:cxn modelId="{CAF0853D-8A64-4317-8CCE-0111466B9B6C}" type="presParOf" srcId="{B0B462F2-4B65-4770-98C3-112855137641}" destId="{E27319B4-88F2-469E-8A05-94B5FEBE2B26}" srcOrd="0" destOrd="0" presId="urn:microsoft.com/office/officeart/2005/8/layout/hierarchy1"/>
    <dgm:cxn modelId="{F0CA76A9-B6F8-4CE4-BAF4-F21DE10BD3D5}" type="presParOf" srcId="{B0B462F2-4B65-4770-98C3-112855137641}" destId="{2046A8EA-B0E2-4FE0-9121-D1A7AE48BE07}" srcOrd="1" destOrd="0" presId="urn:microsoft.com/office/officeart/2005/8/layout/hierarchy1"/>
    <dgm:cxn modelId="{4B18C045-A0B2-4C80-8431-ECB5FF0A23AC}" type="presParOf" srcId="{5F8D9C60-9DFE-4F44-BBFA-44E5BC35E8DA}" destId="{F2403206-16E3-4B88-B6ED-5992E90C6EEC}" srcOrd="1" destOrd="0" presId="urn:microsoft.com/office/officeart/2005/8/layout/hierarchy1"/>
    <dgm:cxn modelId="{A2C0664A-F8E8-4591-8E3B-32CB03866D4A}" type="presParOf" srcId="{06CB3FB3-658D-438B-8BCA-6851FFE8C7CE}" destId="{60BDADFB-20E4-438F-B3CA-1845F3911D9B}" srcOrd="2" destOrd="0" presId="urn:microsoft.com/office/officeart/2005/8/layout/hierarchy1"/>
    <dgm:cxn modelId="{F4CD8D60-652F-4FA4-BD2E-0350566FB66D}" type="presParOf" srcId="{06CB3FB3-658D-438B-8BCA-6851FFE8C7CE}" destId="{9909FA9A-E583-4BF8-9FB2-4405558F7B04}" srcOrd="3" destOrd="0" presId="urn:microsoft.com/office/officeart/2005/8/layout/hierarchy1"/>
    <dgm:cxn modelId="{0A92F37A-7724-4526-9D0A-C0226958CB07}" type="presParOf" srcId="{9909FA9A-E583-4BF8-9FB2-4405558F7B04}" destId="{DBE87A25-E363-43B8-9036-76888EC4DEC6}" srcOrd="0" destOrd="0" presId="urn:microsoft.com/office/officeart/2005/8/layout/hierarchy1"/>
    <dgm:cxn modelId="{13120AA9-19E9-47EE-B9B9-58847D744DD2}" type="presParOf" srcId="{DBE87A25-E363-43B8-9036-76888EC4DEC6}" destId="{BD297372-09EF-412F-8242-0417565F0D1F}" srcOrd="0" destOrd="0" presId="urn:microsoft.com/office/officeart/2005/8/layout/hierarchy1"/>
    <dgm:cxn modelId="{F9B74FE8-D313-443B-B9C9-EEBB049AC6C2}" type="presParOf" srcId="{DBE87A25-E363-43B8-9036-76888EC4DEC6}" destId="{5A594C1F-03D2-4CFE-A5A5-314F71FC4D93}" srcOrd="1" destOrd="0" presId="urn:microsoft.com/office/officeart/2005/8/layout/hierarchy1"/>
    <dgm:cxn modelId="{D3E45417-6C66-45B4-A59F-A5D8F5DD8251}" type="presParOf" srcId="{9909FA9A-E583-4BF8-9FB2-4405558F7B04}" destId="{5A22A99B-F126-4DED-931C-50FE9D0B3D19}" srcOrd="1" destOrd="0" presId="urn:microsoft.com/office/officeart/2005/8/layout/hierarchy1"/>
    <dgm:cxn modelId="{7382C7CC-9FCA-4FD1-AA2F-C311713FB78A}" type="presParOf" srcId="{5A22A99B-F126-4DED-931C-50FE9D0B3D19}" destId="{ED311942-DF67-4098-A0E9-600495EE9B7D}" srcOrd="0" destOrd="0" presId="urn:microsoft.com/office/officeart/2005/8/layout/hierarchy1"/>
    <dgm:cxn modelId="{BAA905BA-1BEB-42C9-8F09-DAD0EF852F58}" type="presParOf" srcId="{5A22A99B-F126-4DED-931C-50FE9D0B3D19}" destId="{28D6CB3A-9E21-4C45-9C02-5808A558EED5}" srcOrd="1" destOrd="0" presId="urn:microsoft.com/office/officeart/2005/8/layout/hierarchy1"/>
    <dgm:cxn modelId="{50346296-6FAD-476B-A82D-219D34C76B9A}" type="presParOf" srcId="{28D6CB3A-9E21-4C45-9C02-5808A558EED5}" destId="{953220AF-78CC-48AC-A189-E3342ADA7C82}" srcOrd="0" destOrd="0" presId="urn:microsoft.com/office/officeart/2005/8/layout/hierarchy1"/>
    <dgm:cxn modelId="{663849E4-9C2E-4EBB-A305-5D377B71C91C}" type="presParOf" srcId="{953220AF-78CC-48AC-A189-E3342ADA7C82}" destId="{48610410-2878-49D0-9CA6-BE1D4F841455}" srcOrd="0" destOrd="0" presId="urn:microsoft.com/office/officeart/2005/8/layout/hierarchy1"/>
    <dgm:cxn modelId="{E60FC4C5-A539-43E8-8B69-D7DA1D1CB579}" type="presParOf" srcId="{953220AF-78CC-48AC-A189-E3342ADA7C82}" destId="{F4C9D155-A3BD-4530-AF65-CAE1591B3A3B}" srcOrd="1" destOrd="0" presId="urn:microsoft.com/office/officeart/2005/8/layout/hierarchy1"/>
    <dgm:cxn modelId="{5A371118-D370-46BE-8975-AB326CC87C02}" type="presParOf" srcId="{28D6CB3A-9E21-4C45-9C02-5808A558EED5}" destId="{782691A9-DB3B-49F6-89B5-6E986A931B89}" srcOrd="1" destOrd="0" presId="urn:microsoft.com/office/officeart/2005/8/layout/hierarchy1"/>
    <dgm:cxn modelId="{314E7DEB-289E-4661-9616-49BA23AC95AC}" type="presParOf" srcId="{5A22A99B-F126-4DED-931C-50FE9D0B3D19}" destId="{2081DB55-B8BA-4938-BA85-DDF96BB3CD6D}" srcOrd="2" destOrd="0" presId="urn:microsoft.com/office/officeart/2005/8/layout/hierarchy1"/>
    <dgm:cxn modelId="{38DFF96F-FCE9-469A-8B11-74A017E8DC3F}" type="presParOf" srcId="{5A22A99B-F126-4DED-931C-50FE9D0B3D19}" destId="{C194B5C6-0816-429D-B737-C9F2851990DE}" srcOrd="3" destOrd="0" presId="urn:microsoft.com/office/officeart/2005/8/layout/hierarchy1"/>
    <dgm:cxn modelId="{26265F49-A11E-47EC-A53F-C48C11502D1A}" type="presParOf" srcId="{C194B5C6-0816-429D-B737-C9F2851990DE}" destId="{32B4BD87-BD37-4167-8FCA-3A4BF137DFED}" srcOrd="0" destOrd="0" presId="urn:microsoft.com/office/officeart/2005/8/layout/hierarchy1"/>
    <dgm:cxn modelId="{5BDDC7AB-DA47-4C00-B09A-D58696E47170}" type="presParOf" srcId="{32B4BD87-BD37-4167-8FCA-3A4BF137DFED}" destId="{51B81C38-7268-4A39-AC19-191D1AA4B10A}" srcOrd="0" destOrd="0" presId="urn:microsoft.com/office/officeart/2005/8/layout/hierarchy1"/>
    <dgm:cxn modelId="{A4CAC53C-D0CF-4153-8723-65B13734882A}" type="presParOf" srcId="{32B4BD87-BD37-4167-8FCA-3A4BF137DFED}" destId="{C21FDE04-C342-43DC-92A2-4A999FD5FCF4}" srcOrd="1" destOrd="0" presId="urn:microsoft.com/office/officeart/2005/8/layout/hierarchy1"/>
    <dgm:cxn modelId="{95BD990C-F5EB-4FAB-9581-1B983AFDBAC2}" type="presParOf" srcId="{C194B5C6-0816-429D-B737-C9F2851990DE}" destId="{DFC81B47-5D7A-461B-91DF-1B5720B37EE3}" srcOrd="1" destOrd="0" presId="urn:microsoft.com/office/officeart/2005/8/layout/hierarchy1"/>
    <dgm:cxn modelId="{4DB0D140-E618-4E60-9A6A-45237DCB7CAA}" type="presParOf" srcId="{DFC81B47-5D7A-461B-91DF-1B5720B37EE3}" destId="{04280C80-D6B3-47B9-B126-91D04300454E}" srcOrd="0" destOrd="0" presId="urn:microsoft.com/office/officeart/2005/8/layout/hierarchy1"/>
    <dgm:cxn modelId="{F8DF2DED-FF46-4F84-B41D-5A3CB54F6C96}" type="presParOf" srcId="{DFC81B47-5D7A-461B-91DF-1B5720B37EE3}" destId="{B1460678-A01F-4159-8CD3-A7B9F6F49649}" srcOrd="1" destOrd="0" presId="urn:microsoft.com/office/officeart/2005/8/layout/hierarchy1"/>
    <dgm:cxn modelId="{01ACF419-E340-44C3-87C2-3952C76FB011}" type="presParOf" srcId="{B1460678-A01F-4159-8CD3-A7B9F6F49649}" destId="{C2521EE2-D4A1-4A57-B61A-3B40668BDE12}" srcOrd="0" destOrd="0" presId="urn:microsoft.com/office/officeart/2005/8/layout/hierarchy1"/>
    <dgm:cxn modelId="{59B7615C-533D-411E-ADC8-AEC71A4109DE}" type="presParOf" srcId="{C2521EE2-D4A1-4A57-B61A-3B40668BDE12}" destId="{4B7A7CE5-4501-4DCC-98B2-4826B6AD1002}" srcOrd="0" destOrd="0" presId="urn:microsoft.com/office/officeart/2005/8/layout/hierarchy1"/>
    <dgm:cxn modelId="{D9363844-7758-469C-A3BE-4736106B4FF3}" type="presParOf" srcId="{C2521EE2-D4A1-4A57-B61A-3B40668BDE12}" destId="{7DFD2589-82DB-4188-B62D-52B91BC3A75B}" srcOrd="1" destOrd="0" presId="urn:microsoft.com/office/officeart/2005/8/layout/hierarchy1"/>
    <dgm:cxn modelId="{76E12E84-7696-4E6F-A390-12C34F2D8166}" type="presParOf" srcId="{B1460678-A01F-4159-8CD3-A7B9F6F49649}" destId="{A1048442-1C85-42D5-AD1F-E67A73F18F33}" srcOrd="1" destOrd="0" presId="urn:microsoft.com/office/officeart/2005/8/layout/hierarchy1"/>
    <dgm:cxn modelId="{2C05E451-3DE6-42D4-8AE0-CC1D3AB6D365}" type="presParOf" srcId="{DFC81B47-5D7A-461B-91DF-1B5720B37EE3}" destId="{541FD1A4-91C7-41F9-AD8B-08B766486356}" srcOrd="2" destOrd="0" presId="urn:microsoft.com/office/officeart/2005/8/layout/hierarchy1"/>
    <dgm:cxn modelId="{9F7BD963-2A0F-4014-955B-ED8467555A9F}" type="presParOf" srcId="{DFC81B47-5D7A-461B-91DF-1B5720B37EE3}" destId="{75C93656-8A54-42EC-A4FB-466E1F49FF87}" srcOrd="3" destOrd="0" presId="urn:microsoft.com/office/officeart/2005/8/layout/hierarchy1"/>
    <dgm:cxn modelId="{951318BB-4B14-4842-8AE4-2D5E7742FA8E}" type="presParOf" srcId="{75C93656-8A54-42EC-A4FB-466E1F49FF87}" destId="{E494E090-6390-406D-B27B-DF3FBDF730AB}" srcOrd="0" destOrd="0" presId="urn:microsoft.com/office/officeart/2005/8/layout/hierarchy1"/>
    <dgm:cxn modelId="{D6135DD2-302F-4D8B-BE4E-0FFDB4D596CA}" type="presParOf" srcId="{E494E090-6390-406D-B27B-DF3FBDF730AB}" destId="{0BE7E830-D3E0-41C8-BF1F-7CE5C5426A03}" srcOrd="0" destOrd="0" presId="urn:microsoft.com/office/officeart/2005/8/layout/hierarchy1"/>
    <dgm:cxn modelId="{B9E52DE0-1BE4-4A41-8034-EAEBAD430B4C}" type="presParOf" srcId="{E494E090-6390-406D-B27B-DF3FBDF730AB}" destId="{AABA9001-CC21-4321-B969-A2AAE2BA548D}" srcOrd="1" destOrd="0" presId="urn:microsoft.com/office/officeart/2005/8/layout/hierarchy1"/>
    <dgm:cxn modelId="{D81CDB13-DAAF-4492-B263-9CEB7395F8D6}" type="presParOf" srcId="{75C93656-8A54-42EC-A4FB-466E1F49FF87}" destId="{AE5F89D6-A013-46C6-91AA-F2A24F79B22D}" srcOrd="1" destOrd="0" presId="urn:microsoft.com/office/officeart/2005/8/layout/hierarchy1"/>
    <dgm:cxn modelId="{593D988D-BF8F-45EF-A790-8251F9113ED9}" type="presParOf" srcId="{06CB3FB3-658D-438B-8BCA-6851FFE8C7CE}" destId="{56D80AD5-4EEA-4C6A-AF3F-9F73B34EFAB7}" srcOrd="4" destOrd="0" presId="urn:microsoft.com/office/officeart/2005/8/layout/hierarchy1"/>
    <dgm:cxn modelId="{5D61C1C5-94AD-42B7-8420-CF19B2E37D7F}" type="presParOf" srcId="{06CB3FB3-658D-438B-8BCA-6851FFE8C7CE}" destId="{A73A1C95-3967-4717-96AB-F3899F2FD4E3}" srcOrd="5" destOrd="0" presId="urn:microsoft.com/office/officeart/2005/8/layout/hierarchy1"/>
    <dgm:cxn modelId="{52150EC9-B6BA-41D3-8CBF-5B42652886B4}" type="presParOf" srcId="{A73A1C95-3967-4717-96AB-F3899F2FD4E3}" destId="{954AC70B-4E20-46C6-807E-7749F49A37DD}" srcOrd="0" destOrd="0" presId="urn:microsoft.com/office/officeart/2005/8/layout/hierarchy1"/>
    <dgm:cxn modelId="{337EA7F7-DA42-4AC1-9AF3-CABC21E14FAD}" type="presParOf" srcId="{954AC70B-4E20-46C6-807E-7749F49A37DD}" destId="{53EB4D2E-66BD-4288-9E82-BAA102EF0238}" srcOrd="0" destOrd="0" presId="urn:microsoft.com/office/officeart/2005/8/layout/hierarchy1"/>
    <dgm:cxn modelId="{8E849D6C-FCC9-4393-BAB3-32E1435A62C0}" type="presParOf" srcId="{954AC70B-4E20-46C6-807E-7749F49A37DD}" destId="{7E587F0D-53F9-4A44-ABDD-6D3B7C146404}" srcOrd="1" destOrd="0" presId="urn:microsoft.com/office/officeart/2005/8/layout/hierarchy1"/>
    <dgm:cxn modelId="{D2949515-50AD-49EC-A1CF-AECDB72B280E}" type="presParOf" srcId="{A73A1C95-3967-4717-96AB-F3899F2FD4E3}" destId="{1F197E08-3656-48A7-81F2-6F695F12F623}" srcOrd="1" destOrd="0" presId="urn:microsoft.com/office/officeart/2005/8/layout/hierarchy1"/>
  </dgm:cxnLst>
  <dgm:bg/>
  <dgm:whole/>
  <dgm:extLst>
    <a:ext uri="http://schemas.microsoft.com/office/drawing/2008/diagram">
      <dsp:dataModelExt xmlns:dsp="http://schemas.microsoft.com/office/drawing/2008/diagram" relId="rId14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B45428D-F1D6-432F-A89E-4D2A5910F3C9}">
      <dsp:nvSpPr>
        <dsp:cNvPr id="0" name=""/>
        <dsp:cNvSpPr/>
      </dsp:nvSpPr>
      <dsp:spPr>
        <a:xfrm>
          <a:off x="3480005" y="1702302"/>
          <a:ext cx="91440" cy="316701"/>
        </a:xfrm>
        <a:custGeom>
          <a:avLst/>
          <a:gdLst/>
          <a:ahLst/>
          <a:cxnLst/>
          <a:rect l="0" t="0" r="0" b="0"/>
          <a:pathLst>
            <a:path>
              <a:moveTo>
                <a:pt x="45720" y="0"/>
              </a:moveTo>
              <a:lnTo>
                <a:pt x="45720" y="31670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4722A19-FB25-4419-9026-6EE28ED8A51E}">
      <dsp:nvSpPr>
        <dsp:cNvPr id="0" name=""/>
        <dsp:cNvSpPr/>
      </dsp:nvSpPr>
      <dsp:spPr>
        <a:xfrm>
          <a:off x="2553770" y="694121"/>
          <a:ext cx="971955" cy="316701"/>
        </a:xfrm>
        <a:custGeom>
          <a:avLst/>
          <a:gdLst/>
          <a:ahLst/>
          <a:cxnLst/>
          <a:rect l="0" t="0" r="0" b="0"/>
          <a:pathLst>
            <a:path>
              <a:moveTo>
                <a:pt x="0" y="0"/>
              </a:moveTo>
              <a:lnTo>
                <a:pt x="0" y="215822"/>
              </a:lnTo>
              <a:lnTo>
                <a:pt x="971955" y="215822"/>
              </a:lnTo>
              <a:lnTo>
                <a:pt x="971955" y="31670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9FC3D16-71D6-4678-AB97-286523C1F3AD}">
      <dsp:nvSpPr>
        <dsp:cNvPr id="0" name=""/>
        <dsp:cNvSpPr/>
      </dsp:nvSpPr>
      <dsp:spPr>
        <a:xfrm>
          <a:off x="1536095" y="1702302"/>
          <a:ext cx="91440" cy="316701"/>
        </a:xfrm>
        <a:custGeom>
          <a:avLst/>
          <a:gdLst/>
          <a:ahLst/>
          <a:cxnLst/>
          <a:rect l="0" t="0" r="0" b="0"/>
          <a:pathLst>
            <a:path>
              <a:moveTo>
                <a:pt x="45720" y="0"/>
              </a:moveTo>
              <a:lnTo>
                <a:pt x="45720" y="31670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F7F2977-B07E-42B3-A304-D0A4E7FF4110}">
      <dsp:nvSpPr>
        <dsp:cNvPr id="0" name=""/>
        <dsp:cNvSpPr/>
      </dsp:nvSpPr>
      <dsp:spPr>
        <a:xfrm>
          <a:off x="1581815" y="694121"/>
          <a:ext cx="971955" cy="316701"/>
        </a:xfrm>
        <a:custGeom>
          <a:avLst/>
          <a:gdLst/>
          <a:ahLst/>
          <a:cxnLst/>
          <a:rect l="0" t="0" r="0" b="0"/>
          <a:pathLst>
            <a:path>
              <a:moveTo>
                <a:pt x="971955" y="0"/>
              </a:moveTo>
              <a:lnTo>
                <a:pt x="971955" y="215822"/>
              </a:lnTo>
              <a:lnTo>
                <a:pt x="0" y="215822"/>
              </a:lnTo>
              <a:lnTo>
                <a:pt x="0" y="31670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FAF0F5B-6CE1-4F9B-A89C-8320285F54DD}">
      <dsp:nvSpPr>
        <dsp:cNvPr id="0" name=""/>
        <dsp:cNvSpPr/>
      </dsp:nvSpPr>
      <dsp:spPr>
        <a:xfrm>
          <a:off x="2009297" y="2641"/>
          <a:ext cx="1088944" cy="691479"/>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88793566-CF23-47A9-A246-3FB94CEB4CD7}">
      <dsp:nvSpPr>
        <dsp:cNvPr id="0" name=""/>
        <dsp:cNvSpPr/>
      </dsp:nvSpPr>
      <dsp:spPr>
        <a:xfrm>
          <a:off x="2130291" y="117585"/>
          <a:ext cx="1088944" cy="691479"/>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b="1" kern="1200">
              <a:latin typeface="Arial" pitchFamily="34" charset="0"/>
              <a:cs typeface="Arial" pitchFamily="34" charset="0"/>
            </a:rPr>
            <a:t>Células</a:t>
          </a:r>
        </a:p>
      </dsp:txBody>
      <dsp:txXfrm>
        <a:off x="2150544" y="137838"/>
        <a:ext cx="1048438" cy="650973"/>
      </dsp:txXfrm>
    </dsp:sp>
    <dsp:sp modelId="{6F78ED8F-35C7-4101-B18F-EEF9678C4C33}">
      <dsp:nvSpPr>
        <dsp:cNvPr id="0" name=""/>
        <dsp:cNvSpPr/>
      </dsp:nvSpPr>
      <dsp:spPr>
        <a:xfrm>
          <a:off x="1037342" y="1010822"/>
          <a:ext cx="1088944" cy="691479"/>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6D8EC188-0AA9-4550-9F6C-348D943CA084}">
      <dsp:nvSpPr>
        <dsp:cNvPr id="0" name=""/>
        <dsp:cNvSpPr/>
      </dsp:nvSpPr>
      <dsp:spPr>
        <a:xfrm>
          <a:off x="1158336" y="1125766"/>
          <a:ext cx="1088944" cy="691479"/>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b="1" kern="1200">
              <a:latin typeface="Arial" pitchFamily="34" charset="0"/>
              <a:cs typeface="Arial" pitchFamily="34" charset="0"/>
            </a:rPr>
            <a:t>Eucariontes </a:t>
          </a:r>
        </a:p>
      </dsp:txBody>
      <dsp:txXfrm>
        <a:off x="1178589" y="1146019"/>
        <a:ext cx="1048438" cy="650973"/>
      </dsp:txXfrm>
    </dsp:sp>
    <dsp:sp modelId="{FFDE711A-FB64-4A7A-BBCF-7895BA651018}">
      <dsp:nvSpPr>
        <dsp:cNvPr id="0" name=""/>
        <dsp:cNvSpPr/>
      </dsp:nvSpPr>
      <dsp:spPr>
        <a:xfrm>
          <a:off x="494661" y="2019003"/>
          <a:ext cx="2174306" cy="799122"/>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E63037A8-A63E-472B-B6CE-E00268CBF253}">
      <dsp:nvSpPr>
        <dsp:cNvPr id="0" name=""/>
        <dsp:cNvSpPr/>
      </dsp:nvSpPr>
      <dsp:spPr>
        <a:xfrm>
          <a:off x="615655" y="2133948"/>
          <a:ext cx="2174306" cy="799122"/>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b="1" kern="1200">
              <a:latin typeface="Arial" pitchFamily="34" charset="0"/>
              <a:cs typeface="Arial" pitchFamily="34" charset="0"/>
            </a:rPr>
            <a:t>Células humanas e animais</a:t>
          </a:r>
        </a:p>
        <a:p>
          <a:pPr lvl="0" algn="ctr" defTabSz="488950">
            <a:lnSpc>
              <a:spcPct val="90000"/>
            </a:lnSpc>
            <a:spcBef>
              <a:spcPct val="0"/>
            </a:spcBef>
            <a:spcAft>
              <a:spcPct val="35000"/>
            </a:spcAft>
          </a:pPr>
          <a:r>
            <a:rPr lang="en-GB" sz="1100" b="1" kern="1200">
              <a:latin typeface="Arial" pitchFamily="34" charset="0"/>
              <a:cs typeface="Arial" pitchFamily="34" charset="0"/>
            </a:rPr>
            <a:t>Protozoários</a:t>
          </a:r>
        </a:p>
        <a:p>
          <a:pPr lvl="0" algn="ctr" defTabSz="488950">
            <a:lnSpc>
              <a:spcPct val="90000"/>
            </a:lnSpc>
            <a:spcBef>
              <a:spcPct val="0"/>
            </a:spcBef>
            <a:spcAft>
              <a:spcPct val="35000"/>
            </a:spcAft>
          </a:pPr>
          <a:r>
            <a:rPr lang="en-GB" sz="1100" b="1" kern="1200">
              <a:latin typeface="Arial" pitchFamily="34" charset="0"/>
              <a:cs typeface="Arial" pitchFamily="34" charset="0"/>
            </a:rPr>
            <a:t>Fungos</a:t>
          </a:r>
        </a:p>
        <a:p>
          <a:pPr lvl="0" algn="ctr" defTabSz="488950">
            <a:lnSpc>
              <a:spcPct val="90000"/>
            </a:lnSpc>
            <a:spcBef>
              <a:spcPct val="0"/>
            </a:spcBef>
            <a:spcAft>
              <a:spcPct val="35000"/>
            </a:spcAft>
          </a:pPr>
          <a:r>
            <a:rPr lang="en-GB" sz="1100" b="1" kern="1200">
              <a:latin typeface="Arial" pitchFamily="34" charset="0"/>
              <a:cs typeface="Arial" pitchFamily="34" charset="0"/>
            </a:rPr>
            <a:t>Plantas</a:t>
          </a:r>
        </a:p>
      </dsp:txBody>
      <dsp:txXfrm>
        <a:off x="639060" y="2157353"/>
        <a:ext cx="2127496" cy="752312"/>
      </dsp:txXfrm>
    </dsp:sp>
    <dsp:sp modelId="{2D333852-921B-4ADC-9037-69201F2CFFB2}">
      <dsp:nvSpPr>
        <dsp:cNvPr id="0" name=""/>
        <dsp:cNvSpPr/>
      </dsp:nvSpPr>
      <dsp:spPr>
        <a:xfrm>
          <a:off x="2981252" y="1010822"/>
          <a:ext cx="1088944" cy="691479"/>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5BDCCD19-AE80-496E-8355-894C8856D4E3}">
      <dsp:nvSpPr>
        <dsp:cNvPr id="0" name=""/>
        <dsp:cNvSpPr/>
      </dsp:nvSpPr>
      <dsp:spPr>
        <a:xfrm>
          <a:off x="3102246" y="1125766"/>
          <a:ext cx="1088944" cy="691479"/>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b="1" kern="1200">
              <a:latin typeface="Arial" pitchFamily="34" charset="0"/>
              <a:cs typeface="Arial" pitchFamily="34" charset="0"/>
            </a:rPr>
            <a:t>Procariontes</a:t>
          </a:r>
        </a:p>
      </dsp:txBody>
      <dsp:txXfrm>
        <a:off x="3122499" y="1146019"/>
        <a:ext cx="1048438" cy="650973"/>
      </dsp:txXfrm>
    </dsp:sp>
    <dsp:sp modelId="{DCD8811D-7B84-41CB-871B-2344E66DE7B2}">
      <dsp:nvSpPr>
        <dsp:cNvPr id="0" name=""/>
        <dsp:cNvSpPr/>
      </dsp:nvSpPr>
      <dsp:spPr>
        <a:xfrm>
          <a:off x="2910956" y="2019003"/>
          <a:ext cx="1229538" cy="816160"/>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DDA5BD50-3A6C-4DB2-B71A-912E80EFB197}">
      <dsp:nvSpPr>
        <dsp:cNvPr id="0" name=""/>
        <dsp:cNvSpPr/>
      </dsp:nvSpPr>
      <dsp:spPr>
        <a:xfrm>
          <a:off x="3031949" y="2133948"/>
          <a:ext cx="1229538" cy="816160"/>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b="1" kern="1200">
              <a:latin typeface="Arial" pitchFamily="34" charset="0"/>
              <a:cs typeface="Arial" pitchFamily="34" charset="0"/>
            </a:rPr>
            <a:t>Bactérias</a:t>
          </a:r>
        </a:p>
      </dsp:txBody>
      <dsp:txXfrm>
        <a:off x="3055854" y="2157853"/>
        <a:ext cx="1181728" cy="76835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7F7A40B-1504-40C6-8B4A-A6E48F2CE835}">
      <dsp:nvSpPr>
        <dsp:cNvPr id="0" name=""/>
        <dsp:cNvSpPr/>
      </dsp:nvSpPr>
      <dsp:spPr>
        <a:xfrm>
          <a:off x="3061442" y="1654495"/>
          <a:ext cx="91440" cy="308160"/>
        </a:xfrm>
        <a:custGeom>
          <a:avLst/>
          <a:gdLst/>
          <a:ahLst/>
          <a:cxnLst/>
          <a:rect l="0" t="0" r="0" b="0"/>
          <a:pathLst>
            <a:path>
              <a:moveTo>
                <a:pt x="45720" y="0"/>
              </a:moveTo>
              <a:lnTo>
                <a:pt x="45720" y="30816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CD29C69-5A77-4CB1-B09C-78EBE5FEB813}">
      <dsp:nvSpPr>
        <dsp:cNvPr id="0" name=""/>
        <dsp:cNvSpPr/>
      </dsp:nvSpPr>
      <dsp:spPr>
        <a:xfrm>
          <a:off x="2381157" y="673503"/>
          <a:ext cx="726005" cy="308160"/>
        </a:xfrm>
        <a:custGeom>
          <a:avLst/>
          <a:gdLst/>
          <a:ahLst/>
          <a:cxnLst/>
          <a:rect l="0" t="0" r="0" b="0"/>
          <a:pathLst>
            <a:path>
              <a:moveTo>
                <a:pt x="0" y="0"/>
              </a:moveTo>
              <a:lnTo>
                <a:pt x="0" y="210002"/>
              </a:lnTo>
              <a:lnTo>
                <a:pt x="726005" y="210002"/>
              </a:lnTo>
              <a:lnTo>
                <a:pt x="726005" y="3081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C7D6EB1-78FC-4A9E-AB74-C66823DA42AA}">
      <dsp:nvSpPr>
        <dsp:cNvPr id="0" name=""/>
        <dsp:cNvSpPr/>
      </dsp:nvSpPr>
      <dsp:spPr>
        <a:xfrm>
          <a:off x="1609431" y="1654495"/>
          <a:ext cx="91440" cy="308160"/>
        </a:xfrm>
        <a:custGeom>
          <a:avLst/>
          <a:gdLst/>
          <a:ahLst/>
          <a:cxnLst/>
          <a:rect l="0" t="0" r="0" b="0"/>
          <a:pathLst>
            <a:path>
              <a:moveTo>
                <a:pt x="45720" y="0"/>
              </a:moveTo>
              <a:lnTo>
                <a:pt x="45720" y="30816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319CA13-245C-410A-9339-767CE0AA4CE9}">
      <dsp:nvSpPr>
        <dsp:cNvPr id="0" name=""/>
        <dsp:cNvSpPr/>
      </dsp:nvSpPr>
      <dsp:spPr>
        <a:xfrm>
          <a:off x="1655151" y="673503"/>
          <a:ext cx="726005" cy="308160"/>
        </a:xfrm>
        <a:custGeom>
          <a:avLst/>
          <a:gdLst/>
          <a:ahLst/>
          <a:cxnLst/>
          <a:rect l="0" t="0" r="0" b="0"/>
          <a:pathLst>
            <a:path>
              <a:moveTo>
                <a:pt x="726005" y="0"/>
              </a:moveTo>
              <a:lnTo>
                <a:pt x="726005" y="210002"/>
              </a:lnTo>
              <a:lnTo>
                <a:pt x="0" y="210002"/>
              </a:lnTo>
              <a:lnTo>
                <a:pt x="0" y="3081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E6E3A32-D6E3-44ED-9245-3182A383AA02}">
      <dsp:nvSpPr>
        <dsp:cNvPr id="0" name=""/>
        <dsp:cNvSpPr/>
      </dsp:nvSpPr>
      <dsp:spPr>
        <a:xfrm>
          <a:off x="1851368" y="670"/>
          <a:ext cx="1059578" cy="672832"/>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EE535673-0C15-436C-8598-C3A37EC0AD2E}">
      <dsp:nvSpPr>
        <dsp:cNvPr id="0" name=""/>
        <dsp:cNvSpPr/>
      </dsp:nvSpPr>
      <dsp:spPr>
        <a:xfrm>
          <a:off x="1969098" y="112515"/>
          <a:ext cx="1059578" cy="672832"/>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b="1" kern="1200">
              <a:latin typeface="Arial" pitchFamily="34" charset="0"/>
              <a:cs typeface="Arial" pitchFamily="34" charset="0"/>
            </a:rPr>
            <a:t>Biomoléculas</a:t>
          </a:r>
        </a:p>
      </dsp:txBody>
      <dsp:txXfrm>
        <a:off x="1988805" y="132222"/>
        <a:ext cx="1020164" cy="633418"/>
      </dsp:txXfrm>
    </dsp:sp>
    <dsp:sp modelId="{C95CF187-A8DD-4627-A47B-D4A3426DA55D}">
      <dsp:nvSpPr>
        <dsp:cNvPr id="0" name=""/>
        <dsp:cNvSpPr/>
      </dsp:nvSpPr>
      <dsp:spPr>
        <a:xfrm>
          <a:off x="1125362" y="981663"/>
          <a:ext cx="1059578" cy="672832"/>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8B08480B-8A75-4F43-8430-FE274716BE84}">
      <dsp:nvSpPr>
        <dsp:cNvPr id="0" name=""/>
        <dsp:cNvSpPr/>
      </dsp:nvSpPr>
      <dsp:spPr>
        <a:xfrm>
          <a:off x="1243093" y="1093508"/>
          <a:ext cx="1059578" cy="672832"/>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b="1" kern="1200">
              <a:latin typeface="Arial" pitchFamily="34" charset="0"/>
              <a:cs typeface="Arial" pitchFamily="34" charset="0"/>
            </a:rPr>
            <a:t>Orgânicos</a:t>
          </a:r>
        </a:p>
      </dsp:txBody>
      <dsp:txXfrm>
        <a:off x="1262800" y="1113215"/>
        <a:ext cx="1020164" cy="633418"/>
      </dsp:txXfrm>
    </dsp:sp>
    <dsp:sp modelId="{90B05580-5ADB-444F-8188-1D96E74CBCB0}">
      <dsp:nvSpPr>
        <dsp:cNvPr id="0" name=""/>
        <dsp:cNvSpPr/>
      </dsp:nvSpPr>
      <dsp:spPr>
        <a:xfrm>
          <a:off x="968391" y="1962656"/>
          <a:ext cx="1373520" cy="672832"/>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7810A635-A6BB-4379-8D86-00224EDD5D46}">
      <dsp:nvSpPr>
        <dsp:cNvPr id="0" name=""/>
        <dsp:cNvSpPr/>
      </dsp:nvSpPr>
      <dsp:spPr>
        <a:xfrm>
          <a:off x="1086122" y="2074500"/>
          <a:ext cx="1373520" cy="672832"/>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b="1" kern="1200">
              <a:latin typeface="Arial" pitchFamily="34" charset="0"/>
              <a:cs typeface="Arial" pitchFamily="34" charset="0"/>
            </a:rPr>
            <a:t>Proteinas</a:t>
          </a:r>
        </a:p>
        <a:p>
          <a:pPr lvl="0" algn="ctr" defTabSz="488950">
            <a:lnSpc>
              <a:spcPct val="90000"/>
            </a:lnSpc>
            <a:spcBef>
              <a:spcPct val="0"/>
            </a:spcBef>
            <a:spcAft>
              <a:spcPct val="35000"/>
            </a:spcAft>
          </a:pPr>
          <a:r>
            <a:rPr lang="en-GB" sz="1100" b="1" kern="1200">
              <a:latin typeface="Arial" pitchFamily="34" charset="0"/>
              <a:cs typeface="Arial" pitchFamily="34" charset="0"/>
            </a:rPr>
            <a:t>Lípidos</a:t>
          </a:r>
        </a:p>
        <a:p>
          <a:pPr lvl="0" algn="ctr" defTabSz="488950">
            <a:lnSpc>
              <a:spcPct val="90000"/>
            </a:lnSpc>
            <a:spcBef>
              <a:spcPct val="0"/>
            </a:spcBef>
            <a:spcAft>
              <a:spcPct val="35000"/>
            </a:spcAft>
          </a:pPr>
          <a:r>
            <a:rPr lang="en-GB" sz="1100" b="1" kern="1200">
              <a:latin typeface="Arial" pitchFamily="34" charset="0"/>
              <a:cs typeface="Arial" pitchFamily="34" charset="0"/>
            </a:rPr>
            <a:t>Carboidratos</a:t>
          </a:r>
        </a:p>
        <a:p>
          <a:pPr lvl="0" algn="ctr" defTabSz="488950">
            <a:lnSpc>
              <a:spcPct val="90000"/>
            </a:lnSpc>
            <a:spcBef>
              <a:spcPct val="0"/>
            </a:spcBef>
            <a:spcAft>
              <a:spcPct val="35000"/>
            </a:spcAft>
          </a:pPr>
          <a:r>
            <a:rPr lang="en-GB" sz="1100" b="1" kern="1200">
              <a:latin typeface="Arial" pitchFamily="34" charset="0"/>
              <a:cs typeface="Arial" pitchFamily="34" charset="0"/>
            </a:rPr>
            <a:t>Ácidos Nucléicos</a:t>
          </a:r>
        </a:p>
      </dsp:txBody>
      <dsp:txXfrm>
        <a:off x="1105829" y="2094207"/>
        <a:ext cx="1334106" cy="633418"/>
      </dsp:txXfrm>
    </dsp:sp>
    <dsp:sp modelId="{CF573303-B9E8-4DBB-A2A5-DDD7C52E829C}">
      <dsp:nvSpPr>
        <dsp:cNvPr id="0" name=""/>
        <dsp:cNvSpPr/>
      </dsp:nvSpPr>
      <dsp:spPr>
        <a:xfrm>
          <a:off x="2577373" y="981663"/>
          <a:ext cx="1059578" cy="672832"/>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9AE5C5CE-D4C5-42DD-9591-64372329A596}">
      <dsp:nvSpPr>
        <dsp:cNvPr id="0" name=""/>
        <dsp:cNvSpPr/>
      </dsp:nvSpPr>
      <dsp:spPr>
        <a:xfrm>
          <a:off x="2695104" y="1093508"/>
          <a:ext cx="1059578" cy="672832"/>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b="1" kern="1200">
              <a:latin typeface="Arial" pitchFamily="34" charset="0"/>
              <a:cs typeface="Arial" pitchFamily="34" charset="0"/>
            </a:rPr>
            <a:t>Inorgânicos</a:t>
          </a:r>
        </a:p>
      </dsp:txBody>
      <dsp:txXfrm>
        <a:off x="2714811" y="1113215"/>
        <a:ext cx="1020164" cy="633418"/>
      </dsp:txXfrm>
    </dsp:sp>
    <dsp:sp modelId="{2DB30EA4-499B-4809-B766-30BCE294E57F}">
      <dsp:nvSpPr>
        <dsp:cNvPr id="0" name=""/>
        <dsp:cNvSpPr/>
      </dsp:nvSpPr>
      <dsp:spPr>
        <a:xfrm>
          <a:off x="2577373" y="1962656"/>
          <a:ext cx="1059578" cy="672832"/>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2FE6FEF5-97FF-4CFB-8F4B-62AB9ECC4B7B}">
      <dsp:nvSpPr>
        <dsp:cNvPr id="0" name=""/>
        <dsp:cNvSpPr/>
      </dsp:nvSpPr>
      <dsp:spPr>
        <a:xfrm>
          <a:off x="2695104" y="2074500"/>
          <a:ext cx="1059578" cy="672832"/>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b="1" kern="1200">
              <a:latin typeface="Arial" pitchFamily="34" charset="0"/>
              <a:cs typeface="Arial" pitchFamily="34" charset="0"/>
            </a:rPr>
            <a:t>Água</a:t>
          </a:r>
        </a:p>
        <a:p>
          <a:pPr lvl="0" algn="ctr" defTabSz="488950">
            <a:lnSpc>
              <a:spcPct val="90000"/>
            </a:lnSpc>
            <a:spcBef>
              <a:spcPct val="0"/>
            </a:spcBef>
            <a:spcAft>
              <a:spcPct val="35000"/>
            </a:spcAft>
          </a:pPr>
          <a:r>
            <a:rPr lang="en-GB" sz="1100" b="1" kern="1200">
              <a:latin typeface="Arial" pitchFamily="34" charset="0"/>
              <a:cs typeface="Arial" pitchFamily="34" charset="0"/>
            </a:rPr>
            <a:t>Sais Minerais</a:t>
          </a:r>
        </a:p>
      </dsp:txBody>
      <dsp:txXfrm>
        <a:off x="2714811" y="2094207"/>
        <a:ext cx="1020164" cy="633418"/>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14AD84F-00AE-4BC4-8C42-2414E6247A87}">
      <dsp:nvSpPr>
        <dsp:cNvPr id="0" name=""/>
        <dsp:cNvSpPr/>
      </dsp:nvSpPr>
      <dsp:spPr>
        <a:xfrm>
          <a:off x="5801" y="621300"/>
          <a:ext cx="1135028" cy="721372"/>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GB" sz="1000" b="1" kern="1200"/>
            <a:t>Exposição ao agente infeccioso</a:t>
          </a:r>
        </a:p>
      </dsp:txBody>
      <dsp:txXfrm>
        <a:off x="26929" y="642428"/>
        <a:ext cx="1092772" cy="679116"/>
      </dsp:txXfrm>
    </dsp:sp>
    <dsp:sp modelId="{E365D743-2ACC-4497-B191-0452146697B2}">
      <dsp:nvSpPr>
        <dsp:cNvPr id="0" name=""/>
        <dsp:cNvSpPr/>
      </dsp:nvSpPr>
      <dsp:spPr>
        <a:xfrm>
          <a:off x="1140830" y="962362"/>
          <a:ext cx="342593" cy="39248"/>
        </a:xfrm>
        <a:custGeom>
          <a:avLst/>
          <a:gdLst/>
          <a:ahLst/>
          <a:cxnLst/>
          <a:rect l="0" t="0" r="0" b="0"/>
          <a:pathLst>
            <a:path>
              <a:moveTo>
                <a:pt x="0" y="19624"/>
              </a:moveTo>
              <a:lnTo>
                <a:pt x="342593" y="1962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b="1" kern="1200"/>
        </a:p>
      </dsp:txBody>
      <dsp:txXfrm>
        <a:off x="1303562" y="973421"/>
        <a:ext cx="17129" cy="17129"/>
      </dsp:txXfrm>
    </dsp:sp>
    <dsp:sp modelId="{946FEF02-4667-4195-9219-531D3DCBBE7E}">
      <dsp:nvSpPr>
        <dsp:cNvPr id="0" name=""/>
        <dsp:cNvSpPr/>
      </dsp:nvSpPr>
      <dsp:spPr>
        <a:xfrm>
          <a:off x="1483423" y="613782"/>
          <a:ext cx="856483" cy="736408"/>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GB" sz="1000" b="1" kern="1200"/>
            <a:t>período de incubação</a:t>
          </a:r>
        </a:p>
      </dsp:txBody>
      <dsp:txXfrm>
        <a:off x="1504992" y="635351"/>
        <a:ext cx="813345" cy="693270"/>
      </dsp:txXfrm>
    </dsp:sp>
    <dsp:sp modelId="{E9C07AFC-2C24-456D-A01E-09956F556A57}">
      <dsp:nvSpPr>
        <dsp:cNvPr id="0" name=""/>
        <dsp:cNvSpPr/>
      </dsp:nvSpPr>
      <dsp:spPr>
        <a:xfrm>
          <a:off x="2339906" y="962362"/>
          <a:ext cx="344194" cy="39248"/>
        </a:xfrm>
        <a:custGeom>
          <a:avLst/>
          <a:gdLst/>
          <a:ahLst/>
          <a:cxnLst/>
          <a:rect l="0" t="0" r="0" b="0"/>
          <a:pathLst>
            <a:path>
              <a:moveTo>
                <a:pt x="0" y="19624"/>
              </a:moveTo>
              <a:lnTo>
                <a:pt x="344194" y="1962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b="1" kern="1200"/>
        </a:p>
      </dsp:txBody>
      <dsp:txXfrm>
        <a:off x="2503399" y="973381"/>
        <a:ext cx="17209" cy="17209"/>
      </dsp:txXfrm>
    </dsp:sp>
    <dsp:sp modelId="{CE1ED3A4-173A-4C5C-8E8F-9DD5933BDAFB}">
      <dsp:nvSpPr>
        <dsp:cNvPr id="0" name=""/>
        <dsp:cNvSpPr/>
      </dsp:nvSpPr>
      <dsp:spPr>
        <a:xfrm>
          <a:off x="2684101" y="644063"/>
          <a:ext cx="856483" cy="675846"/>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GB" sz="1000" b="1" kern="1200"/>
            <a:t>período prodrômico</a:t>
          </a:r>
        </a:p>
      </dsp:txBody>
      <dsp:txXfrm>
        <a:off x="2703896" y="663858"/>
        <a:ext cx="816893" cy="636256"/>
      </dsp:txXfrm>
    </dsp:sp>
    <dsp:sp modelId="{95B5E7C5-EB48-4101-A350-71581D8DFAEE}">
      <dsp:nvSpPr>
        <dsp:cNvPr id="0" name=""/>
        <dsp:cNvSpPr/>
      </dsp:nvSpPr>
      <dsp:spPr>
        <a:xfrm>
          <a:off x="3540584" y="962362"/>
          <a:ext cx="340991" cy="39248"/>
        </a:xfrm>
        <a:custGeom>
          <a:avLst/>
          <a:gdLst/>
          <a:ahLst/>
          <a:cxnLst/>
          <a:rect l="0" t="0" r="0" b="0"/>
          <a:pathLst>
            <a:path>
              <a:moveTo>
                <a:pt x="0" y="19624"/>
              </a:moveTo>
              <a:lnTo>
                <a:pt x="340991" y="1962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b="1" kern="1200"/>
        </a:p>
      </dsp:txBody>
      <dsp:txXfrm>
        <a:off x="3702555" y="973461"/>
        <a:ext cx="17049" cy="17049"/>
      </dsp:txXfrm>
    </dsp:sp>
    <dsp:sp modelId="{5CAB8489-579F-4CCC-B2B5-009DA8BD569B}">
      <dsp:nvSpPr>
        <dsp:cNvPr id="0" name=""/>
        <dsp:cNvSpPr/>
      </dsp:nvSpPr>
      <dsp:spPr>
        <a:xfrm>
          <a:off x="3881575" y="644061"/>
          <a:ext cx="856483" cy="675850"/>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GB" sz="1000" b="1" kern="1200"/>
            <a:t>período de doença</a:t>
          </a:r>
        </a:p>
      </dsp:txBody>
      <dsp:txXfrm>
        <a:off x="3901370" y="663856"/>
        <a:ext cx="816893" cy="636260"/>
      </dsp:txXfrm>
    </dsp:sp>
    <dsp:sp modelId="{EB2E30BB-390D-453F-BDE0-B96D53FBF1CE}">
      <dsp:nvSpPr>
        <dsp:cNvPr id="0" name=""/>
        <dsp:cNvSpPr/>
      </dsp:nvSpPr>
      <dsp:spPr>
        <a:xfrm rot="17880721">
          <a:off x="4544628" y="640363"/>
          <a:ext cx="729454" cy="39248"/>
        </a:xfrm>
        <a:custGeom>
          <a:avLst/>
          <a:gdLst/>
          <a:ahLst/>
          <a:cxnLst/>
          <a:rect l="0" t="0" r="0" b="0"/>
          <a:pathLst>
            <a:path>
              <a:moveTo>
                <a:pt x="0" y="19624"/>
              </a:moveTo>
              <a:lnTo>
                <a:pt x="729454" y="1962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b="1" kern="1200"/>
        </a:p>
      </dsp:txBody>
      <dsp:txXfrm>
        <a:off x="4891119" y="641751"/>
        <a:ext cx="36472" cy="36472"/>
      </dsp:txXfrm>
    </dsp:sp>
    <dsp:sp modelId="{F405063E-9B88-4D17-B516-168D9419FF43}">
      <dsp:nvSpPr>
        <dsp:cNvPr id="0" name=""/>
        <dsp:cNvSpPr/>
      </dsp:nvSpPr>
      <dsp:spPr>
        <a:xfrm>
          <a:off x="5080652" y="28230"/>
          <a:ext cx="856483" cy="619515"/>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GB" sz="1000" b="1" kern="1200"/>
            <a:t>Morte</a:t>
          </a:r>
        </a:p>
      </dsp:txBody>
      <dsp:txXfrm>
        <a:off x="5098797" y="46375"/>
        <a:ext cx="820193" cy="583225"/>
      </dsp:txXfrm>
    </dsp:sp>
    <dsp:sp modelId="{811310AA-2047-4646-93E1-985F2C4A6CA2}">
      <dsp:nvSpPr>
        <dsp:cNvPr id="0" name=""/>
        <dsp:cNvSpPr/>
      </dsp:nvSpPr>
      <dsp:spPr>
        <a:xfrm rot="222904">
          <a:off x="4737698" y="973484"/>
          <a:ext cx="343314" cy="39248"/>
        </a:xfrm>
        <a:custGeom>
          <a:avLst/>
          <a:gdLst/>
          <a:ahLst/>
          <a:cxnLst/>
          <a:rect l="0" t="0" r="0" b="0"/>
          <a:pathLst>
            <a:path>
              <a:moveTo>
                <a:pt x="0" y="19624"/>
              </a:moveTo>
              <a:lnTo>
                <a:pt x="343314" y="1962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b="1" kern="1200"/>
        </a:p>
      </dsp:txBody>
      <dsp:txXfrm>
        <a:off x="4900772" y="984526"/>
        <a:ext cx="17165" cy="17165"/>
      </dsp:txXfrm>
    </dsp:sp>
    <dsp:sp modelId="{13E886AE-D836-4FE8-8488-22E05675ADCA}">
      <dsp:nvSpPr>
        <dsp:cNvPr id="0" name=""/>
        <dsp:cNvSpPr/>
      </dsp:nvSpPr>
      <dsp:spPr>
        <a:xfrm>
          <a:off x="5080652" y="711982"/>
          <a:ext cx="856483" cy="584498"/>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GB" sz="1000" b="1" kern="1200"/>
            <a:t>Convalescência</a:t>
          </a:r>
        </a:p>
      </dsp:txBody>
      <dsp:txXfrm>
        <a:off x="5097771" y="729101"/>
        <a:ext cx="822245" cy="550260"/>
      </dsp:txXfrm>
    </dsp:sp>
    <dsp:sp modelId="{A1035E57-9875-44AF-9E74-AA87E5AD7239}">
      <dsp:nvSpPr>
        <dsp:cNvPr id="0" name=""/>
        <dsp:cNvSpPr/>
      </dsp:nvSpPr>
      <dsp:spPr>
        <a:xfrm rot="3767222">
          <a:off x="4534772" y="1295483"/>
          <a:ext cx="749166" cy="39248"/>
        </a:xfrm>
        <a:custGeom>
          <a:avLst/>
          <a:gdLst/>
          <a:ahLst/>
          <a:cxnLst/>
          <a:rect l="0" t="0" r="0" b="0"/>
          <a:pathLst>
            <a:path>
              <a:moveTo>
                <a:pt x="0" y="19624"/>
              </a:moveTo>
              <a:lnTo>
                <a:pt x="749166" y="1962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b="1" kern="1200"/>
        </a:p>
      </dsp:txBody>
      <dsp:txXfrm>
        <a:off x="4890626" y="1296378"/>
        <a:ext cx="37458" cy="37458"/>
      </dsp:txXfrm>
    </dsp:sp>
    <dsp:sp modelId="{7044DF54-32CF-4E76-9A1D-117AFB050FCD}">
      <dsp:nvSpPr>
        <dsp:cNvPr id="0" name=""/>
        <dsp:cNvSpPr/>
      </dsp:nvSpPr>
      <dsp:spPr>
        <a:xfrm>
          <a:off x="5080652" y="1360716"/>
          <a:ext cx="856483" cy="575025"/>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GB" sz="1000" b="1" kern="1200"/>
            <a:t>Incapacidade</a:t>
          </a:r>
        </a:p>
      </dsp:txBody>
      <dsp:txXfrm>
        <a:off x="5097494" y="1377558"/>
        <a:ext cx="822799" cy="541341"/>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6D80AD5-4EEA-4C6A-AF3F-9F73B34EFAB7}">
      <dsp:nvSpPr>
        <dsp:cNvPr id="0" name=""/>
        <dsp:cNvSpPr/>
      </dsp:nvSpPr>
      <dsp:spPr>
        <a:xfrm>
          <a:off x="3617004" y="400928"/>
          <a:ext cx="2177699" cy="666530"/>
        </a:xfrm>
        <a:custGeom>
          <a:avLst/>
          <a:gdLst/>
          <a:ahLst/>
          <a:cxnLst/>
          <a:rect l="0" t="0" r="0" b="0"/>
          <a:pathLst>
            <a:path>
              <a:moveTo>
                <a:pt x="0" y="0"/>
              </a:moveTo>
              <a:lnTo>
                <a:pt x="0" y="645118"/>
              </a:lnTo>
              <a:lnTo>
                <a:pt x="2177699" y="645118"/>
              </a:lnTo>
              <a:lnTo>
                <a:pt x="2177699" y="66653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41FD1A4-91C7-41F9-AD8B-08B766486356}">
      <dsp:nvSpPr>
        <dsp:cNvPr id="0" name=""/>
        <dsp:cNvSpPr/>
      </dsp:nvSpPr>
      <dsp:spPr>
        <a:xfrm>
          <a:off x="5105649" y="2211554"/>
          <a:ext cx="767801" cy="326178"/>
        </a:xfrm>
        <a:custGeom>
          <a:avLst/>
          <a:gdLst/>
          <a:ahLst/>
          <a:cxnLst/>
          <a:rect l="0" t="0" r="0" b="0"/>
          <a:pathLst>
            <a:path>
              <a:moveTo>
                <a:pt x="0" y="0"/>
              </a:moveTo>
              <a:lnTo>
                <a:pt x="0" y="304767"/>
              </a:lnTo>
              <a:lnTo>
                <a:pt x="767801" y="304767"/>
              </a:lnTo>
              <a:lnTo>
                <a:pt x="767801" y="32617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4280C80-D6B3-47B9-B126-91D04300454E}">
      <dsp:nvSpPr>
        <dsp:cNvPr id="0" name=""/>
        <dsp:cNvSpPr/>
      </dsp:nvSpPr>
      <dsp:spPr>
        <a:xfrm>
          <a:off x="4218022" y="2211554"/>
          <a:ext cx="887626" cy="147755"/>
        </a:xfrm>
        <a:custGeom>
          <a:avLst/>
          <a:gdLst/>
          <a:ahLst/>
          <a:cxnLst/>
          <a:rect l="0" t="0" r="0" b="0"/>
          <a:pathLst>
            <a:path>
              <a:moveTo>
                <a:pt x="887626" y="0"/>
              </a:moveTo>
              <a:lnTo>
                <a:pt x="887626" y="126343"/>
              </a:lnTo>
              <a:lnTo>
                <a:pt x="0" y="126343"/>
              </a:lnTo>
              <a:lnTo>
                <a:pt x="0" y="14775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081DB55-B8BA-4938-BA85-DDF96BB3CD6D}">
      <dsp:nvSpPr>
        <dsp:cNvPr id="0" name=""/>
        <dsp:cNvSpPr/>
      </dsp:nvSpPr>
      <dsp:spPr>
        <a:xfrm>
          <a:off x="4237149" y="1670976"/>
          <a:ext cx="868500" cy="265683"/>
        </a:xfrm>
        <a:custGeom>
          <a:avLst/>
          <a:gdLst/>
          <a:ahLst/>
          <a:cxnLst/>
          <a:rect l="0" t="0" r="0" b="0"/>
          <a:pathLst>
            <a:path>
              <a:moveTo>
                <a:pt x="0" y="0"/>
              </a:moveTo>
              <a:lnTo>
                <a:pt x="0" y="244271"/>
              </a:lnTo>
              <a:lnTo>
                <a:pt x="868500" y="244271"/>
              </a:lnTo>
              <a:lnTo>
                <a:pt x="868500" y="26568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D311942-DF67-4098-A0E9-600495EE9B7D}">
      <dsp:nvSpPr>
        <dsp:cNvPr id="0" name=""/>
        <dsp:cNvSpPr/>
      </dsp:nvSpPr>
      <dsp:spPr>
        <a:xfrm>
          <a:off x="3402122" y="1670976"/>
          <a:ext cx="835026" cy="268581"/>
        </a:xfrm>
        <a:custGeom>
          <a:avLst/>
          <a:gdLst/>
          <a:ahLst/>
          <a:cxnLst/>
          <a:rect l="0" t="0" r="0" b="0"/>
          <a:pathLst>
            <a:path>
              <a:moveTo>
                <a:pt x="835026" y="0"/>
              </a:moveTo>
              <a:lnTo>
                <a:pt x="835026" y="247170"/>
              </a:lnTo>
              <a:lnTo>
                <a:pt x="0" y="247170"/>
              </a:lnTo>
              <a:lnTo>
                <a:pt x="0" y="26858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0BDADFB-20E4-438F-B3CA-1845F3911D9B}">
      <dsp:nvSpPr>
        <dsp:cNvPr id="0" name=""/>
        <dsp:cNvSpPr/>
      </dsp:nvSpPr>
      <dsp:spPr>
        <a:xfrm>
          <a:off x="3617004" y="400928"/>
          <a:ext cx="620145" cy="948118"/>
        </a:xfrm>
        <a:custGeom>
          <a:avLst/>
          <a:gdLst/>
          <a:ahLst/>
          <a:cxnLst/>
          <a:rect l="0" t="0" r="0" b="0"/>
          <a:pathLst>
            <a:path>
              <a:moveTo>
                <a:pt x="0" y="0"/>
              </a:moveTo>
              <a:lnTo>
                <a:pt x="0" y="926706"/>
              </a:lnTo>
              <a:lnTo>
                <a:pt x="620145" y="926706"/>
              </a:lnTo>
              <a:lnTo>
                <a:pt x="620145" y="94811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716DADC-DE8F-4544-95F4-7632630B0ADC}">
      <dsp:nvSpPr>
        <dsp:cNvPr id="0" name=""/>
        <dsp:cNvSpPr/>
      </dsp:nvSpPr>
      <dsp:spPr>
        <a:xfrm>
          <a:off x="1540156" y="1415200"/>
          <a:ext cx="1024719" cy="1050123"/>
        </a:xfrm>
        <a:custGeom>
          <a:avLst/>
          <a:gdLst/>
          <a:ahLst/>
          <a:cxnLst/>
          <a:rect l="0" t="0" r="0" b="0"/>
          <a:pathLst>
            <a:path>
              <a:moveTo>
                <a:pt x="0" y="0"/>
              </a:moveTo>
              <a:lnTo>
                <a:pt x="0" y="1028711"/>
              </a:lnTo>
              <a:lnTo>
                <a:pt x="1024719" y="1028711"/>
              </a:lnTo>
              <a:lnTo>
                <a:pt x="1024719" y="105012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B5D2C1D-0578-4961-AD17-1B6BC36120A3}">
      <dsp:nvSpPr>
        <dsp:cNvPr id="0" name=""/>
        <dsp:cNvSpPr/>
      </dsp:nvSpPr>
      <dsp:spPr>
        <a:xfrm>
          <a:off x="1494436" y="1415200"/>
          <a:ext cx="91440" cy="1118916"/>
        </a:xfrm>
        <a:custGeom>
          <a:avLst/>
          <a:gdLst/>
          <a:ahLst/>
          <a:cxnLst/>
          <a:rect l="0" t="0" r="0" b="0"/>
          <a:pathLst>
            <a:path>
              <a:moveTo>
                <a:pt x="45720" y="0"/>
              </a:moveTo>
              <a:lnTo>
                <a:pt x="45720" y="1097504"/>
              </a:lnTo>
              <a:lnTo>
                <a:pt x="64636" y="1097504"/>
              </a:lnTo>
              <a:lnTo>
                <a:pt x="64636" y="1118916"/>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D3EC085-4FF3-4918-82AE-56C488384DA7}">
      <dsp:nvSpPr>
        <dsp:cNvPr id="0" name=""/>
        <dsp:cNvSpPr/>
      </dsp:nvSpPr>
      <dsp:spPr>
        <a:xfrm>
          <a:off x="370865" y="1415200"/>
          <a:ext cx="1169291" cy="1040665"/>
        </a:xfrm>
        <a:custGeom>
          <a:avLst/>
          <a:gdLst/>
          <a:ahLst/>
          <a:cxnLst/>
          <a:rect l="0" t="0" r="0" b="0"/>
          <a:pathLst>
            <a:path>
              <a:moveTo>
                <a:pt x="1169291" y="0"/>
              </a:moveTo>
              <a:lnTo>
                <a:pt x="1169291" y="1019254"/>
              </a:lnTo>
              <a:lnTo>
                <a:pt x="0" y="1019254"/>
              </a:lnTo>
              <a:lnTo>
                <a:pt x="0" y="104066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3B15B08-3C05-4644-B35C-CB8187A785B4}">
      <dsp:nvSpPr>
        <dsp:cNvPr id="0" name=""/>
        <dsp:cNvSpPr/>
      </dsp:nvSpPr>
      <dsp:spPr>
        <a:xfrm>
          <a:off x="1540156" y="400928"/>
          <a:ext cx="2076847" cy="659366"/>
        </a:xfrm>
        <a:custGeom>
          <a:avLst/>
          <a:gdLst/>
          <a:ahLst/>
          <a:cxnLst/>
          <a:rect l="0" t="0" r="0" b="0"/>
          <a:pathLst>
            <a:path>
              <a:moveTo>
                <a:pt x="2076847" y="0"/>
              </a:moveTo>
              <a:lnTo>
                <a:pt x="2076847" y="637955"/>
              </a:lnTo>
              <a:lnTo>
                <a:pt x="0" y="637955"/>
              </a:lnTo>
              <a:lnTo>
                <a:pt x="0" y="65936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EB5EBB8-64F4-4632-8BEE-41CA5D70B20C}">
      <dsp:nvSpPr>
        <dsp:cNvPr id="0" name=""/>
        <dsp:cNvSpPr/>
      </dsp:nvSpPr>
      <dsp:spPr>
        <a:xfrm>
          <a:off x="3188766" y="-24397"/>
          <a:ext cx="856475" cy="42532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11BE9294-1DE6-4DBF-BAF5-A88D16CF815A}">
      <dsp:nvSpPr>
        <dsp:cNvPr id="0" name=""/>
        <dsp:cNvSpPr/>
      </dsp:nvSpPr>
      <dsp:spPr>
        <a:xfrm>
          <a:off x="3214447" y="0"/>
          <a:ext cx="856475" cy="425325"/>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b="1" kern="1200">
              <a:latin typeface="Arial" pitchFamily="34" charset="0"/>
              <a:cs typeface="Arial" pitchFamily="34" charset="0"/>
            </a:rPr>
            <a:t>Parasitas</a:t>
          </a:r>
        </a:p>
      </dsp:txBody>
      <dsp:txXfrm>
        <a:off x="3226904" y="12457"/>
        <a:ext cx="831561" cy="400411"/>
      </dsp:txXfrm>
    </dsp:sp>
    <dsp:sp modelId="{94AB450A-830A-49F8-8E54-7F56E3E063B6}">
      <dsp:nvSpPr>
        <dsp:cNvPr id="0" name=""/>
        <dsp:cNvSpPr/>
      </dsp:nvSpPr>
      <dsp:spPr>
        <a:xfrm>
          <a:off x="1021190" y="1060295"/>
          <a:ext cx="1037933" cy="35490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BAB9EE54-E284-4338-8670-DC941C331C8E}">
      <dsp:nvSpPr>
        <dsp:cNvPr id="0" name=""/>
        <dsp:cNvSpPr/>
      </dsp:nvSpPr>
      <dsp:spPr>
        <a:xfrm>
          <a:off x="1046871" y="1084692"/>
          <a:ext cx="1037933" cy="354905"/>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GB" sz="1000" b="1" kern="1200">
              <a:latin typeface="Arial" pitchFamily="34" charset="0"/>
              <a:cs typeface="Arial" pitchFamily="34" charset="0"/>
            </a:rPr>
            <a:t>Protozoários</a:t>
          </a:r>
        </a:p>
      </dsp:txBody>
      <dsp:txXfrm>
        <a:off x="1057266" y="1095087"/>
        <a:ext cx="1017143" cy="334115"/>
      </dsp:txXfrm>
    </dsp:sp>
    <dsp:sp modelId="{4B30A34C-7A46-459F-87F0-B03533D87A1F}">
      <dsp:nvSpPr>
        <dsp:cNvPr id="0" name=""/>
        <dsp:cNvSpPr/>
      </dsp:nvSpPr>
      <dsp:spPr>
        <a:xfrm>
          <a:off x="-25681" y="2455866"/>
          <a:ext cx="793093" cy="54857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7CCD9438-4672-4C4E-B284-001CCAB4C594}">
      <dsp:nvSpPr>
        <dsp:cNvPr id="0" name=""/>
        <dsp:cNvSpPr/>
      </dsp:nvSpPr>
      <dsp:spPr>
        <a:xfrm>
          <a:off x="0" y="2480263"/>
          <a:ext cx="793093" cy="548579"/>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GB" sz="1000" b="1" kern="1200">
              <a:latin typeface="Arial" pitchFamily="34" charset="0"/>
              <a:cs typeface="Arial" pitchFamily="34" charset="0"/>
            </a:rPr>
            <a:t>Intestinais</a:t>
          </a:r>
        </a:p>
      </dsp:txBody>
      <dsp:txXfrm>
        <a:off x="16067" y="2496330"/>
        <a:ext cx="760959" cy="516445"/>
      </dsp:txXfrm>
    </dsp:sp>
    <dsp:sp modelId="{844179AB-98EA-456C-B5F8-BA0691B39D03}">
      <dsp:nvSpPr>
        <dsp:cNvPr id="0" name=""/>
        <dsp:cNvSpPr/>
      </dsp:nvSpPr>
      <dsp:spPr>
        <a:xfrm>
          <a:off x="1021700" y="2534116"/>
          <a:ext cx="1074745" cy="49865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DB77E93D-9AD2-45FD-B813-619DCFC22CAE}">
      <dsp:nvSpPr>
        <dsp:cNvPr id="0" name=""/>
        <dsp:cNvSpPr/>
      </dsp:nvSpPr>
      <dsp:spPr>
        <a:xfrm>
          <a:off x="1047381" y="2558513"/>
          <a:ext cx="1074745" cy="498652"/>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GB" sz="1000" b="1" kern="1200">
              <a:latin typeface="Arial" pitchFamily="34" charset="0"/>
              <a:cs typeface="Arial" pitchFamily="34" charset="0"/>
            </a:rPr>
            <a:t>Urogenitais</a:t>
          </a:r>
        </a:p>
      </dsp:txBody>
      <dsp:txXfrm>
        <a:off x="1061986" y="2573118"/>
        <a:ext cx="1045535" cy="469442"/>
      </dsp:txXfrm>
    </dsp:sp>
    <dsp:sp modelId="{E27319B4-88F2-469E-8A05-94B5FEBE2B26}">
      <dsp:nvSpPr>
        <dsp:cNvPr id="0" name=""/>
        <dsp:cNvSpPr/>
      </dsp:nvSpPr>
      <dsp:spPr>
        <a:xfrm>
          <a:off x="2011543" y="2465324"/>
          <a:ext cx="1106664" cy="41961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046A8EA-B0E2-4FE0-9121-D1A7AE48BE07}">
      <dsp:nvSpPr>
        <dsp:cNvPr id="0" name=""/>
        <dsp:cNvSpPr/>
      </dsp:nvSpPr>
      <dsp:spPr>
        <a:xfrm>
          <a:off x="2037224" y="2489721"/>
          <a:ext cx="1106664" cy="419612"/>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GB" sz="1000" b="1" kern="1200">
              <a:latin typeface="Arial" pitchFamily="34" charset="0"/>
              <a:cs typeface="Arial" pitchFamily="34" charset="0"/>
            </a:rPr>
            <a:t>Sistêmicos</a:t>
          </a:r>
        </a:p>
      </dsp:txBody>
      <dsp:txXfrm>
        <a:off x="2049514" y="2502011"/>
        <a:ext cx="1082084" cy="395032"/>
      </dsp:txXfrm>
    </dsp:sp>
    <dsp:sp modelId="{BD297372-09EF-412F-8242-0417565F0D1F}">
      <dsp:nvSpPr>
        <dsp:cNvPr id="0" name=""/>
        <dsp:cNvSpPr/>
      </dsp:nvSpPr>
      <dsp:spPr>
        <a:xfrm>
          <a:off x="3864801" y="1349046"/>
          <a:ext cx="744694" cy="32192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5A594C1F-03D2-4CFE-A5A5-314F71FC4D93}">
      <dsp:nvSpPr>
        <dsp:cNvPr id="0" name=""/>
        <dsp:cNvSpPr/>
      </dsp:nvSpPr>
      <dsp:spPr>
        <a:xfrm>
          <a:off x="3890483" y="1373443"/>
          <a:ext cx="744694" cy="321929"/>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GB" sz="1000" b="1" kern="1200">
              <a:latin typeface="Arial" pitchFamily="34" charset="0"/>
              <a:cs typeface="Arial" pitchFamily="34" charset="0"/>
            </a:rPr>
            <a:t>Helmintos</a:t>
          </a:r>
        </a:p>
      </dsp:txBody>
      <dsp:txXfrm>
        <a:off x="3899912" y="1382872"/>
        <a:ext cx="725836" cy="303071"/>
      </dsp:txXfrm>
    </dsp:sp>
    <dsp:sp modelId="{48610410-2878-49D0-9CA6-BE1D4F841455}">
      <dsp:nvSpPr>
        <dsp:cNvPr id="0" name=""/>
        <dsp:cNvSpPr/>
      </dsp:nvSpPr>
      <dsp:spPr>
        <a:xfrm>
          <a:off x="2907527" y="1939558"/>
          <a:ext cx="989190" cy="479074"/>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F4C9D155-A3BD-4530-AF65-CAE1591B3A3B}">
      <dsp:nvSpPr>
        <dsp:cNvPr id="0" name=""/>
        <dsp:cNvSpPr/>
      </dsp:nvSpPr>
      <dsp:spPr>
        <a:xfrm>
          <a:off x="2933208" y="1963955"/>
          <a:ext cx="989190" cy="479074"/>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GB" sz="1000" b="1" kern="1200">
              <a:latin typeface="Arial" pitchFamily="34" charset="0"/>
              <a:cs typeface="Arial" pitchFamily="34" charset="0"/>
            </a:rPr>
            <a:t>Nemátodos</a:t>
          </a:r>
        </a:p>
      </dsp:txBody>
      <dsp:txXfrm>
        <a:off x="2947240" y="1977987"/>
        <a:ext cx="961126" cy="451010"/>
      </dsp:txXfrm>
    </dsp:sp>
    <dsp:sp modelId="{51B81C38-7268-4A39-AC19-191D1AA4B10A}">
      <dsp:nvSpPr>
        <dsp:cNvPr id="0" name=""/>
        <dsp:cNvSpPr/>
      </dsp:nvSpPr>
      <dsp:spPr>
        <a:xfrm>
          <a:off x="4658619" y="1936659"/>
          <a:ext cx="894059" cy="27489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C21FDE04-C342-43DC-92A2-4A999FD5FCF4}">
      <dsp:nvSpPr>
        <dsp:cNvPr id="0" name=""/>
        <dsp:cNvSpPr/>
      </dsp:nvSpPr>
      <dsp:spPr>
        <a:xfrm>
          <a:off x="4684300" y="1961056"/>
          <a:ext cx="894059" cy="274895"/>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GB" sz="1000" b="1" kern="1200">
              <a:latin typeface="Arial" pitchFamily="34" charset="0"/>
              <a:cs typeface="Arial" pitchFamily="34" charset="0"/>
            </a:rPr>
            <a:t>Platelmintos</a:t>
          </a:r>
        </a:p>
      </dsp:txBody>
      <dsp:txXfrm>
        <a:off x="4692351" y="1969107"/>
        <a:ext cx="877957" cy="258793"/>
      </dsp:txXfrm>
    </dsp:sp>
    <dsp:sp modelId="{4B7A7CE5-4501-4DCC-98B2-4826B6AD1002}">
      <dsp:nvSpPr>
        <dsp:cNvPr id="0" name=""/>
        <dsp:cNvSpPr/>
      </dsp:nvSpPr>
      <dsp:spPr>
        <a:xfrm>
          <a:off x="3707085" y="2359309"/>
          <a:ext cx="1021874" cy="67345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7DFD2589-82DB-4188-B62D-52B91BC3A75B}">
      <dsp:nvSpPr>
        <dsp:cNvPr id="0" name=""/>
        <dsp:cNvSpPr/>
      </dsp:nvSpPr>
      <dsp:spPr>
        <a:xfrm>
          <a:off x="3732766" y="2383706"/>
          <a:ext cx="1021874" cy="673459"/>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GB" sz="1000" b="1" kern="1200">
              <a:latin typeface="Arial" pitchFamily="34" charset="0"/>
              <a:cs typeface="Arial" pitchFamily="34" charset="0"/>
            </a:rPr>
            <a:t>Tremátodoes</a:t>
          </a:r>
        </a:p>
      </dsp:txBody>
      <dsp:txXfrm>
        <a:off x="3752491" y="2403431"/>
        <a:ext cx="982424" cy="634009"/>
      </dsp:txXfrm>
    </dsp:sp>
    <dsp:sp modelId="{0BE7E830-D3E0-41C8-BF1F-7CE5C5426A03}">
      <dsp:nvSpPr>
        <dsp:cNvPr id="0" name=""/>
        <dsp:cNvSpPr/>
      </dsp:nvSpPr>
      <dsp:spPr>
        <a:xfrm>
          <a:off x="5466448" y="2537733"/>
          <a:ext cx="814003" cy="49503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AABA9001-CC21-4321-B969-A2AAE2BA548D}">
      <dsp:nvSpPr>
        <dsp:cNvPr id="0" name=""/>
        <dsp:cNvSpPr/>
      </dsp:nvSpPr>
      <dsp:spPr>
        <a:xfrm>
          <a:off x="5492129" y="2562130"/>
          <a:ext cx="814003" cy="495035"/>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GB" sz="1000" b="1" kern="1200">
              <a:latin typeface="Arial" pitchFamily="34" charset="0"/>
              <a:cs typeface="Arial" pitchFamily="34" charset="0"/>
            </a:rPr>
            <a:t>Cestódes</a:t>
          </a:r>
        </a:p>
      </dsp:txBody>
      <dsp:txXfrm>
        <a:off x="5506628" y="2576629"/>
        <a:ext cx="785005" cy="466037"/>
      </dsp:txXfrm>
    </dsp:sp>
    <dsp:sp modelId="{53EB4D2E-66BD-4288-9E82-BAA102EF0238}">
      <dsp:nvSpPr>
        <dsp:cNvPr id="0" name=""/>
        <dsp:cNvSpPr/>
      </dsp:nvSpPr>
      <dsp:spPr>
        <a:xfrm>
          <a:off x="5391730" y="1067459"/>
          <a:ext cx="805946" cy="38071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7E587F0D-53F9-4A44-ABDD-6D3B7C146404}">
      <dsp:nvSpPr>
        <dsp:cNvPr id="0" name=""/>
        <dsp:cNvSpPr/>
      </dsp:nvSpPr>
      <dsp:spPr>
        <a:xfrm>
          <a:off x="5417411" y="1091856"/>
          <a:ext cx="805946" cy="380715"/>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GB" sz="1000" b="1" kern="1200">
              <a:latin typeface="Arial" pitchFamily="34" charset="0"/>
              <a:cs typeface="Arial" pitchFamily="34" charset="0"/>
            </a:rPr>
            <a:t>Artrópodes</a:t>
          </a:r>
        </a:p>
      </dsp:txBody>
      <dsp:txXfrm>
        <a:off x="5428562" y="1103007"/>
        <a:ext cx="783644" cy="358413"/>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6D80AD5-4EEA-4C6A-AF3F-9F73B34EFAB7}">
      <dsp:nvSpPr>
        <dsp:cNvPr id="0" name=""/>
        <dsp:cNvSpPr/>
      </dsp:nvSpPr>
      <dsp:spPr>
        <a:xfrm>
          <a:off x="3391187" y="375897"/>
          <a:ext cx="2041741" cy="696965"/>
        </a:xfrm>
        <a:custGeom>
          <a:avLst/>
          <a:gdLst/>
          <a:ahLst/>
          <a:cxnLst/>
          <a:rect l="0" t="0" r="0" b="0"/>
          <a:pathLst>
            <a:path>
              <a:moveTo>
                <a:pt x="0" y="0"/>
              </a:moveTo>
              <a:lnTo>
                <a:pt x="0" y="676890"/>
              </a:lnTo>
              <a:lnTo>
                <a:pt x="2041741" y="676890"/>
              </a:lnTo>
              <a:lnTo>
                <a:pt x="2041741" y="69696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41FD1A4-91C7-41F9-AD8B-08B766486356}">
      <dsp:nvSpPr>
        <dsp:cNvPr id="0" name=""/>
        <dsp:cNvSpPr/>
      </dsp:nvSpPr>
      <dsp:spPr>
        <a:xfrm>
          <a:off x="4786893" y="2145530"/>
          <a:ext cx="719865" cy="377862"/>
        </a:xfrm>
        <a:custGeom>
          <a:avLst/>
          <a:gdLst/>
          <a:ahLst/>
          <a:cxnLst/>
          <a:rect l="0" t="0" r="0" b="0"/>
          <a:pathLst>
            <a:path>
              <a:moveTo>
                <a:pt x="0" y="0"/>
              </a:moveTo>
              <a:lnTo>
                <a:pt x="0" y="357787"/>
              </a:lnTo>
              <a:lnTo>
                <a:pt x="719865" y="357787"/>
              </a:lnTo>
              <a:lnTo>
                <a:pt x="719865" y="377862"/>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4280C80-D6B3-47B9-B126-91D04300454E}">
      <dsp:nvSpPr>
        <dsp:cNvPr id="0" name=""/>
        <dsp:cNvSpPr/>
      </dsp:nvSpPr>
      <dsp:spPr>
        <a:xfrm>
          <a:off x="3954683" y="2145530"/>
          <a:ext cx="832210" cy="210578"/>
        </a:xfrm>
        <a:custGeom>
          <a:avLst/>
          <a:gdLst/>
          <a:ahLst/>
          <a:cxnLst/>
          <a:rect l="0" t="0" r="0" b="0"/>
          <a:pathLst>
            <a:path>
              <a:moveTo>
                <a:pt x="832210" y="0"/>
              </a:moveTo>
              <a:lnTo>
                <a:pt x="832210" y="190503"/>
              </a:lnTo>
              <a:lnTo>
                <a:pt x="0" y="190503"/>
              </a:lnTo>
              <a:lnTo>
                <a:pt x="0" y="21057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081DB55-B8BA-4938-BA85-DDF96BB3CD6D}">
      <dsp:nvSpPr>
        <dsp:cNvPr id="0" name=""/>
        <dsp:cNvSpPr/>
      </dsp:nvSpPr>
      <dsp:spPr>
        <a:xfrm>
          <a:off x="3972615" y="1638701"/>
          <a:ext cx="814278" cy="249096"/>
        </a:xfrm>
        <a:custGeom>
          <a:avLst/>
          <a:gdLst/>
          <a:ahLst/>
          <a:cxnLst/>
          <a:rect l="0" t="0" r="0" b="0"/>
          <a:pathLst>
            <a:path>
              <a:moveTo>
                <a:pt x="0" y="0"/>
              </a:moveTo>
              <a:lnTo>
                <a:pt x="0" y="229021"/>
              </a:lnTo>
              <a:lnTo>
                <a:pt x="814278" y="229021"/>
              </a:lnTo>
              <a:lnTo>
                <a:pt x="814278" y="249096"/>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D311942-DF67-4098-A0E9-600495EE9B7D}">
      <dsp:nvSpPr>
        <dsp:cNvPr id="0" name=""/>
        <dsp:cNvSpPr/>
      </dsp:nvSpPr>
      <dsp:spPr>
        <a:xfrm>
          <a:off x="3189721" y="1638701"/>
          <a:ext cx="782894" cy="251813"/>
        </a:xfrm>
        <a:custGeom>
          <a:avLst/>
          <a:gdLst/>
          <a:ahLst/>
          <a:cxnLst/>
          <a:rect l="0" t="0" r="0" b="0"/>
          <a:pathLst>
            <a:path>
              <a:moveTo>
                <a:pt x="782894" y="0"/>
              </a:moveTo>
              <a:lnTo>
                <a:pt x="782894" y="231738"/>
              </a:lnTo>
              <a:lnTo>
                <a:pt x="0" y="231738"/>
              </a:lnTo>
              <a:lnTo>
                <a:pt x="0" y="25181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0BDADFB-20E4-438F-B3CA-1845F3911D9B}">
      <dsp:nvSpPr>
        <dsp:cNvPr id="0" name=""/>
        <dsp:cNvSpPr/>
      </dsp:nvSpPr>
      <dsp:spPr>
        <a:xfrm>
          <a:off x="3391187" y="375897"/>
          <a:ext cx="581428" cy="960973"/>
        </a:xfrm>
        <a:custGeom>
          <a:avLst/>
          <a:gdLst/>
          <a:ahLst/>
          <a:cxnLst/>
          <a:rect l="0" t="0" r="0" b="0"/>
          <a:pathLst>
            <a:path>
              <a:moveTo>
                <a:pt x="0" y="0"/>
              </a:moveTo>
              <a:lnTo>
                <a:pt x="0" y="940898"/>
              </a:lnTo>
              <a:lnTo>
                <a:pt x="581428" y="940898"/>
              </a:lnTo>
              <a:lnTo>
                <a:pt x="581428" y="96097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716DADC-DE8F-4544-95F4-7632630B0ADC}">
      <dsp:nvSpPr>
        <dsp:cNvPr id="0" name=""/>
        <dsp:cNvSpPr/>
      </dsp:nvSpPr>
      <dsp:spPr>
        <a:xfrm>
          <a:off x="1444001" y="1398894"/>
          <a:ext cx="960743" cy="984562"/>
        </a:xfrm>
        <a:custGeom>
          <a:avLst/>
          <a:gdLst/>
          <a:ahLst/>
          <a:cxnLst/>
          <a:rect l="0" t="0" r="0" b="0"/>
          <a:pathLst>
            <a:path>
              <a:moveTo>
                <a:pt x="0" y="0"/>
              </a:moveTo>
              <a:lnTo>
                <a:pt x="0" y="964487"/>
              </a:lnTo>
              <a:lnTo>
                <a:pt x="960743" y="964487"/>
              </a:lnTo>
              <a:lnTo>
                <a:pt x="960743" y="984562"/>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B5D2C1D-0578-4961-AD17-1B6BC36120A3}">
      <dsp:nvSpPr>
        <dsp:cNvPr id="0" name=""/>
        <dsp:cNvSpPr/>
      </dsp:nvSpPr>
      <dsp:spPr>
        <a:xfrm>
          <a:off x="1398281" y="1398894"/>
          <a:ext cx="91440" cy="1121108"/>
        </a:xfrm>
        <a:custGeom>
          <a:avLst/>
          <a:gdLst/>
          <a:ahLst/>
          <a:cxnLst/>
          <a:rect l="0" t="0" r="0" b="0"/>
          <a:pathLst>
            <a:path>
              <a:moveTo>
                <a:pt x="45720" y="0"/>
              </a:moveTo>
              <a:lnTo>
                <a:pt x="45720" y="1101033"/>
              </a:lnTo>
              <a:lnTo>
                <a:pt x="63455" y="1101033"/>
              </a:lnTo>
              <a:lnTo>
                <a:pt x="63455" y="112110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D3EC085-4FF3-4918-82AE-56C488384DA7}">
      <dsp:nvSpPr>
        <dsp:cNvPr id="0" name=""/>
        <dsp:cNvSpPr/>
      </dsp:nvSpPr>
      <dsp:spPr>
        <a:xfrm>
          <a:off x="347711" y="1398894"/>
          <a:ext cx="1096290" cy="975694"/>
        </a:xfrm>
        <a:custGeom>
          <a:avLst/>
          <a:gdLst/>
          <a:ahLst/>
          <a:cxnLst/>
          <a:rect l="0" t="0" r="0" b="0"/>
          <a:pathLst>
            <a:path>
              <a:moveTo>
                <a:pt x="1096290" y="0"/>
              </a:moveTo>
              <a:lnTo>
                <a:pt x="1096290" y="955620"/>
              </a:lnTo>
              <a:lnTo>
                <a:pt x="0" y="955620"/>
              </a:lnTo>
              <a:lnTo>
                <a:pt x="0" y="97569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3B15B08-3C05-4644-B35C-CB8187A785B4}">
      <dsp:nvSpPr>
        <dsp:cNvPr id="0" name=""/>
        <dsp:cNvSpPr/>
      </dsp:nvSpPr>
      <dsp:spPr>
        <a:xfrm>
          <a:off x="1444001" y="375897"/>
          <a:ext cx="1947185" cy="690249"/>
        </a:xfrm>
        <a:custGeom>
          <a:avLst/>
          <a:gdLst/>
          <a:ahLst/>
          <a:cxnLst/>
          <a:rect l="0" t="0" r="0" b="0"/>
          <a:pathLst>
            <a:path>
              <a:moveTo>
                <a:pt x="1947185" y="0"/>
              </a:moveTo>
              <a:lnTo>
                <a:pt x="1947185" y="670174"/>
              </a:lnTo>
              <a:lnTo>
                <a:pt x="0" y="670174"/>
              </a:lnTo>
              <a:lnTo>
                <a:pt x="0" y="69024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EB5EBB8-64F4-4632-8BEE-41CA5D70B20C}">
      <dsp:nvSpPr>
        <dsp:cNvPr id="0" name=""/>
        <dsp:cNvSpPr/>
      </dsp:nvSpPr>
      <dsp:spPr>
        <a:xfrm>
          <a:off x="2989684" y="-22873"/>
          <a:ext cx="803004" cy="39877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11BE9294-1DE6-4DBF-BAF5-A88D16CF815A}">
      <dsp:nvSpPr>
        <dsp:cNvPr id="0" name=""/>
        <dsp:cNvSpPr/>
      </dsp:nvSpPr>
      <dsp:spPr>
        <a:xfrm>
          <a:off x="3013762" y="0"/>
          <a:ext cx="803004" cy="39877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b="1" kern="1200">
              <a:latin typeface="Arial" pitchFamily="34" charset="0"/>
              <a:cs typeface="Arial" pitchFamily="34" charset="0"/>
            </a:rPr>
            <a:t>Parasitas</a:t>
          </a:r>
        </a:p>
      </dsp:txBody>
      <dsp:txXfrm>
        <a:off x="3025442" y="11680"/>
        <a:ext cx="779644" cy="375411"/>
      </dsp:txXfrm>
    </dsp:sp>
    <dsp:sp modelId="{94AB450A-830A-49F8-8E54-7F56E3E063B6}">
      <dsp:nvSpPr>
        <dsp:cNvPr id="0" name=""/>
        <dsp:cNvSpPr/>
      </dsp:nvSpPr>
      <dsp:spPr>
        <a:xfrm>
          <a:off x="957435" y="1066146"/>
          <a:ext cx="973133" cy="33274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BAB9EE54-E284-4338-8670-DC941C331C8E}">
      <dsp:nvSpPr>
        <dsp:cNvPr id="0" name=""/>
        <dsp:cNvSpPr/>
      </dsp:nvSpPr>
      <dsp:spPr>
        <a:xfrm>
          <a:off x="981512" y="1089020"/>
          <a:ext cx="973133" cy="33274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GB" sz="1000" b="1" kern="1200">
              <a:latin typeface="Arial" pitchFamily="34" charset="0"/>
              <a:cs typeface="Arial" pitchFamily="34" charset="0"/>
            </a:rPr>
            <a:t>Protozoários</a:t>
          </a:r>
        </a:p>
      </dsp:txBody>
      <dsp:txXfrm>
        <a:off x="991258" y="1098766"/>
        <a:ext cx="953641" cy="313255"/>
      </dsp:txXfrm>
    </dsp:sp>
    <dsp:sp modelId="{4B30A34C-7A46-459F-87F0-B03533D87A1F}">
      <dsp:nvSpPr>
        <dsp:cNvPr id="0" name=""/>
        <dsp:cNvSpPr/>
      </dsp:nvSpPr>
      <dsp:spPr>
        <a:xfrm>
          <a:off x="-24077" y="2374589"/>
          <a:ext cx="743578" cy="51433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7CCD9438-4672-4C4E-B284-001CCAB4C594}">
      <dsp:nvSpPr>
        <dsp:cNvPr id="0" name=""/>
        <dsp:cNvSpPr/>
      </dsp:nvSpPr>
      <dsp:spPr>
        <a:xfrm>
          <a:off x="0" y="2397463"/>
          <a:ext cx="743578" cy="51433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GB" sz="1000" b="1" kern="1200">
              <a:latin typeface="Arial" pitchFamily="34" charset="0"/>
              <a:cs typeface="Arial" pitchFamily="34" charset="0"/>
            </a:rPr>
            <a:t>Intestinais</a:t>
          </a:r>
        </a:p>
      </dsp:txBody>
      <dsp:txXfrm>
        <a:off x="15064" y="2412527"/>
        <a:ext cx="713450" cy="484202"/>
      </dsp:txXfrm>
    </dsp:sp>
    <dsp:sp modelId="{844179AB-98EA-456C-B5F8-BA0691B39D03}">
      <dsp:nvSpPr>
        <dsp:cNvPr id="0" name=""/>
        <dsp:cNvSpPr/>
      </dsp:nvSpPr>
      <dsp:spPr>
        <a:xfrm>
          <a:off x="957914" y="2520002"/>
          <a:ext cx="1007646" cy="46752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DB77E93D-9AD2-45FD-B813-619DCFC22CAE}">
      <dsp:nvSpPr>
        <dsp:cNvPr id="0" name=""/>
        <dsp:cNvSpPr/>
      </dsp:nvSpPr>
      <dsp:spPr>
        <a:xfrm>
          <a:off x="981991" y="2542876"/>
          <a:ext cx="1007646" cy="46752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GB" sz="1000" b="1" kern="1200">
              <a:latin typeface="Arial" pitchFamily="34" charset="0"/>
              <a:cs typeface="Arial" pitchFamily="34" charset="0"/>
            </a:rPr>
            <a:t>Urogenitais</a:t>
          </a:r>
        </a:p>
      </dsp:txBody>
      <dsp:txXfrm>
        <a:off x="995684" y="2556569"/>
        <a:ext cx="980260" cy="440134"/>
      </dsp:txXfrm>
    </dsp:sp>
    <dsp:sp modelId="{E27319B4-88F2-469E-8A05-94B5FEBE2B26}">
      <dsp:nvSpPr>
        <dsp:cNvPr id="0" name=""/>
        <dsp:cNvSpPr/>
      </dsp:nvSpPr>
      <dsp:spPr>
        <a:xfrm>
          <a:off x="1885958" y="2383456"/>
          <a:ext cx="1037573" cy="393414"/>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046A8EA-B0E2-4FE0-9121-D1A7AE48BE07}">
      <dsp:nvSpPr>
        <dsp:cNvPr id="0" name=""/>
        <dsp:cNvSpPr/>
      </dsp:nvSpPr>
      <dsp:spPr>
        <a:xfrm>
          <a:off x="1910036" y="2406330"/>
          <a:ext cx="1037573" cy="393414"/>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GB" sz="1000" b="1" kern="1200">
              <a:latin typeface="Arial" pitchFamily="34" charset="0"/>
              <a:cs typeface="Arial" pitchFamily="34" charset="0"/>
            </a:rPr>
            <a:t>Sistêmicos</a:t>
          </a:r>
        </a:p>
      </dsp:txBody>
      <dsp:txXfrm>
        <a:off x="1921559" y="2417853"/>
        <a:ext cx="1014527" cy="370368"/>
      </dsp:txXfrm>
    </dsp:sp>
    <dsp:sp modelId="{BD297372-09EF-412F-8242-0417565F0D1F}">
      <dsp:nvSpPr>
        <dsp:cNvPr id="0" name=""/>
        <dsp:cNvSpPr/>
      </dsp:nvSpPr>
      <dsp:spPr>
        <a:xfrm>
          <a:off x="3623514" y="1336871"/>
          <a:ext cx="698201" cy="30183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5A594C1F-03D2-4CFE-A5A5-314F71FC4D93}">
      <dsp:nvSpPr>
        <dsp:cNvPr id="0" name=""/>
        <dsp:cNvSpPr/>
      </dsp:nvSpPr>
      <dsp:spPr>
        <a:xfrm>
          <a:off x="3647592" y="1359744"/>
          <a:ext cx="698201" cy="30183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GB" sz="1000" b="1" kern="1200">
              <a:latin typeface="Arial" pitchFamily="34" charset="0"/>
              <a:cs typeface="Arial" pitchFamily="34" charset="0"/>
            </a:rPr>
            <a:t>Helmintos</a:t>
          </a:r>
        </a:p>
      </dsp:txBody>
      <dsp:txXfrm>
        <a:off x="3656432" y="1368584"/>
        <a:ext cx="680521" cy="284150"/>
      </dsp:txXfrm>
    </dsp:sp>
    <dsp:sp modelId="{48610410-2878-49D0-9CA6-BE1D4F841455}">
      <dsp:nvSpPr>
        <dsp:cNvPr id="0" name=""/>
        <dsp:cNvSpPr/>
      </dsp:nvSpPr>
      <dsp:spPr>
        <a:xfrm>
          <a:off x="2726004" y="1890515"/>
          <a:ext cx="927433" cy="44916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F4C9D155-A3BD-4530-AF65-CAE1591B3A3B}">
      <dsp:nvSpPr>
        <dsp:cNvPr id="0" name=""/>
        <dsp:cNvSpPr/>
      </dsp:nvSpPr>
      <dsp:spPr>
        <a:xfrm>
          <a:off x="2750082" y="1913389"/>
          <a:ext cx="927433" cy="449165"/>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GB" sz="1000" b="1" kern="1200">
              <a:latin typeface="Arial" pitchFamily="34" charset="0"/>
              <a:cs typeface="Arial" pitchFamily="34" charset="0"/>
            </a:rPr>
            <a:t>Nemátodos</a:t>
          </a:r>
        </a:p>
      </dsp:txBody>
      <dsp:txXfrm>
        <a:off x="2763238" y="1926545"/>
        <a:ext cx="901121" cy="422853"/>
      </dsp:txXfrm>
    </dsp:sp>
    <dsp:sp modelId="{51B81C38-7268-4A39-AC19-191D1AA4B10A}">
      <dsp:nvSpPr>
        <dsp:cNvPr id="0" name=""/>
        <dsp:cNvSpPr/>
      </dsp:nvSpPr>
      <dsp:spPr>
        <a:xfrm>
          <a:off x="4367772" y="1887797"/>
          <a:ext cx="838241" cy="25773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C21FDE04-C342-43DC-92A2-4A999FD5FCF4}">
      <dsp:nvSpPr>
        <dsp:cNvPr id="0" name=""/>
        <dsp:cNvSpPr/>
      </dsp:nvSpPr>
      <dsp:spPr>
        <a:xfrm>
          <a:off x="4391850" y="1910671"/>
          <a:ext cx="838241" cy="257732"/>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GB" sz="1000" b="1" kern="1200">
              <a:latin typeface="Arial" pitchFamily="34" charset="0"/>
              <a:cs typeface="Arial" pitchFamily="34" charset="0"/>
            </a:rPr>
            <a:t>Platelmintos</a:t>
          </a:r>
        </a:p>
      </dsp:txBody>
      <dsp:txXfrm>
        <a:off x="4399399" y="1918220"/>
        <a:ext cx="823143" cy="242634"/>
      </dsp:txXfrm>
    </dsp:sp>
    <dsp:sp modelId="{4B7A7CE5-4501-4DCC-98B2-4826B6AD1002}">
      <dsp:nvSpPr>
        <dsp:cNvPr id="0" name=""/>
        <dsp:cNvSpPr/>
      </dsp:nvSpPr>
      <dsp:spPr>
        <a:xfrm>
          <a:off x="3475644" y="2356109"/>
          <a:ext cx="958076" cy="63141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7DFD2589-82DB-4188-B62D-52B91BC3A75B}">
      <dsp:nvSpPr>
        <dsp:cNvPr id="0" name=""/>
        <dsp:cNvSpPr/>
      </dsp:nvSpPr>
      <dsp:spPr>
        <a:xfrm>
          <a:off x="3499722" y="2378983"/>
          <a:ext cx="958076" cy="631413"/>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GB" sz="1000" b="1" kern="1200">
              <a:latin typeface="Arial" pitchFamily="34" charset="0"/>
              <a:cs typeface="Arial" pitchFamily="34" charset="0"/>
            </a:rPr>
            <a:t>Tremátodoes</a:t>
          </a:r>
        </a:p>
      </dsp:txBody>
      <dsp:txXfrm>
        <a:off x="3518215" y="2397476"/>
        <a:ext cx="921090" cy="594427"/>
      </dsp:txXfrm>
    </dsp:sp>
    <dsp:sp modelId="{0BE7E830-D3E0-41C8-BF1F-7CE5C5426A03}">
      <dsp:nvSpPr>
        <dsp:cNvPr id="0" name=""/>
        <dsp:cNvSpPr/>
      </dsp:nvSpPr>
      <dsp:spPr>
        <a:xfrm>
          <a:off x="5125167" y="2523393"/>
          <a:ext cx="763183" cy="46412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AABA9001-CC21-4321-B969-A2AAE2BA548D}">
      <dsp:nvSpPr>
        <dsp:cNvPr id="0" name=""/>
        <dsp:cNvSpPr/>
      </dsp:nvSpPr>
      <dsp:spPr>
        <a:xfrm>
          <a:off x="5149245" y="2546267"/>
          <a:ext cx="763183" cy="464129"/>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GB" sz="1000" b="1" kern="1200">
              <a:latin typeface="Arial" pitchFamily="34" charset="0"/>
              <a:cs typeface="Arial" pitchFamily="34" charset="0"/>
            </a:rPr>
            <a:t>Cestódes</a:t>
          </a:r>
        </a:p>
      </dsp:txBody>
      <dsp:txXfrm>
        <a:off x="5162839" y="2559861"/>
        <a:ext cx="735995" cy="436941"/>
      </dsp:txXfrm>
    </dsp:sp>
    <dsp:sp modelId="{53EB4D2E-66BD-4288-9E82-BAA102EF0238}">
      <dsp:nvSpPr>
        <dsp:cNvPr id="0" name=""/>
        <dsp:cNvSpPr/>
      </dsp:nvSpPr>
      <dsp:spPr>
        <a:xfrm>
          <a:off x="5055113" y="1072863"/>
          <a:ext cx="755629" cy="35694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7E587F0D-53F9-4A44-ABDD-6D3B7C146404}">
      <dsp:nvSpPr>
        <dsp:cNvPr id="0" name=""/>
        <dsp:cNvSpPr/>
      </dsp:nvSpPr>
      <dsp:spPr>
        <a:xfrm>
          <a:off x="5079191" y="1095737"/>
          <a:ext cx="755629" cy="356946"/>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GB" sz="1000" b="1" kern="1200">
              <a:latin typeface="Arial" pitchFamily="34" charset="0"/>
              <a:cs typeface="Arial" pitchFamily="34" charset="0"/>
            </a:rPr>
            <a:t>Artrópodes</a:t>
          </a:r>
        </a:p>
      </dsp:txBody>
      <dsp:txXfrm>
        <a:off x="5089646" y="1106192"/>
        <a:ext cx="734719" cy="336036"/>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2012</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E4BE7B4-3B30-4DE8-A913-90AE988646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528</TotalTime>
  <Pages>1</Pages>
  <Words>58839</Words>
  <Characters>335386</Characters>
  <Application>Microsoft Office Word</Application>
  <DocSecurity>0</DocSecurity>
  <Lines>2794</Lines>
  <Paragraphs>786</Paragraphs>
  <ScaleCrop>false</ScaleCrop>
  <HeadingPairs>
    <vt:vector size="2" baseType="variant">
      <vt:variant>
        <vt:lpstr>Title</vt:lpstr>
      </vt:variant>
      <vt:variant>
        <vt:i4>1</vt:i4>
      </vt:variant>
    </vt:vector>
  </HeadingPairs>
  <TitlesOfParts>
    <vt:vector size="1" baseType="lpstr">
      <vt:lpstr>Disciplina de Semiologia</vt:lpstr>
    </vt:vector>
  </TitlesOfParts>
  <Company>University of Washington</Company>
  <LinksUpToDate>false</LinksUpToDate>
  <CharactersWithSpaces>393439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Disciplina de Semiologia</dc:title>
  <dc:creator>Moçambique</dc:creator>
  <cp:lastModifiedBy>Belton</cp:lastModifiedBy>
  <cp:revision>25</cp:revision>
  <cp:lastPrinted>2012-06-05T18:19:00Z</cp:lastPrinted>
  <dcterms:created xsi:type="dcterms:W3CDTF">2012-06-11T18:13:00Z</dcterms:created>
  <dcterms:modified xsi:type="dcterms:W3CDTF">2015-08-11T03:52:00Z</dcterms:modified>
</cp:coreProperties>
</file>