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Gbo338 memiliki link vip anti ngelag anti nawala , </w:t>
      </w:r>
      <w:hyperlink r:id="rId6">
        <w:r w:rsidDel="00000000" w:rsidR="00000000" w:rsidRPr="00000000">
          <w:rPr>
            <w:color w:val="1155cc"/>
            <w:u w:val="single"/>
            <w:rtl w:val="0"/>
          </w:rPr>
          <w:t xml:space="preserve">link gbo338</w:t>
        </w:r>
      </w:hyperlink>
      <w:r w:rsidDel="00000000" w:rsidR="00000000" w:rsidRPr="00000000">
        <w:rPr>
          <w:rtl w:val="0"/>
        </w:rPr>
        <w:t xml:space="preserve"> dapat di gunakan sebagai link alternatif untuk login ke situs gbo338. </w:t>
      </w:r>
      <w:r w:rsidDel="00000000" w:rsidR="00000000" w:rsidRPr="00000000">
        <w:rPr>
          <w:rtl w:val="0"/>
        </w:rPr>
        <w:t xml:space="preserve">In the world of gaming, the term "Slot Finance" introduces a strategic dimension to the traditional concept of luck associated with slot machines. Beyond the excitement of spinning reels, Slot Finance emphasizes the importance of financial management and strategic decision-making, transforming the gaming experience into a calculated pursuit.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Slot Finance involves a mindful approach to budgeting and wagering, recognizing that successful slot play goes hand-in-hand with responsible financial management. Players are encouraged to set budgetary limits, determining the amount of money they are willing to allocate for their gaming sessions. This approach ensures a more sustainable and enjoyable experience, mitigating the risk of excessive losses.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Understanding the financial aspects of slot play also extends to the consideration of bet sizes. Slot Finance encourages players to adapt their wagering amounts based on their bankroll and the dynamics of the game. Whether opting for conservative bets to extend playtime or bolder wagers for higher potential wins, the strategic adjustment of bet sizes adds an element of control to the gaming experience.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concept of Slot Finance goes beyond individual player decisions and extends to the broader financial dynamics of the gaming industry. Casinos and online platforms may offer promotions, loyalty programs, and bonuses that players can strategically leverage to enhance their gaming without compromising their finances. These incentives contribute to a more nuanced approach to slot play, where players actively consider the financial implications of their choices.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As technology advances, Slot Finance evolves with the integration of digital tools for financial tracking and analysis. Players can access features that provide insights into their gaming expenditure, helping them make informed decisions about their slot play. This technological integration aligns with the broader trend of incorporating financial literacy into the gaming experience.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Ultimately, Slot Finance encourages players to view slot machines not merely as games of chance but as financial engagements that require thoughtful decision-making. By combining luck with strategic financial considerations, players can navigate the world of slot gaming with a greater sense of control, ensuring a more enjoyable and sustainable experience.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rPr>
        <w:b w:val="1"/>
      </w:rPr>
    </w:pPr>
    <w:r w:rsidDel="00000000" w:rsidR="00000000" w:rsidRPr="00000000">
      <w:rPr>
        <w:b w:val="1"/>
        <w:rtl w:val="0"/>
      </w:rPr>
      <w:t xml:space="preserve"> The Intersection of Luck and Strategy: Navigating Slot Finance</w:t>
    </w:r>
  </w:p>
  <w:p w:rsidR="00000000" w:rsidDel="00000000" w:rsidP="00000000" w:rsidRDefault="00000000" w:rsidRPr="00000000" w14:paraId="0000000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gbo338.lol"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